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4BD" w:rsidRPr="00B044BD" w:rsidRDefault="00B044BD" w:rsidP="00B044BD">
      <w:pPr>
        <w:shd w:val="clear" w:color="auto" w:fill="FFFFFF"/>
        <w:spacing w:after="0" w:line="240" w:lineRule="auto"/>
        <w:rPr>
          <w:rFonts w:ascii="Arial Black" w:eastAsia="Times New Roman" w:hAnsi="Arial Black" w:cs="Times New Roman"/>
          <w:color w:val="FF0000"/>
          <w:sz w:val="24"/>
          <w:szCs w:val="24"/>
          <w:lang w:eastAsia="en-IN"/>
        </w:rPr>
      </w:pPr>
      <w:r w:rsidRPr="00B044BD">
        <w:rPr>
          <w:rFonts w:ascii="Arial Black" w:eastAsia="Times New Roman" w:hAnsi="Arial Black" w:cs="Times New Roman"/>
          <w:color w:val="FF0000"/>
          <w:sz w:val="24"/>
          <w:szCs w:val="24"/>
          <w:lang w:eastAsia="en-IN"/>
        </w:rPr>
        <w:t>INTRODUCTION OF ACCOUNTANCY</w:t>
      </w:r>
    </w:p>
    <w:p w:rsidR="00B044BD" w:rsidRPr="00B044BD" w:rsidRDefault="00B044BD" w:rsidP="00B044BD">
      <w:pPr>
        <w:shd w:val="clear" w:color="auto" w:fill="FFFFFF"/>
        <w:spacing w:after="0" w:line="240" w:lineRule="auto"/>
        <w:rPr>
          <w:rFonts w:ascii="Arial Black" w:eastAsia="Times New Roman" w:hAnsi="Arial Black" w:cs="Times New Roman"/>
          <w:b/>
          <w:color w:val="FF0000"/>
          <w:sz w:val="24"/>
          <w:szCs w:val="24"/>
          <w:lang w:eastAsia="en-IN"/>
        </w:rPr>
      </w:pPr>
      <w:r w:rsidRPr="00B044BD">
        <w:rPr>
          <w:rFonts w:ascii="Arial Black" w:eastAsia="Times New Roman" w:hAnsi="Arial Black" w:cs="Times New Roman"/>
          <w:b/>
          <w:color w:val="FF0000"/>
          <w:sz w:val="24"/>
          <w:szCs w:val="24"/>
          <w:lang w:eastAsia="en-IN"/>
        </w:rPr>
        <w:t xml:space="preserve">Accounting rules are </w:t>
      </w:r>
      <w:proofErr w:type="gramStart"/>
      <w:r w:rsidRPr="00B044BD">
        <w:rPr>
          <w:rFonts w:ascii="Arial Black" w:eastAsia="Times New Roman" w:hAnsi="Arial Black" w:cs="Times New Roman"/>
          <w:b/>
          <w:color w:val="FF0000"/>
          <w:sz w:val="24"/>
          <w:szCs w:val="24"/>
          <w:lang w:eastAsia="en-IN"/>
        </w:rPr>
        <w:t>statements that establishes</w:t>
      </w:r>
      <w:proofErr w:type="gramEnd"/>
      <w:r w:rsidRPr="00B044BD">
        <w:rPr>
          <w:rFonts w:ascii="Arial Black" w:eastAsia="Times New Roman" w:hAnsi="Arial Black" w:cs="Times New Roman"/>
          <w:b/>
          <w:color w:val="FF0000"/>
          <w:sz w:val="24"/>
          <w:szCs w:val="24"/>
          <w:lang w:eastAsia="en-IN"/>
        </w:rPr>
        <w:t xml:space="preserve"> guidance on how to record transactions. </w:t>
      </w:r>
      <w:proofErr w:type="gramStart"/>
      <w:r w:rsidRPr="00B044BD">
        <w:rPr>
          <w:rFonts w:ascii="Arial Black" w:eastAsia="Times New Roman" w:hAnsi="Arial Black" w:cs="Times New Roman"/>
          <w:b/>
          <w:color w:val="FF0000"/>
          <w:sz w:val="24"/>
          <w:szCs w:val="24"/>
          <w:lang w:eastAsia="en-IN"/>
        </w:rPr>
        <w:t>As per accounting rules all the accounting transactions should be recorded in the books of entity using double entry accounting method.</w:t>
      </w:r>
      <w:proofErr w:type="gramEnd"/>
      <w:r w:rsidRPr="00B044BD">
        <w:rPr>
          <w:rFonts w:ascii="Arial Black" w:eastAsia="Times New Roman" w:hAnsi="Arial Black" w:cs="Times New Roman"/>
          <w:b/>
          <w:color w:val="FF0000"/>
          <w:sz w:val="24"/>
          <w:szCs w:val="24"/>
          <w:lang w:eastAsia="en-IN"/>
        </w:rPr>
        <w:t xml:space="preserve"> Double entry accounting method means for each transaction two (or more) accounts are involved, one account shall be debited and the other account shall be credited with the same amount.</w:t>
      </w:r>
    </w:p>
    <w:p w:rsidR="00B044BD" w:rsidRPr="00B044BD" w:rsidRDefault="00B044BD" w:rsidP="00B044BD">
      <w:pPr>
        <w:shd w:val="clear" w:color="auto" w:fill="FFFFFF"/>
        <w:spacing w:after="0" w:line="240" w:lineRule="auto"/>
        <w:rPr>
          <w:rFonts w:ascii="Arial Black" w:eastAsia="Times New Roman" w:hAnsi="Arial Black" w:cs="Times New Roman"/>
          <w:b/>
          <w:color w:val="FF0000"/>
          <w:sz w:val="24"/>
          <w:szCs w:val="24"/>
          <w:lang w:eastAsia="en-IN"/>
        </w:rPr>
      </w:pPr>
    </w:p>
    <w:p w:rsidR="00B044BD" w:rsidRPr="00B044BD" w:rsidRDefault="00B044BD" w:rsidP="00B044BD">
      <w:pPr>
        <w:shd w:val="clear" w:color="auto" w:fill="FFFFFF"/>
        <w:spacing w:after="0" w:line="240" w:lineRule="auto"/>
        <w:rPr>
          <w:rFonts w:ascii="Arial Black" w:eastAsia="Times New Roman" w:hAnsi="Arial Black" w:cs="Times New Roman"/>
          <w:b/>
          <w:color w:val="FF0000"/>
          <w:sz w:val="24"/>
          <w:szCs w:val="24"/>
          <w:lang w:eastAsia="en-IN"/>
        </w:rPr>
      </w:pPr>
      <w:r w:rsidRPr="00B044BD">
        <w:rPr>
          <w:rFonts w:ascii="Arial Black" w:eastAsia="Times New Roman" w:hAnsi="Arial Black" w:cs="Times New Roman"/>
          <w:b/>
          <w:color w:val="FF0000"/>
          <w:sz w:val="24"/>
          <w:szCs w:val="24"/>
          <w:lang w:eastAsia="en-IN"/>
        </w:rPr>
        <w:t>For example: If a person purchases an asset on credit for Rs. 10,000, then the accounting shall be done by crediting cash and debiting asset account simultaneously with an amount of Rs. 10,000.</w:t>
      </w:r>
    </w:p>
    <w:p w:rsidR="00B044BD" w:rsidRPr="00B044BD" w:rsidRDefault="00B044BD" w:rsidP="00B044BD">
      <w:pPr>
        <w:shd w:val="clear" w:color="auto" w:fill="FFFFFF"/>
        <w:spacing w:before="540" w:after="195" w:line="240" w:lineRule="auto"/>
        <w:outlineLvl w:val="1"/>
        <w:rPr>
          <w:rFonts w:ascii="Helvetica" w:eastAsia="Times New Roman" w:hAnsi="Helvetica" w:cs="Helvetica"/>
          <w:b/>
          <w:color w:val="FF0000"/>
          <w:sz w:val="41"/>
          <w:szCs w:val="41"/>
          <w:lang w:eastAsia="en-IN"/>
        </w:rPr>
      </w:pPr>
      <w:r w:rsidRPr="00B044BD">
        <w:rPr>
          <w:rFonts w:ascii="Georgia" w:eastAsia="Times New Roman" w:hAnsi="Georgia" w:cs="Helvetica"/>
          <w:b/>
          <w:color w:val="FF0000"/>
          <w:sz w:val="27"/>
          <w:szCs w:val="27"/>
          <w:u w:val="single"/>
          <w:lang w:eastAsia="en-IN"/>
        </w:rPr>
        <w:t>Benefits of Accounting Rules</w:t>
      </w:r>
      <w:r w:rsidRPr="00B044BD">
        <w:rPr>
          <w:rFonts w:ascii="Georgia" w:eastAsia="Times New Roman" w:hAnsi="Georgia" w:cs="Helvetica"/>
          <w:b/>
          <w:color w:val="FF0000"/>
          <w:sz w:val="27"/>
          <w:szCs w:val="27"/>
          <w:lang w:eastAsia="en-IN"/>
        </w:rPr>
        <w:t>:</w:t>
      </w:r>
    </w:p>
    <w:p w:rsidR="00B044BD" w:rsidRPr="00B044BD" w:rsidRDefault="00B044BD" w:rsidP="00B044BD">
      <w:pPr>
        <w:shd w:val="clear" w:color="auto" w:fill="FFFFFF"/>
        <w:spacing w:after="0" w:line="240" w:lineRule="auto"/>
        <w:rPr>
          <w:rFonts w:ascii="Times New Roman" w:eastAsia="Times New Roman" w:hAnsi="Times New Roman" w:cs="Times New Roman"/>
          <w:sz w:val="24"/>
          <w:szCs w:val="24"/>
          <w:lang w:eastAsia="en-IN"/>
        </w:rPr>
      </w:pPr>
      <w:r w:rsidRPr="00B044BD">
        <w:rPr>
          <w:rFonts w:ascii="Georgia" w:eastAsia="Times New Roman" w:hAnsi="Georgia" w:cs="Times New Roman"/>
          <w:sz w:val="24"/>
          <w:szCs w:val="24"/>
          <w:lang w:eastAsia="en-IN"/>
        </w:rPr>
        <w:t>Accounting rules works as a base for any accounting framework. Before applying </w:t>
      </w:r>
      <w:hyperlink r:id="rId4" w:tgtFrame="_blank" w:history="1">
        <w:r w:rsidRPr="00B044BD">
          <w:rPr>
            <w:rFonts w:ascii="Georgia" w:eastAsia="Times New Roman" w:hAnsi="Georgia" w:cs="Times New Roman"/>
            <w:color w:val="0000FF"/>
            <w:sz w:val="24"/>
            <w:szCs w:val="24"/>
            <w:lang w:eastAsia="en-IN"/>
          </w:rPr>
          <w:t>accounting principles</w:t>
        </w:r>
      </w:hyperlink>
      <w:r w:rsidRPr="00B044BD">
        <w:rPr>
          <w:rFonts w:ascii="Georgia" w:eastAsia="Times New Roman" w:hAnsi="Georgia" w:cs="Times New Roman"/>
          <w:sz w:val="24"/>
          <w:szCs w:val="24"/>
          <w:lang w:eastAsia="en-IN"/>
        </w:rPr>
        <w:t> a person is required to know the basic accounting rules that in a transaction which account should be debited and which account should be credited. </w:t>
      </w:r>
    </w:p>
    <w:p w:rsidR="00B044BD" w:rsidRPr="00B044BD" w:rsidRDefault="00B044BD" w:rsidP="00B044BD">
      <w:pPr>
        <w:shd w:val="clear" w:color="auto" w:fill="FFFFFF"/>
        <w:spacing w:after="0" w:line="240" w:lineRule="auto"/>
        <w:rPr>
          <w:rFonts w:ascii="Times New Roman" w:eastAsia="Times New Roman" w:hAnsi="Times New Roman" w:cs="Times New Roman"/>
          <w:sz w:val="24"/>
          <w:szCs w:val="24"/>
          <w:lang w:eastAsia="en-IN"/>
        </w:rPr>
      </w:pPr>
    </w:p>
    <w:p w:rsidR="00B044BD" w:rsidRPr="00B044BD" w:rsidRDefault="00B044BD" w:rsidP="00B044BD">
      <w:pPr>
        <w:shd w:val="clear" w:color="auto" w:fill="FFFFFF"/>
        <w:spacing w:after="0" w:line="240" w:lineRule="auto"/>
        <w:rPr>
          <w:rFonts w:ascii="Times New Roman" w:eastAsia="Times New Roman" w:hAnsi="Times New Roman" w:cs="Times New Roman"/>
          <w:sz w:val="24"/>
          <w:szCs w:val="24"/>
          <w:lang w:eastAsia="en-IN"/>
        </w:rPr>
      </w:pPr>
      <w:r w:rsidRPr="00B044BD">
        <w:rPr>
          <w:rFonts w:ascii="Georgia" w:eastAsia="Times New Roman" w:hAnsi="Georgia" w:cs="Times New Roman"/>
          <w:sz w:val="24"/>
          <w:szCs w:val="24"/>
          <w:lang w:eastAsia="en-IN"/>
        </w:rPr>
        <w:t>Accounting rules are used uniformly by all entities and thus using it results in consistent and comparable financial reports.</w:t>
      </w:r>
    </w:p>
    <w:p w:rsidR="007D4654" w:rsidRDefault="007D4654"/>
    <w:p w:rsidR="00B044BD" w:rsidRPr="00B044BD" w:rsidRDefault="00B044BD" w:rsidP="00B044BD">
      <w:pPr>
        <w:pStyle w:val="Heading2"/>
        <w:spacing w:before="540" w:beforeAutospacing="0" w:after="195" w:afterAutospacing="0"/>
        <w:rPr>
          <w:rFonts w:ascii="Helvetica" w:hAnsi="Helvetica" w:cs="Helvetica"/>
          <w:bCs w:val="0"/>
          <w:color w:val="FF0000"/>
          <w:sz w:val="41"/>
          <w:szCs w:val="41"/>
        </w:rPr>
      </w:pPr>
      <w:r w:rsidRPr="00B044BD">
        <w:rPr>
          <w:rFonts w:ascii="Georgia" w:hAnsi="Georgia" w:cs="Helvetica"/>
          <w:bCs w:val="0"/>
          <w:color w:val="FF0000"/>
          <w:sz w:val="27"/>
          <w:szCs w:val="27"/>
          <w:u w:val="single"/>
        </w:rPr>
        <w:t>Accounting Rules of Debit and Credit</w:t>
      </w:r>
      <w:r w:rsidRPr="00B044BD">
        <w:rPr>
          <w:rFonts w:ascii="Georgia" w:hAnsi="Georgia" w:cs="Helvetica"/>
          <w:bCs w:val="0"/>
          <w:color w:val="FF0000"/>
          <w:sz w:val="27"/>
          <w:szCs w:val="27"/>
        </w:rPr>
        <w:t>:</w:t>
      </w:r>
    </w:p>
    <w:p w:rsidR="00B044BD" w:rsidRDefault="00B044BD" w:rsidP="00B044BD">
      <w:pPr>
        <w:pStyle w:val="NormalWeb"/>
        <w:spacing w:before="0" w:beforeAutospacing="0" w:after="180" w:afterAutospacing="0"/>
        <w:rPr>
          <w:rFonts w:ascii="Helvetica" w:hAnsi="Helvetica" w:cs="Helvetica"/>
          <w:color w:val="525252"/>
        </w:rPr>
      </w:pPr>
      <w:r>
        <w:rPr>
          <w:rFonts w:ascii="Georgia" w:hAnsi="Georgia" w:cs="Helvetica"/>
          <w:color w:val="525252"/>
        </w:rPr>
        <w:t>There are rules of debit and credit to record transactions, one is traditional approach and the other is modern approach, both the approaches have been defined in detail below:</w:t>
      </w:r>
    </w:p>
    <w:p w:rsidR="00B044BD" w:rsidRPr="00B044BD" w:rsidRDefault="00B044BD" w:rsidP="00B044BD">
      <w:pPr>
        <w:pStyle w:val="Heading2"/>
        <w:spacing w:before="540" w:beforeAutospacing="0" w:after="195" w:afterAutospacing="0"/>
        <w:rPr>
          <w:rFonts w:ascii="Helvetica" w:hAnsi="Helvetica" w:cs="Helvetica"/>
          <w:bCs w:val="0"/>
          <w:color w:val="FF0000"/>
          <w:sz w:val="41"/>
          <w:szCs w:val="41"/>
        </w:rPr>
      </w:pPr>
      <w:r w:rsidRPr="00B044BD">
        <w:rPr>
          <w:rFonts w:ascii="Georgia" w:hAnsi="Georgia" w:cs="Helvetica"/>
          <w:bCs w:val="0"/>
          <w:color w:val="FF0000"/>
          <w:sz w:val="27"/>
          <w:szCs w:val="27"/>
          <w:u w:val="single"/>
        </w:rPr>
        <w:t>Golden Rules of Accounting (Traditional Approach)</w:t>
      </w:r>
      <w:r w:rsidRPr="00B044BD">
        <w:rPr>
          <w:rFonts w:ascii="Georgia" w:hAnsi="Georgia" w:cs="Helvetica"/>
          <w:bCs w:val="0"/>
          <w:color w:val="FF0000"/>
          <w:sz w:val="27"/>
          <w:szCs w:val="27"/>
        </w:rPr>
        <w:t>:</w:t>
      </w:r>
    </w:p>
    <w:p w:rsidR="00B044BD" w:rsidRDefault="00B044BD" w:rsidP="00B044BD">
      <w:pPr>
        <w:pStyle w:val="NormalWeb"/>
        <w:spacing w:before="0" w:beforeAutospacing="0" w:after="180" w:afterAutospacing="0"/>
        <w:rPr>
          <w:rFonts w:ascii="Helvetica" w:hAnsi="Helvetica" w:cs="Helvetica"/>
          <w:color w:val="525252"/>
        </w:rPr>
      </w:pPr>
      <w:r>
        <w:rPr>
          <w:rFonts w:ascii="Georgia" w:hAnsi="Georgia" w:cs="Helvetica"/>
          <w:color w:val="525252"/>
        </w:rPr>
        <w:t>Golden rules of accounting are the basic accounting rules on the basis of which accounting entries are recorded.</w:t>
      </w:r>
    </w:p>
    <w:p w:rsidR="00B044BD" w:rsidRDefault="00B044BD" w:rsidP="00B044BD">
      <w:pPr>
        <w:pStyle w:val="Heading3"/>
        <w:spacing w:before="0"/>
        <w:rPr>
          <w:rFonts w:ascii="Times New Roman" w:hAnsi="Times New Roman" w:cs="Times New Roman"/>
          <w:color w:val="auto"/>
        </w:rPr>
      </w:pPr>
      <w:r>
        <w:rPr>
          <w:rFonts w:ascii="Georgia" w:hAnsi="Georgia"/>
          <w:sz w:val="24"/>
          <w:szCs w:val="24"/>
        </w:rPr>
        <w:t>Personal Account: </w:t>
      </w:r>
    </w:p>
    <w:p w:rsidR="00B044BD" w:rsidRDefault="00B044BD" w:rsidP="00B044BD">
      <w:r>
        <w:rPr>
          <w:rFonts w:ascii="Georgia" w:hAnsi="Georgia"/>
        </w:rPr>
        <w:t>The rule related to Personal account states debit the receiver and credit the giver. In other words, if a person receives something, receiver’s account shall be debited and if a person gives something, giver’s account shall be credited. </w:t>
      </w:r>
    </w:p>
    <w:p w:rsidR="00B044BD" w:rsidRDefault="00B044BD" w:rsidP="00B044BD"/>
    <w:p w:rsidR="00B044BD" w:rsidRDefault="00B044BD" w:rsidP="00B044BD">
      <w:r>
        <w:rPr>
          <w:rFonts w:ascii="Georgia" w:hAnsi="Georgia"/>
        </w:rPr>
        <w:t>For example, if Mr. X receives cash of Rs. 10,000 from Mr. Y then in the books of Mr. Y, Mr. X will be receiver so account of Mr. X will be debited with an amount of Rs. 10,000. </w:t>
      </w:r>
    </w:p>
    <w:p w:rsidR="00B044BD" w:rsidRDefault="00B044BD" w:rsidP="00B044BD">
      <w:pPr>
        <w:pStyle w:val="Heading3"/>
        <w:spacing w:before="0"/>
      </w:pPr>
      <w:r>
        <w:rPr>
          <w:rFonts w:ascii="Georgia" w:hAnsi="Georgia"/>
          <w:sz w:val="24"/>
          <w:szCs w:val="24"/>
        </w:rPr>
        <w:t>Real Account:</w:t>
      </w:r>
      <w:r>
        <w:t> </w:t>
      </w:r>
    </w:p>
    <w:p w:rsidR="00B044BD" w:rsidRDefault="00B044BD" w:rsidP="00B044BD">
      <w:r>
        <w:rPr>
          <w:rFonts w:ascii="Georgia" w:hAnsi="Georgia"/>
        </w:rPr>
        <w:t>The rule related to real account states debit what comes in, credit what goes out. In other words, if something comes into business, it shall be debited and if something goes out of business, it shall be credited. </w:t>
      </w:r>
    </w:p>
    <w:p w:rsidR="00B044BD" w:rsidRDefault="00B044BD" w:rsidP="00B044BD"/>
    <w:p w:rsidR="00B044BD" w:rsidRDefault="00B044BD" w:rsidP="00B044BD">
      <w:r>
        <w:rPr>
          <w:rFonts w:ascii="Georgia" w:hAnsi="Georgia"/>
        </w:rPr>
        <w:t>For example: An asset purchased for cash would be accounted as per rules of real account wherein asset is what came into business, so asset account will be debited and cash is something that got out of business, so cash account will be credited.</w:t>
      </w:r>
    </w:p>
    <w:p w:rsidR="00B044BD" w:rsidRDefault="00B044BD" w:rsidP="00B044BD"/>
    <w:p w:rsidR="00B044BD" w:rsidRDefault="00B044BD" w:rsidP="00B044BD">
      <w:pPr>
        <w:pStyle w:val="Heading3"/>
        <w:spacing w:before="0"/>
      </w:pPr>
      <w:r>
        <w:rPr>
          <w:rFonts w:ascii="Georgia" w:hAnsi="Georgia"/>
          <w:sz w:val="24"/>
          <w:szCs w:val="24"/>
        </w:rPr>
        <w:lastRenderedPageBreak/>
        <w:t>Nominal Account: </w:t>
      </w:r>
    </w:p>
    <w:p w:rsidR="00B044BD" w:rsidRDefault="00B044BD" w:rsidP="00B044BD">
      <w:pPr>
        <w:pStyle w:val="NormalWeb"/>
        <w:spacing w:before="0" w:beforeAutospacing="0" w:after="180" w:afterAutospacing="0"/>
        <w:rPr>
          <w:rFonts w:ascii="Helvetica" w:hAnsi="Helvetica" w:cs="Helvetica"/>
          <w:color w:val="525252"/>
        </w:rPr>
      </w:pPr>
      <w:r>
        <w:rPr>
          <w:rFonts w:ascii="Georgia" w:hAnsi="Georgia" w:cs="Helvetica"/>
          <w:color w:val="525252"/>
        </w:rPr>
        <w:t>The rule related to nominal account states that debit all expenses and losses, credit all incomes and gains. In other words, if any expense or loss is incurred for the business, expense or loss account shall be debited and if any income or gain is earned in business, income account or gain/profit account shall be credited. </w:t>
      </w:r>
    </w:p>
    <w:p w:rsidR="00B044BD" w:rsidRDefault="00B044BD" w:rsidP="00B044BD">
      <w:pPr>
        <w:pStyle w:val="NormalWeb"/>
        <w:spacing w:before="0" w:beforeAutospacing="0" w:after="180" w:afterAutospacing="0"/>
        <w:rPr>
          <w:rFonts w:ascii="Helvetica" w:hAnsi="Helvetica" w:cs="Helvetica"/>
          <w:color w:val="525252"/>
        </w:rPr>
      </w:pPr>
      <w:r>
        <w:rPr>
          <w:rFonts w:ascii="Georgia" w:hAnsi="Georgia" w:cs="Helvetica"/>
          <w:color w:val="525252"/>
        </w:rPr>
        <w:t>For example: If salaries are paid to employees then salary is an expense and hence salary account shall be debited. Likewise any rent received shall be credited to rent account as it is an income.</w:t>
      </w:r>
    </w:p>
    <w:p w:rsidR="00B044BD" w:rsidRDefault="00B044BD" w:rsidP="00B044BD">
      <w:pPr>
        <w:pStyle w:val="Heading2"/>
        <w:spacing w:before="540" w:beforeAutospacing="0" w:after="195" w:afterAutospacing="0"/>
        <w:rPr>
          <w:rFonts w:ascii="Helvetica" w:hAnsi="Helvetica" w:cs="Helvetica"/>
          <w:b w:val="0"/>
          <w:bCs w:val="0"/>
          <w:color w:val="000000"/>
          <w:sz w:val="41"/>
          <w:szCs w:val="41"/>
        </w:rPr>
      </w:pPr>
      <w:r>
        <w:rPr>
          <w:rFonts w:ascii="Georgia" w:hAnsi="Georgia" w:cs="Helvetica"/>
          <w:b w:val="0"/>
          <w:bCs w:val="0"/>
          <w:color w:val="000000"/>
          <w:sz w:val="27"/>
          <w:szCs w:val="27"/>
          <w:u w:val="single"/>
        </w:rPr>
        <w:t>Modern Rules of accounting (Classification of Accounts)</w:t>
      </w:r>
      <w:r>
        <w:rPr>
          <w:rFonts w:ascii="Georgia" w:hAnsi="Georgia" w:cs="Helvetica"/>
          <w:b w:val="0"/>
          <w:bCs w:val="0"/>
          <w:color w:val="000000"/>
          <w:sz w:val="27"/>
          <w:szCs w:val="27"/>
        </w:rPr>
        <w:t>:</w:t>
      </w:r>
    </w:p>
    <w:p w:rsidR="00B044BD" w:rsidRDefault="00B044BD" w:rsidP="00B044BD">
      <w:pPr>
        <w:pStyle w:val="NormalWeb"/>
        <w:spacing w:before="0" w:beforeAutospacing="0" w:after="180" w:afterAutospacing="0"/>
        <w:rPr>
          <w:rFonts w:ascii="Helvetica" w:hAnsi="Helvetica" w:cs="Helvetica"/>
          <w:color w:val="525252"/>
        </w:rPr>
      </w:pPr>
      <w:r>
        <w:rPr>
          <w:rFonts w:ascii="Georgia" w:hAnsi="Georgia" w:cs="Helvetica"/>
          <w:color w:val="525252"/>
        </w:rPr>
        <w:t>As per modern rules of accounting, transaction will be categorised into 6 heads or accounts and any increase or decrease in such account will either be debited or credited in the manner shown in the table given below:</w:t>
      </w:r>
    </w:p>
    <w:tbl>
      <w:tblPr>
        <w:tblW w:w="0" w:type="auto"/>
        <w:tblCellMar>
          <w:left w:w="0" w:type="dxa"/>
          <w:right w:w="0" w:type="dxa"/>
        </w:tblCellMar>
        <w:tblLook w:val="04A0"/>
      </w:tblPr>
      <w:tblGrid>
        <w:gridCol w:w="3261"/>
        <w:gridCol w:w="2835"/>
        <w:gridCol w:w="2920"/>
      </w:tblGrid>
      <w:tr w:rsidR="00B044BD" w:rsidTr="00B044BD">
        <w:trPr>
          <w:trHeight w:val="454"/>
        </w:trPr>
        <w:tc>
          <w:tcPr>
            <w:tcW w:w="3261" w:type="dxa"/>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hideMark/>
          </w:tcPr>
          <w:p w:rsidR="00B044BD" w:rsidRPr="00B044BD" w:rsidRDefault="00B044BD">
            <w:pPr>
              <w:jc w:val="both"/>
              <w:rPr>
                <w:rFonts w:ascii="Helvetica" w:hAnsi="Helvetica" w:cs="Helvetica"/>
                <w:b/>
                <w:color w:val="FF0000"/>
                <w:sz w:val="24"/>
                <w:szCs w:val="24"/>
              </w:rPr>
            </w:pPr>
            <w:r w:rsidRPr="00B044BD">
              <w:rPr>
                <w:rFonts w:ascii="Georgia" w:hAnsi="Georgia" w:cs="Helvetica"/>
                <w:b/>
                <w:bCs/>
                <w:i/>
                <w:iCs/>
                <w:color w:val="FF0000"/>
              </w:rPr>
              <w:t>Types of Account</w:t>
            </w:r>
          </w:p>
        </w:tc>
        <w:tc>
          <w:tcPr>
            <w:tcW w:w="2835"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rsidR="00B044BD" w:rsidRPr="00B044BD" w:rsidRDefault="00B044BD">
            <w:pPr>
              <w:jc w:val="both"/>
              <w:rPr>
                <w:rFonts w:ascii="Helvetica" w:hAnsi="Helvetica" w:cs="Helvetica"/>
                <w:b/>
                <w:color w:val="FF0000"/>
                <w:sz w:val="24"/>
                <w:szCs w:val="24"/>
              </w:rPr>
            </w:pPr>
            <w:r w:rsidRPr="00B044BD">
              <w:rPr>
                <w:rFonts w:ascii="Georgia" w:hAnsi="Georgia" w:cs="Helvetica"/>
                <w:b/>
                <w:bCs/>
                <w:i/>
                <w:iCs/>
                <w:color w:val="FF0000"/>
              </w:rPr>
              <w:t>Account to be        debited</w:t>
            </w:r>
          </w:p>
        </w:tc>
        <w:tc>
          <w:tcPr>
            <w:tcW w:w="2920" w:type="dxa"/>
            <w:tcBorders>
              <w:top w:val="single" w:sz="8" w:space="0" w:color="BFBFBF"/>
              <w:left w:val="nil"/>
              <w:bottom w:val="single" w:sz="8" w:space="0" w:color="BFBFBF"/>
              <w:right w:val="single" w:sz="8" w:space="0" w:color="BFBFBF"/>
            </w:tcBorders>
            <w:tcMar>
              <w:top w:w="0" w:type="dxa"/>
              <w:left w:w="108" w:type="dxa"/>
              <w:bottom w:w="0" w:type="dxa"/>
              <w:right w:w="108" w:type="dxa"/>
            </w:tcMar>
            <w:hideMark/>
          </w:tcPr>
          <w:p w:rsidR="00B044BD" w:rsidRPr="00B044BD" w:rsidRDefault="00B044BD">
            <w:pPr>
              <w:jc w:val="both"/>
              <w:rPr>
                <w:rFonts w:ascii="Helvetica" w:hAnsi="Helvetica" w:cs="Helvetica"/>
                <w:b/>
                <w:color w:val="FF0000"/>
                <w:sz w:val="24"/>
                <w:szCs w:val="24"/>
              </w:rPr>
            </w:pPr>
            <w:r w:rsidRPr="00B044BD">
              <w:rPr>
                <w:rFonts w:ascii="Georgia" w:hAnsi="Georgia" w:cs="Helvetica"/>
                <w:b/>
                <w:bCs/>
                <w:i/>
                <w:iCs/>
                <w:color w:val="FF0000"/>
              </w:rPr>
              <w:t>Account to be      credited</w:t>
            </w:r>
          </w:p>
        </w:tc>
      </w:tr>
      <w:tr w:rsidR="00B044BD" w:rsidTr="00B044BD">
        <w:tc>
          <w:tcPr>
            <w:tcW w:w="3261"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Assets account</w:t>
            </w:r>
          </w:p>
        </w:tc>
        <w:tc>
          <w:tcPr>
            <w:tcW w:w="2835" w:type="dxa"/>
            <w:tcBorders>
              <w:top w:val="nil"/>
              <w:left w:val="nil"/>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Increase</w:t>
            </w:r>
          </w:p>
        </w:tc>
        <w:tc>
          <w:tcPr>
            <w:tcW w:w="2920" w:type="dxa"/>
            <w:tcBorders>
              <w:top w:val="nil"/>
              <w:left w:val="nil"/>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Decrease</w:t>
            </w:r>
          </w:p>
        </w:tc>
      </w:tr>
      <w:tr w:rsidR="00B044BD" w:rsidTr="00B044BD">
        <w:tc>
          <w:tcPr>
            <w:tcW w:w="3261"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Liabilities account</w:t>
            </w:r>
          </w:p>
        </w:tc>
        <w:tc>
          <w:tcPr>
            <w:tcW w:w="2835" w:type="dxa"/>
            <w:tcBorders>
              <w:top w:val="nil"/>
              <w:left w:val="nil"/>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Decrease</w:t>
            </w:r>
          </w:p>
        </w:tc>
        <w:tc>
          <w:tcPr>
            <w:tcW w:w="2920" w:type="dxa"/>
            <w:tcBorders>
              <w:top w:val="nil"/>
              <w:left w:val="nil"/>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Increase</w:t>
            </w:r>
          </w:p>
        </w:tc>
      </w:tr>
      <w:tr w:rsidR="00B044BD" w:rsidTr="00B044BD">
        <w:tc>
          <w:tcPr>
            <w:tcW w:w="3261"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Capital account</w:t>
            </w:r>
          </w:p>
        </w:tc>
        <w:tc>
          <w:tcPr>
            <w:tcW w:w="2835" w:type="dxa"/>
            <w:tcBorders>
              <w:top w:val="nil"/>
              <w:left w:val="nil"/>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Decrease</w:t>
            </w:r>
          </w:p>
        </w:tc>
        <w:tc>
          <w:tcPr>
            <w:tcW w:w="2920" w:type="dxa"/>
            <w:tcBorders>
              <w:top w:val="nil"/>
              <w:left w:val="nil"/>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Increase</w:t>
            </w:r>
          </w:p>
        </w:tc>
      </w:tr>
      <w:tr w:rsidR="00B044BD" w:rsidTr="00B044BD">
        <w:tc>
          <w:tcPr>
            <w:tcW w:w="3261"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Revenue account</w:t>
            </w:r>
          </w:p>
        </w:tc>
        <w:tc>
          <w:tcPr>
            <w:tcW w:w="2835" w:type="dxa"/>
            <w:tcBorders>
              <w:top w:val="nil"/>
              <w:left w:val="nil"/>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Decrease</w:t>
            </w:r>
          </w:p>
        </w:tc>
        <w:tc>
          <w:tcPr>
            <w:tcW w:w="2920" w:type="dxa"/>
            <w:tcBorders>
              <w:top w:val="nil"/>
              <w:left w:val="nil"/>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Increase</w:t>
            </w:r>
          </w:p>
        </w:tc>
      </w:tr>
      <w:tr w:rsidR="00B044BD" w:rsidTr="00B044BD">
        <w:tc>
          <w:tcPr>
            <w:tcW w:w="3261"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Expenditure account</w:t>
            </w:r>
          </w:p>
        </w:tc>
        <w:tc>
          <w:tcPr>
            <w:tcW w:w="2835" w:type="dxa"/>
            <w:tcBorders>
              <w:top w:val="nil"/>
              <w:left w:val="nil"/>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Increase</w:t>
            </w:r>
          </w:p>
        </w:tc>
        <w:tc>
          <w:tcPr>
            <w:tcW w:w="2920" w:type="dxa"/>
            <w:tcBorders>
              <w:top w:val="nil"/>
              <w:left w:val="nil"/>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Decrease</w:t>
            </w:r>
          </w:p>
        </w:tc>
      </w:tr>
      <w:tr w:rsidR="00B044BD" w:rsidTr="00B044BD">
        <w:tc>
          <w:tcPr>
            <w:tcW w:w="3261"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Withdrawal account</w:t>
            </w:r>
          </w:p>
        </w:tc>
        <w:tc>
          <w:tcPr>
            <w:tcW w:w="2835" w:type="dxa"/>
            <w:tcBorders>
              <w:top w:val="nil"/>
              <w:left w:val="nil"/>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Increase</w:t>
            </w:r>
          </w:p>
        </w:tc>
        <w:tc>
          <w:tcPr>
            <w:tcW w:w="2920" w:type="dxa"/>
            <w:tcBorders>
              <w:top w:val="nil"/>
              <w:left w:val="nil"/>
              <w:bottom w:val="single" w:sz="8" w:space="0" w:color="BFBFBF"/>
              <w:right w:val="single" w:sz="8" w:space="0" w:color="BFBFBF"/>
            </w:tcBorders>
            <w:tcMar>
              <w:top w:w="0" w:type="dxa"/>
              <w:left w:w="108" w:type="dxa"/>
              <w:bottom w:w="0" w:type="dxa"/>
              <w:right w:w="108" w:type="dxa"/>
            </w:tcMar>
            <w:hideMark/>
          </w:tcPr>
          <w:p w:rsidR="00B044BD" w:rsidRDefault="00B044BD">
            <w:pPr>
              <w:jc w:val="both"/>
              <w:rPr>
                <w:rFonts w:ascii="Helvetica" w:hAnsi="Helvetica" w:cs="Helvetica"/>
                <w:color w:val="525252"/>
                <w:sz w:val="24"/>
                <w:szCs w:val="24"/>
              </w:rPr>
            </w:pPr>
            <w:r>
              <w:rPr>
                <w:rFonts w:ascii="Georgia" w:hAnsi="Georgia" w:cs="Helvetica"/>
                <w:color w:val="525252"/>
              </w:rPr>
              <w:t>Decrease</w:t>
            </w:r>
          </w:p>
        </w:tc>
      </w:tr>
    </w:tbl>
    <w:p w:rsidR="00B044BD" w:rsidRDefault="00B044BD" w:rsidP="00B044BD">
      <w:pPr>
        <w:rPr>
          <w:rFonts w:ascii="Times New Roman" w:hAnsi="Times New Roman" w:cs="Times New Roman"/>
        </w:rPr>
      </w:pPr>
    </w:p>
    <w:p w:rsidR="00B044BD" w:rsidRDefault="00B044BD" w:rsidP="00B044BD">
      <w:r>
        <w:rPr>
          <w:rFonts w:ascii="Georgia" w:hAnsi="Georgia"/>
        </w:rPr>
        <w:t>For example: Mr. X sold goods to B for Rs. 6,000 on credit. In such case, Mr. X will record two accounts, one is B (Debtor Account which is an asset account) and the other is sales (which is a revenue account). In this case since revenue has increased and asset account has also increased, asset will be debited and sales will be credited. Entry will be:</w:t>
      </w:r>
    </w:p>
    <w:p w:rsidR="00B044BD" w:rsidRDefault="00B044BD" w:rsidP="00B044BD"/>
    <w:p w:rsidR="00B044BD" w:rsidRDefault="00B044BD" w:rsidP="00B044BD">
      <w:pPr>
        <w:pStyle w:val="NormalWeb"/>
        <w:shd w:val="clear" w:color="auto" w:fill="FFFFFF"/>
        <w:spacing w:before="0" w:beforeAutospacing="0" w:after="180" w:afterAutospacing="0"/>
        <w:rPr>
          <w:rFonts w:ascii="Helvetica" w:hAnsi="Helvetica" w:cs="Helvetica"/>
          <w:color w:val="525252"/>
        </w:rPr>
      </w:pPr>
      <w:r>
        <w:rPr>
          <w:rFonts w:ascii="Georgia" w:hAnsi="Georgia" w:cs="Helvetica"/>
          <w:color w:val="525252"/>
        </w:rPr>
        <w:t>B (Debtor) Account</w:t>
      </w:r>
      <w:r>
        <w:rPr>
          <w:rFonts w:ascii="Georgia" w:hAnsi="Georgia" w:cs="Helvetica"/>
          <w:color w:val="525252"/>
        </w:rPr>
        <w:tab/>
      </w:r>
      <w:r>
        <w:rPr>
          <w:rFonts w:ascii="Georgia" w:hAnsi="Georgia" w:cs="Helvetica"/>
          <w:color w:val="525252"/>
        </w:rPr>
        <w:tab/>
      </w:r>
      <w:r>
        <w:rPr>
          <w:rFonts w:ascii="Georgia" w:hAnsi="Georgia" w:cs="Helvetica"/>
          <w:color w:val="525252"/>
        </w:rPr>
        <w:tab/>
      </w:r>
      <w:r>
        <w:rPr>
          <w:rFonts w:ascii="Georgia" w:hAnsi="Georgia" w:cs="Helvetica"/>
          <w:color w:val="525252"/>
        </w:rPr>
        <w:tab/>
      </w:r>
      <w:r>
        <w:rPr>
          <w:rFonts w:ascii="Georgia" w:hAnsi="Georgia" w:cs="Helvetica"/>
          <w:color w:val="525252"/>
        </w:rPr>
        <w:tab/>
        <w:t>Dr.</w:t>
      </w:r>
      <w:r>
        <w:rPr>
          <w:rFonts w:ascii="Georgia" w:hAnsi="Georgia" w:cs="Helvetica"/>
          <w:color w:val="525252"/>
        </w:rPr>
        <w:br/>
      </w:r>
      <w:r>
        <w:rPr>
          <w:rFonts w:ascii="Georgia" w:hAnsi="Georgia" w:cs="Helvetica"/>
          <w:color w:val="525252"/>
        </w:rPr>
        <w:tab/>
        <w:t xml:space="preserve">To Sales </w:t>
      </w:r>
      <w:proofErr w:type="gramStart"/>
      <w:r>
        <w:rPr>
          <w:rFonts w:ascii="Georgia" w:hAnsi="Georgia" w:cs="Helvetica"/>
          <w:color w:val="525252"/>
        </w:rPr>
        <w:t>Account</w:t>
      </w:r>
      <w:proofErr w:type="gramEnd"/>
      <w:r>
        <w:rPr>
          <w:rFonts w:ascii="Georgia" w:hAnsi="Georgia" w:cs="Helvetica"/>
          <w:color w:val="525252"/>
        </w:rPr>
        <w:br/>
        <w:t>(Being goods sold to B on credit)</w:t>
      </w:r>
    </w:p>
    <w:p w:rsidR="00B044BD" w:rsidRDefault="00B044BD" w:rsidP="00B044BD">
      <w:pPr>
        <w:pStyle w:val="NormalWeb"/>
        <w:shd w:val="clear" w:color="auto" w:fill="FFFFFF"/>
        <w:spacing w:before="0" w:beforeAutospacing="0" w:after="180" w:afterAutospacing="0"/>
        <w:rPr>
          <w:rFonts w:ascii="Georgia" w:hAnsi="Georgia" w:cs="Helvetica"/>
          <w:color w:val="525252"/>
        </w:rPr>
      </w:pPr>
      <w:r>
        <w:rPr>
          <w:rFonts w:ascii="Georgia" w:hAnsi="Georgia" w:cs="Helvetica"/>
          <w:color w:val="525252"/>
        </w:rPr>
        <w:t>Hence, it can be concluded that accounting rule is basis of accounting. Once a transaction has been done, it shows how that transaction should be recorded in the books. </w:t>
      </w:r>
    </w:p>
    <w:p w:rsidR="00B044BD" w:rsidRDefault="00B044BD" w:rsidP="00B044BD">
      <w:pPr>
        <w:pStyle w:val="NormalWeb"/>
        <w:shd w:val="clear" w:color="auto" w:fill="FFFFFF"/>
        <w:spacing w:before="0" w:beforeAutospacing="0" w:after="180" w:afterAutospacing="0"/>
        <w:rPr>
          <w:rFonts w:ascii="Georgia" w:hAnsi="Georgia" w:cs="Helvetica"/>
          <w:color w:val="525252"/>
        </w:rPr>
      </w:pPr>
    </w:p>
    <w:p w:rsidR="00B044BD" w:rsidRDefault="00B044BD" w:rsidP="00B044BD">
      <w:pPr>
        <w:pStyle w:val="NormalWeb"/>
        <w:shd w:val="clear" w:color="auto" w:fill="FFFFFF"/>
        <w:spacing w:before="0" w:beforeAutospacing="0" w:after="180" w:afterAutospacing="0"/>
        <w:rPr>
          <w:rFonts w:ascii="Georgia" w:hAnsi="Georgia" w:cs="Helvetica"/>
          <w:color w:val="525252"/>
        </w:rPr>
      </w:pPr>
    </w:p>
    <w:p w:rsidR="00B044BD" w:rsidRPr="00B044BD" w:rsidRDefault="00B044BD" w:rsidP="00B044BD">
      <w:pPr>
        <w:pStyle w:val="NormalWeb"/>
        <w:shd w:val="clear" w:color="auto" w:fill="FFFFFF"/>
        <w:spacing w:before="0" w:beforeAutospacing="0" w:after="180" w:afterAutospacing="0"/>
        <w:rPr>
          <w:rFonts w:ascii="Georgia" w:hAnsi="Georgia" w:cs="Helvetica"/>
          <w:b/>
          <w:color w:val="FF0000"/>
        </w:rPr>
      </w:pPr>
      <w:proofErr w:type="gramStart"/>
      <w:r w:rsidRPr="00B044BD">
        <w:rPr>
          <w:rFonts w:ascii="Georgia" w:hAnsi="Georgia" w:cs="Helvetica"/>
          <w:b/>
          <w:color w:val="FF0000"/>
        </w:rPr>
        <w:t>AUTHOR :</w:t>
      </w:r>
      <w:proofErr w:type="gramEnd"/>
      <w:r w:rsidRPr="00B044BD">
        <w:rPr>
          <w:rFonts w:ascii="Georgia" w:hAnsi="Georgia" w:cs="Helvetica"/>
          <w:b/>
          <w:color w:val="FF0000"/>
        </w:rPr>
        <w:t xml:space="preserve"> </w:t>
      </w:r>
    </w:p>
    <w:p w:rsidR="00B044BD" w:rsidRPr="00B044BD" w:rsidRDefault="00B044BD" w:rsidP="00B044BD">
      <w:pPr>
        <w:pStyle w:val="NormalWeb"/>
        <w:shd w:val="clear" w:color="auto" w:fill="FFFFFF"/>
        <w:spacing w:before="0" w:beforeAutospacing="0" w:after="180" w:afterAutospacing="0"/>
        <w:rPr>
          <w:rFonts w:ascii="Georgia" w:hAnsi="Georgia" w:cs="Helvetica"/>
          <w:b/>
          <w:color w:val="FF0000"/>
        </w:rPr>
      </w:pPr>
      <w:r w:rsidRPr="00B044BD">
        <w:rPr>
          <w:rFonts w:ascii="Georgia" w:hAnsi="Georgia" w:cs="Helvetica"/>
          <w:b/>
          <w:color w:val="FF0000"/>
        </w:rPr>
        <w:t>MR. SURAJIT MITRA</w:t>
      </w:r>
    </w:p>
    <w:p w:rsidR="00B044BD" w:rsidRDefault="00B044BD" w:rsidP="00B044BD">
      <w:pPr>
        <w:pStyle w:val="NormalWeb"/>
        <w:shd w:val="clear" w:color="auto" w:fill="FFFFFF"/>
        <w:spacing w:before="0" w:beforeAutospacing="0" w:after="180" w:afterAutospacing="0"/>
        <w:rPr>
          <w:rFonts w:ascii="Georgia" w:hAnsi="Georgia" w:cs="Helvetica"/>
          <w:b/>
          <w:color w:val="FF0000"/>
        </w:rPr>
      </w:pPr>
      <w:r w:rsidRPr="00B044BD">
        <w:rPr>
          <w:rFonts w:ascii="Georgia" w:hAnsi="Georgia" w:cs="Helvetica"/>
          <w:b/>
          <w:color w:val="FF0000"/>
        </w:rPr>
        <w:t>B.COM. HONS FROM CALCUTTA UNIVERCITY</w:t>
      </w:r>
    </w:p>
    <w:p w:rsidR="00B044BD" w:rsidRDefault="00B044BD" w:rsidP="00B044BD">
      <w:pPr>
        <w:pStyle w:val="NormalWeb"/>
        <w:shd w:val="clear" w:color="auto" w:fill="FFFFFF"/>
        <w:spacing w:before="0" w:beforeAutospacing="0" w:after="180" w:afterAutospacing="0"/>
        <w:rPr>
          <w:rFonts w:ascii="Georgia" w:hAnsi="Georgia" w:cs="Helvetica"/>
          <w:b/>
          <w:color w:val="FF0000"/>
        </w:rPr>
      </w:pPr>
      <w:r>
        <w:rPr>
          <w:rFonts w:ascii="Georgia" w:hAnsi="Georgia" w:cs="Helvetica"/>
          <w:b/>
          <w:color w:val="FF0000"/>
        </w:rPr>
        <w:t>DIGREE OF COMPUTERISED FROM BRAINWARE</w:t>
      </w:r>
    </w:p>
    <w:p w:rsidR="00B044BD" w:rsidRPr="00B044BD" w:rsidRDefault="00B044BD" w:rsidP="00B044BD">
      <w:pPr>
        <w:pStyle w:val="NormalWeb"/>
        <w:shd w:val="clear" w:color="auto" w:fill="FFFFFF"/>
        <w:spacing w:before="0" w:beforeAutospacing="0" w:after="180" w:afterAutospacing="0"/>
        <w:rPr>
          <w:rFonts w:ascii="Georgia" w:hAnsi="Georgia" w:cs="Helvetica"/>
          <w:b/>
          <w:color w:val="FF0000"/>
        </w:rPr>
      </w:pPr>
      <w:r>
        <w:rPr>
          <w:rFonts w:ascii="Georgia" w:hAnsi="Georgia" w:cs="Helvetica"/>
          <w:b/>
          <w:color w:val="FF0000"/>
        </w:rPr>
        <w:t>COMPUTER ACADEMY</w:t>
      </w:r>
    </w:p>
    <w:p w:rsidR="00B044BD" w:rsidRDefault="00B044BD" w:rsidP="00B044BD">
      <w:pPr>
        <w:pStyle w:val="NormalWeb"/>
        <w:shd w:val="clear" w:color="auto" w:fill="FFFFFF"/>
        <w:spacing w:before="0" w:beforeAutospacing="0" w:after="180" w:afterAutospacing="0"/>
        <w:rPr>
          <w:rFonts w:ascii="Helvetica" w:hAnsi="Helvetica" w:cs="Helvetica"/>
          <w:color w:val="525252"/>
        </w:rPr>
      </w:pPr>
    </w:p>
    <w:p w:rsidR="00B044BD" w:rsidRDefault="00B044BD"/>
    <w:p w:rsidR="00B044BD" w:rsidRDefault="00B044BD"/>
    <w:p w:rsidR="00B044BD" w:rsidRDefault="00B044BD"/>
    <w:p w:rsidR="00B044BD" w:rsidRDefault="00B044BD"/>
    <w:p w:rsidR="00DA2652" w:rsidRDefault="00DA2652" w:rsidP="00DA2652">
      <w:pPr>
        <w:shd w:val="clear" w:color="auto" w:fill="FFFFFF"/>
        <w:spacing w:after="0" w:line="240" w:lineRule="auto"/>
        <w:rPr>
          <w:rFonts w:ascii="Arial Black" w:eastAsia="Times New Roman" w:hAnsi="Arial Black" w:cs="Times New Roman"/>
          <w:color w:val="FF0000"/>
          <w:sz w:val="24"/>
          <w:szCs w:val="24"/>
          <w:lang w:eastAsia="en-IN"/>
        </w:rPr>
      </w:pPr>
      <w:r w:rsidRPr="00B044BD">
        <w:rPr>
          <w:rFonts w:ascii="Arial Black" w:eastAsia="Times New Roman" w:hAnsi="Arial Black" w:cs="Times New Roman"/>
          <w:color w:val="FF0000"/>
          <w:sz w:val="24"/>
          <w:szCs w:val="24"/>
          <w:lang w:eastAsia="en-IN"/>
        </w:rPr>
        <w:t>INTRODUCTION OF ACCOUNTANCY</w:t>
      </w:r>
    </w:p>
    <w:p w:rsidR="00DA2652" w:rsidRDefault="00DA2652" w:rsidP="00DA2652">
      <w:pPr>
        <w:shd w:val="clear" w:color="auto" w:fill="FFFFFF"/>
        <w:spacing w:before="540" w:after="195" w:line="240" w:lineRule="auto"/>
        <w:outlineLvl w:val="1"/>
        <w:rPr>
          <w:rFonts w:ascii="Georgia" w:eastAsia="Times New Roman" w:hAnsi="Georgia" w:cs="Helvetica"/>
          <w:b/>
          <w:color w:val="FF0000"/>
          <w:sz w:val="27"/>
          <w:szCs w:val="27"/>
          <w:lang w:eastAsia="en-IN"/>
        </w:rPr>
      </w:pPr>
      <w:r w:rsidRPr="00B044BD">
        <w:rPr>
          <w:rFonts w:ascii="Georgia" w:eastAsia="Times New Roman" w:hAnsi="Georgia" w:cs="Helvetica"/>
          <w:b/>
          <w:color w:val="FF0000"/>
          <w:sz w:val="27"/>
          <w:szCs w:val="27"/>
          <w:u w:val="single"/>
          <w:lang w:eastAsia="en-IN"/>
        </w:rPr>
        <w:t>Benefits of Accounting Rules</w:t>
      </w:r>
      <w:r w:rsidRPr="00B044BD">
        <w:rPr>
          <w:rFonts w:ascii="Georgia" w:eastAsia="Times New Roman" w:hAnsi="Georgia" w:cs="Helvetica"/>
          <w:b/>
          <w:color w:val="FF0000"/>
          <w:sz w:val="27"/>
          <w:szCs w:val="27"/>
          <w:lang w:eastAsia="en-IN"/>
        </w:rPr>
        <w:t>:</w:t>
      </w:r>
    </w:p>
    <w:p w:rsidR="00DA2652" w:rsidRDefault="00DA2652" w:rsidP="00DA2652">
      <w:pPr>
        <w:pStyle w:val="Heading2"/>
        <w:spacing w:before="540" w:beforeAutospacing="0" w:after="195" w:afterAutospacing="0"/>
        <w:rPr>
          <w:rFonts w:ascii="Georgia" w:hAnsi="Georgia" w:cs="Helvetica"/>
          <w:bCs w:val="0"/>
          <w:color w:val="FF0000"/>
          <w:sz w:val="27"/>
          <w:szCs w:val="27"/>
        </w:rPr>
      </w:pPr>
      <w:r w:rsidRPr="00B044BD">
        <w:rPr>
          <w:rFonts w:ascii="Georgia" w:hAnsi="Georgia" w:cs="Helvetica"/>
          <w:bCs w:val="0"/>
          <w:color w:val="FF0000"/>
          <w:sz w:val="27"/>
          <w:szCs w:val="27"/>
          <w:u w:val="single"/>
        </w:rPr>
        <w:t>Accounting Rules of Debit and Credit</w:t>
      </w:r>
      <w:r w:rsidRPr="00B044BD">
        <w:rPr>
          <w:rFonts w:ascii="Georgia" w:hAnsi="Georgia" w:cs="Helvetica"/>
          <w:bCs w:val="0"/>
          <w:color w:val="FF0000"/>
          <w:sz w:val="27"/>
          <w:szCs w:val="27"/>
        </w:rPr>
        <w:t>:</w:t>
      </w:r>
    </w:p>
    <w:p w:rsidR="00DA2652" w:rsidRPr="00B044BD" w:rsidRDefault="00DA2652" w:rsidP="00DA2652">
      <w:pPr>
        <w:pStyle w:val="Heading2"/>
        <w:spacing w:before="540" w:beforeAutospacing="0" w:after="195" w:afterAutospacing="0"/>
        <w:rPr>
          <w:rFonts w:ascii="Helvetica" w:hAnsi="Helvetica" w:cs="Helvetica"/>
          <w:bCs w:val="0"/>
          <w:color w:val="FF0000"/>
          <w:sz w:val="41"/>
          <w:szCs w:val="41"/>
        </w:rPr>
      </w:pPr>
      <w:r w:rsidRPr="00B044BD">
        <w:rPr>
          <w:rFonts w:ascii="Georgia" w:hAnsi="Georgia" w:cs="Helvetica"/>
          <w:bCs w:val="0"/>
          <w:color w:val="FF0000"/>
          <w:sz w:val="27"/>
          <w:szCs w:val="27"/>
          <w:u w:val="single"/>
        </w:rPr>
        <w:t>Golden Rules of Accounting (Traditional Approach)</w:t>
      </w:r>
      <w:r w:rsidRPr="00B044BD">
        <w:rPr>
          <w:rFonts w:ascii="Georgia" w:hAnsi="Georgia" w:cs="Helvetica"/>
          <w:bCs w:val="0"/>
          <w:color w:val="FF0000"/>
          <w:sz w:val="27"/>
          <w:szCs w:val="27"/>
        </w:rPr>
        <w:t>:</w:t>
      </w:r>
    </w:p>
    <w:p w:rsidR="00DA2652" w:rsidRDefault="00DA2652" w:rsidP="00DA2652">
      <w:pPr>
        <w:pStyle w:val="Heading3"/>
        <w:spacing w:before="0"/>
        <w:rPr>
          <w:rFonts w:ascii="Georgia" w:hAnsi="Georgia"/>
          <w:sz w:val="24"/>
          <w:szCs w:val="24"/>
        </w:rPr>
      </w:pPr>
      <w:r>
        <w:rPr>
          <w:rFonts w:ascii="Georgia" w:hAnsi="Georgia"/>
          <w:sz w:val="24"/>
          <w:szCs w:val="24"/>
        </w:rPr>
        <w:t>Personal Account: Real Account:</w:t>
      </w:r>
      <w:r>
        <w:t> </w:t>
      </w:r>
      <w:r>
        <w:rPr>
          <w:rFonts w:ascii="Georgia" w:hAnsi="Georgia"/>
          <w:sz w:val="24"/>
          <w:szCs w:val="24"/>
        </w:rPr>
        <w:t>Nominal Account: </w:t>
      </w:r>
    </w:p>
    <w:p w:rsidR="00DA2652" w:rsidRPr="00DA2652" w:rsidRDefault="00DA2652" w:rsidP="00DA2652">
      <w:pPr>
        <w:pStyle w:val="Heading2"/>
        <w:spacing w:before="540" w:beforeAutospacing="0" w:after="195" w:afterAutospacing="0"/>
        <w:rPr>
          <w:rFonts w:ascii="Helvetica" w:hAnsi="Helvetica" w:cs="Helvetica"/>
          <w:bCs w:val="0"/>
          <w:color w:val="0070C0"/>
          <w:sz w:val="41"/>
          <w:szCs w:val="41"/>
        </w:rPr>
      </w:pPr>
      <w:r w:rsidRPr="00DA2652">
        <w:rPr>
          <w:rFonts w:ascii="Georgia" w:hAnsi="Georgia" w:cs="Helvetica"/>
          <w:bCs w:val="0"/>
          <w:color w:val="0070C0"/>
          <w:sz w:val="27"/>
          <w:szCs w:val="27"/>
        </w:rPr>
        <w:t>Modern Rules of accounting (Classification of Accounts):</w:t>
      </w:r>
    </w:p>
    <w:p w:rsidR="00DA2652" w:rsidRPr="00DA2652" w:rsidRDefault="00DA2652" w:rsidP="00DA2652"/>
    <w:p w:rsidR="00DA2652" w:rsidRDefault="00DA2652" w:rsidP="00DA2652">
      <w:pPr>
        <w:pStyle w:val="Heading3"/>
        <w:spacing w:before="0"/>
      </w:pPr>
    </w:p>
    <w:p w:rsidR="00DA2652" w:rsidRDefault="00DA2652" w:rsidP="00DA2652">
      <w:pPr>
        <w:pStyle w:val="Heading3"/>
        <w:spacing w:before="0"/>
        <w:rPr>
          <w:rFonts w:ascii="Times New Roman" w:hAnsi="Times New Roman" w:cs="Times New Roman"/>
          <w:color w:val="auto"/>
        </w:rPr>
      </w:pPr>
    </w:p>
    <w:p w:rsidR="00DA2652" w:rsidRPr="00B044BD" w:rsidRDefault="00DA2652" w:rsidP="00DA2652">
      <w:pPr>
        <w:pStyle w:val="Heading2"/>
        <w:spacing w:before="540" w:beforeAutospacing="0" w:after="195" w:afterAutospacing="0"/>
        <w:rPr>
          <w:rFonts w:ascii="Helvetica" w:hAnsi="Helvetica" w:cs="Helvetica"/>
          <w:bCs w:val="0"/>
          <w:color w:val="FF0000"/>
          <w:sz w:val="41"/>
          <w:szCs w:val="41"/>
        </w:rPr>
      </w:pPr>
    </w:p>
    <w:p w:rsidR="00DA2652" w:rsidRPr="00B044BD" w:rsidRDefault="00DA2652" w:rsidP="00DA2652">
      <w:pPr>
        <w:shd w:val="clear" w:color="auto" w:fill="FFFFFF"/>
        <w:spacing w:before="540" w:after="195" w:line="240" w:lineRule="auto"/>
        <w:outlineLvl w:val="1"/>
        <w:rPr>
          <w:rFonts w:ascii="Helvetica" w:eastAsia="Times New Roman" w:hAnsi="Helvetica" w:cs="Helvetica"/>
          <w:b/>
          <w:color w:val="FF0000"/>
          <w:sz w:val="41"/>
          <w:szCs w:val="41"/>
          <w:lang w:eastAsia="en-IN"/>
        </w:rPr>
      </w:pPr>
    </w:p>
    <w:p w:rsidR="00DA2652" w:rsidRPr="00B044BD" w:rsidRDefault="00DA2652" w:rsidP="00DA2652">
      <w:pPr>
        <w:shd w:val="clear" w:color="auto" w:fill="FFFFFF"/>
        <w:spacing w:after="0" w:line="240" w:lineRule="auto"/>
        <w:rPr>
          <w:rFonts w:ascii="Arial Black" w:eastAsia="Times New Roman" w:hAnsi="Arial Black" w:cs="Times New Roman"/>
          <w:color w:val="FF0000"/>
          <w:sz w:val="24"/>
          <w:szCs w:val="24"/>
          <w:lang w:eastAsia="en-IN"/>
        </w:rPr>
      </w:pPr>
    </w:p>
    <w:p w:rsidR="00B044BD" w:rsidRDefault="00B044BD"/>
    <w:p w:rsidR="00B044BD" w:rsidRDefault="00B044BD"/>
    <w:sectPr w:rsidR="00B044BD" w:rsidSect="00070735">
      <w:pgSz w:w="11906" w:h="16838"/>
      <w:pgMar w:top="227" w:right="312" w:bottom="238" w:left="22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rsids>
    <w:rsidRoot w:val="00B044BD"/>
    <w:rsid w:val="00070735"/>
    <w:rsid w:val="00170289"/>
    <w:rsid w:val="00305C91"/>
    <w:rsid w:val="003F2FF9"/>
    <w:rsid w:val="005E03BC"/>
    <w:rsid w:val="007D4654"/>
    <w:rsid w:val="00B044BD"/>
    <w:rsid w:val="00DA2652"/>
    <w:rsid w:val="00DF3594"/>
    <w:rsid w:val="00F87D0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289"/>
  </w:style>
  <w:style w:type="paragraph" w:styleId="Heading1">
    <w:name w:val="heading 1"/>
    <w:basedOn w:val="Normal"/>
    <w:next w:val="Normal"/>
    <w:link w:val="Heading1Char"/>
    <w:uiPriority w:val="9"/>
    <w:qFormat/>
    <w:rsid w:val="00B044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044BD"/>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B044B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44BD"/>
    <w:rPr>
      <w:rFonts w:ascii="Times New Roman" w:eastAsia="Times New Roman" w:hAnsi="Times New Roman" w:cs="Times New Roman"/>
      <w:b/>
      <w:bCs/>
      <w:sz w:val="36"/>
      <w:szCs w:val="36"/>
      <w:lang w:eastAsia="en-IN"/>
    </w:rPr>
  </w:style>
  <w:style w:type="character" w:styleId="Hyperlink">
    <w:name w:val="Hyperlink"/>
    <w:basedOn w:val="DefaultParagraphFont"/>
    <w:uiPriority w:val="99"/>
    <w:semiHidden/>
    <w:unhideWhenUsed/>
    <w:rsid w:val="00B044BD"/>
    <w:rPr>
      <w:color w:val="0000FF"/>
      <w:u w:val="single"/>
    </w:rPr>
  </w:style>
  <w:style w:type="character" w:customStyle="1" w:styleId="Heading3Char">
    <w:name w:val="Heading 3 Char"/>
    <w:basedOn w:val="DefaultParagraphFont"/>
    <w:link w:val="Heading3"/>
    <w:uiPriority w:val="9"/>
    <w:semiHidden/>
    <w:rsid w:val="00B044BD"/>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B044B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1Char">
    <w:name w:val="Heading 1 Char"/>
    <w:basedOn w:val="DefaultParagraphFont"/>
    <w:link w:val="Heading1"/>
    <w:uiPriority w:val="9"/>
    <w:rsid w:val="00B044B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5056855">
      <w:bodyDiv w:val="1"/>
      <w:marLeft w:val="0"/>
      <w:marRight w:val="0"/>
      <w:marTop w:val="0"/>
      <w:marBottom w:val="0"/>
      <w:divBdr>
        <w:top w:val="none" w:sz="0" w:space="0" w:color="auto"/>
        <w:left w:val="none" w:sz="0" w:space="0" w:color="auto"/>
        <w:bottom w:val="none" w:sz="0" w:space="0" w:color="auto"/>
        <w:right w:val="none" w:sz="0" w:space="0" w:color="auto"/>
      </w:divBdr>
    </w:div>
    <w:div w:id="227152110">
      <w:bodyDiv w:val="1"/>
      <w:marLeft w:val="0"/>
      <w:marRight w:val="0"/>
      <w:marTop w:val="0"/>
      <w:marBottom w:val="0"/>
      <w:divBdr>
        <w:top w:val="none" w:sz="0" w:space="0" w:color="auto"/>
        <w:left w:val="none" w:sz="0" w:space="0" w:color="auto"/>
        <w:bottom w:val="none" w:sz="0" w:space="0" w:color="auto"/>
        <w:right w:val="none" w:sz="0" w:space="0" w:color="auto"/>
      </w:divBdr>
    </w:div>
    <w:div w:id="312023834">
      <w:bodyDiv w:val="1"/>
      <w:marLeft w:val="0"/>
      <w:marRight w:val="0"/>
      <w:marTop w:val="0"/>
      <w:marBottom w:val="0"/>
      <w:divBdr>
        <w:top w:val="none" w:sz="0" w:space="0" w:color="auto"/>
        <w:left w:val="none" w:sz="0" w:space="0" w:color="auto"/>
        <w:bottom w:val="none" w:sz="0" w:space="0" w:color="auto"/>
        <w:right w:val="none" w:sz="0" w:space="0" w:color="auto"/>
      </w:divBdr>
    </w:div>
    <w:div w:id="1147011292">
      <w:bodyDiv w:val="1"/>
      <w:marLeft w:val="0"/>
      <w:marRight w:val="0"/>
      <w:marTop w:val="0"/>
      <w:marBottom w:val="0"/>
      <w:divBdr>
        <w:top w:val="none" w:sz="0" w:space="0" w:color="auto"/>
        <w:left w:val="none" w:sz="0" w:space="0" w:color="auto"/>
        <w:bottom w:val="none" w:sz="0" w:space="0" w:color="auto"/>
        <w:right w:val="none" w:sz="0" w:space="0" w:color="auto"/>
      </w:divBdr>
      <w:divsChild>
        <w:div w:id="1015307221">
          <w:marLeft w:val="0"/>
          <w:marRight w:val="0"/>
          <w:marTop w:val="0"/>
          <w:marBottom w:val="0"/>
          <w:divBdr>
            <w:top w:val="none" w:sz="0" w:space="2" w:color="auto"/>
            <w:left w:val="none" w:sz="0" w:space="0" w:color="auto"/>
            <w:bottom w:val="none" w:sz="0" w:space="0" w:color="auto"/>
            <w:right w:val="none" w:sz="0" w:space="0" w:color="auto"/>
          </w:divBdr>
          <w:divsChild>
            <w:div w:id="1352294157">
              <w:marLeft w:val="0"/>
              <w:marRight w:val="0"/>
              <w:marTop w:val="0"/>
              <w:marBottom w:val="0"/>
              <w:divBdr>
                <w:top w:val="none" w:sz="0" w:space="2" w:color="auto"/>
                <w:left w:val="none" w:sz="0" w:space="0" w:color="auto"/>
                <w:bottom w:val="none" w:sz="0" w:space="0" w:color="auto"/>
                <w:right w:val="none" w:sz="0" w:space="0" w:color="auto"/>
              </w:divBdr>
            </w:div>
            <w:div w:id="312492339">
              <w:marLeft w:val="0"/>
              <w:marRight w:val="0"/>
              <w:marTop w:val="0"/>
              <w:marBottom w:val="0"/>
              <w:divBdr>
                <w:top w:val="none" w:sz="0" w:space="2" w:color="auto"/>
                <w:left w:val="none" w:sz="0" w:space="0" w:color="auto"/>
                <w:bottom w:val="none" w:sz="0" w:space="0" w:color="auto"/>
                <w:right w:val="none" w:sz="0" w:space="0" w:color="auto"/>
              </w:divBdr>
            </w:div>
            <w:div w:id="1527670059">
              <w:marLeft w:val="0"/>
              <w:marRight w:val="0"/>
              <w:marTop w:val="0"/>
              <w:marBottom w:val="0"/>
              <w:divBdr>
                <w:top w:val="none" w:sz="0" w:space="2" w:color="auto"/>
                <w:left w:val="none" w:sz="0" w:space="0" w:color="auto"/>
                <w:bottom w:val="none" w:sz="0" w:space="0" w:color="auto"/>
                <w:right w:val="none" w:sz="0" w:space="0" w:color="auto"/>
              </w:divBdr>
            </w:div>
          </w:divsChild>
        </w:div>
        <w:div w:id="899287689">
          <w:marLeft w:val="0"/>
          <w:marRight w:val="0"/>
          <w:marTop w:val="0"/>
          <w:marBottom w:val="0"/>
          <w:divBdr>
            <w:top w:val="none" w:sz="0" w:space="2" w:color="auto"/>
            <w:left w:val="none" w:sz="0" w:space="0" w:color="auto"/>
            <w:bottom w:val="none" w:sz="0" w:space="0" w:color="auto"/>
            <w:right w:val="none" w:sz="0" w:space="0" w:color="auto"/>
          </w:divBdr>
          <w:divsChild>
            <w:div w:id="353531771">
              <w:marLeft w:val="0"/>
              <w:marRight w:val="0"/>
              <w:marTop w:val="0"/>
              <w:marBottom w:val="0"/>
              <w:divBdr>
                <w:top w:val="none" w:sz="0" w:space="2" w:color="auto"/>
                <w:left w:val="none" w:sz="0" w:space="0" w:color="auto"/>
                <w:bottom w:val="none" w:sz="0" w:space="0" w:color="auto"/>
                <w:right w:val="none" w:sz="0" w:space="0" w:color="auto"/>
              </w:divBdr>
            </w:div>
            <w:div w:id="1316908299">
              <w:marLeft w:val="0"/>
              <w:marRight w:val="0"/>
              <w:marTop w:val="0"/>
              <w:marBottom w:val="0"/>
              <w:divBdr>
                <w:top w:val="none" w:sz="0" w:space="2" w:color="auto"/>
                <w:left w:val="none" w:sz="0" w:space="0" w:color="auto"/>
                <w:bottom w:val="none" w:sz="0" w:space="0" w:color="auto"/>
                <w:right w:val="none" w:sz="0" w:space="0" w:color="auto"/>
              </w:divBdr>
            </w:div>
            <w:div w:id="1444574354">
              <w:marLeft w:val="0"/>
              <w:marRight w:val="0"/>
              <w:marTop w:val="0"/>
              <w:marBottom w:val="0"/>
              <w:divBdr>
                <w:top w:val="none" w:sz="0" w:space="2" w:color="auto"/>
                <w:left w:val="none" w:sz="0" w:space="0" w:color="auto"/>
                <w:bottom w:val="none" w:sz="0" w:space="0" w:color="auto"/>
                <w:right w:val="none" w:sz="0" w:space="0" w:color="auto"/>
              </w:divBdr>
            </w:div>
          </w:divsChild>
        </w:div>
      </w:divsChild>
    </w:div>
    <w:div w:id="1198545246">
      <w:bodyDiv w:val="1"/>
      <w:marLeft w:val="0"/>
      <w:marRight w:val="0"/>
      <w:marTop w:val="0"/>
      <w:marBottom w:val="0"/>
      <w:divBdr>
        <w:top w:val="none" w:sz="0" w:space="0" w:color="auto"/>
        <w:left w:val="none" w:sz="0" w:space="0" w:color="auto"/>
        <w:bottom w:val="none" w:sz="0" w:space="0" w:color="auto"/>
        <w:right w:val="none" w:sz="0" w:space="0" w:color="auto"/>
      </w:divBdr>
      <w:divsChild>
        <w:div w:id="346949674">
          <w:marLeft w:val="0"/>
          <w:marRight w:val="0"/>
          <w:marTop w:val="0"/>
          <w:marBottom w:val="0"/>
          <w:divBdr>
            <w:top w:val="none" w:sz="0" w:space="2" w:color="auto"/>
            <w:left w:val="none" w:sz="0" w:space="0" w:color="auto"/>
            <w:bottom w:val="none" w:sz="0" w:space="0" w:color="auto"/>
            <w:right w:val="none" w:sz="0" w:space="0" w:color="auto"/>
          </w:divBdr>
        </w:div>
        <w:div w:id="828979112">
          <w:marLeft w:val="0"/>
          <w:marRight w:val="0"/>
          <w:marTop w:val="0"/>
          <w:marBottom w:val="0"/>
          <w:divBdr>
            <w:top w:val="none" w:sz="0" w:space="2" w:color="auto"/>
            <w:left w:val="none" w:sz="0" w:space="0" w:color="auto"/>
            <w:bottom w:val="none" w:sz="0" w:space="0" w:color="auto"/>
            <w:right w:val="none" w:sz="0" w:space="0" w:color="auto"/>
          </w:divBdr>
        </w:div>
        <w:div w:id="820192146">
          <w:marLeft w:val="0"/>
          <w:marRight w:val="0"/>
          <w:marTop w:val="0"/>
          <w:marBottom w:val="0"/>
          <w:divBdr>
            <w:top w:val="none" w:sz="0" w:space="2" w:color="auto"/>
            <w:left w:val="none" w:sz="0" w:space="0" w:color="auto"/>
            <w:bottom w:val="none" w:sz="0" w:space="0" w:color="auto"/>
            <w:right w:val="none" w:sz="0" w:space="0" w:color="auto"/>
          </w:divBdr>
        </w:div>
        <w:div w:id="871114920">
          <w:marLeft w:val="0"/>
          <w:marRight w:val="0"/>
          <w:marTop w:val="0"/>
          <w:marBottom w:val="0"/>
          <w:divBdr>
            <w:top w:val="none" w:sz="0" w:space="2" w:color="auto"/>
            <w:left w:val="none" w:sz="0" w:space="0" w:color="auto"/>
            <w:bottom w:val="none" w:sz="0" w:space="0" w:color="auto"/>
            <w:right w:val="none" w:sz="0" w:space="0" w:color="auto"/>
          </w:divBdr>
        </w:div>
        <w:div w:id="1029526798">
          <w:marLeft w:val="0"/>
          <w:marRight w:val="0"/>
          <w:marTop w:val="0"/>
          <w:marBottom w:val="0"/>
          <w:divBdr>
            <w:top w:val="none" w:sz="0" w:space="2" w:color="auto"/>
            <w:left w:val="none" w:sz="0" w:space="0" w:color="auto"/>
            <w:bottom w:val="none" w:sz="0" w:space="0" w:color="auto"/>
            <w:right w:val="none" w:sz="0" w:space="0" w:color="auto"/>
          </w:divBdr>
        </w:div>
        <w:div w:id="491603518">
          <w:marLeft w:val="0"/>
          <w:marRight w:val="0"/>
          <w:marTop w:val="0"/>
          <w:marBottom w:val="0"/>
          <w:divBdr>
            <w:top w:val="none" w:sz="0" w:space="2" w:color="auto"/>
            <w:left w:val="none" w:sz="0" w:space="0" w:color="auto"/>
            <w:bottom w:val="none" w:sz="0" w:space="0" w:color="auto"/>
            <w:right w:val="none" w:sz="0" w:space="0" w:color="auto"/>
          </w:divBdr>
        </w:div>
        <w:div w:id="1445884050">
          <w:marLeft w:val="0"/>
          <w:marRight w:val="0"/>
          <w:marTop w:val="0"/>
          <w:marBottom w:val="0"/>
          <w:divBdr>
            <w:top w:val="none" w:sz="0" w:space="2" w:color="auto"/>
            <w:left w:val="none" w:sz="0" w:space="0" w:color="auto"/>
            <w:bottom w:val="none" w:sz="0" w:space="0" w:color="auto"/>
            <w:right w:val="none" w:sz="0" w:space="0" w:color="auto"/>
          </w:divBdr>
        </w:div>
      </w:divsChild>
    </w:div>
    <w:div w:id="1237739400">
      <w:bodyDiv w:val="1"/>
      <w:marLeft w:val="0"/>
      <w:marRight w:val="0"/>
      <w:marTop w:val="0"/>
      <w:marBottom w:val="0"/>
      <w:divBdr>
        <w:top w:val="none" w:sz="0" w:space="0" w:color="auto"/>
        <w:left w:val="none" w:sz="0" w:space="0" w:color="auto"/>
        <w:bottom w:val="none" w:sz="0" w:space="0" w:color="auto"/>
        <w:right w:val="none" w:sz="0" w:space="0" w:color="auto"/>
      </w:divBdr>
    </w:div>
    <w:div w:id="1508253747">
      <w:bodyDiv w:val="1"/>
      <w:marLeft w:val="0"/>
      <w:marRight w:val="0"/>
      <w:marTop w:val="0"/>
      <w:marBottom w:val="0"/>
      <w:divBdr>
        <w:top w:val="none" w:sz="0" w:space="0" w:color="auto"/>
        <w:left w:val="none" w:sz="0" w:space="0" w:color="auto"/>
        <w:bottom w:val="none" w:sz="0" w:space="0" w:color="auto"/>
        <w:right w:val="none" w:sz="0" w:space="0" w:color="auto"/>
      </w:divBdr>
    </w:div>
    <w:div w:id="1930112739">
      <w:bodyDiv w:val="1"/>
      <w:marLeft w:val="0"/>
      <w:marRight w:val="0"/>
      <w:marTop w:val="0"/>
      <w:marBottom w:val="0"/>
      <w:divBdr>
        <w:top w:val="none" w:sz="0" w:space="0" w:color="auto"/>
        <w:left w:val="none" w:sz="0" w:space="0" w:color="auto"/>
        <w:bottom w:val="none" w:sz="0" w:space="0" w:color="auto"/>
        <w:right w:val="none" w:sz="0" w:space="0" w:color="auto"/>
      </w:divBdr>
    </w:div>
    <w:div w:id="1967543765">
      <w:bodyDiv w:val="1"/>
      <w:marLeft w:val="0"/>
      <w:marRight w:val="0"/>
      <w:marTop w:val="0"/>
      <w:marBottom w:val="0"/>
      <w:divBdr>
        <w:top w:val="none" w:sz="0" w:space="0" w:color="auto"/>
        <w:left w:val="none" w:sz="0" w:space="0" w:color="auto"/>
        <w:bottom w:val="none" w:sz="0" w:space="0" w:color="auto"/>
        <w:right w:val="none" w:sz="0" w:space="0" w:color="auto"/>
      </w:divBdr>
      <w:divsChild>
        <w:div w:id="412359886">
          <w:marLeft w:val="0"/>
          <w:marRight w:val="0"/>
          <w:marTop w:val="0"/>
          <w:marBottom w:val="0"/>
          <w:divBdr>
            <w:top w:val="none" w:sz="0" w:space="2" w:color="auto"/>
            <w:left w:val="none" w:sz="0" w:space="0" w:color="auto"/>
            <w:bottom w:val="none" w:sz="0" w:space="0" w:color="auto"/>
            <w:right w:val="none" w:sz="0" w:space="0" w:color="auto"/>
          </w:divBdr>
          <w:divsChild>
            <w:div w:id="1050348210">
              <w:marLeft w:val="0"/>
              <w:marRight w:val="0"/>
              <w:marTop w:val="0"/>
              <w:marBottom w:val="0"/>
              <w:divBdr>
                <w:top w:val="none" w:sz="0" w:space="2" w:color="auto"/>
                <w:left w:val="none" w:sz="0" w:space="0" w:color="auto"/>
                <w:bottom w:val="none" w:sz="0" w:space="0" w:color="auto"/>
                <w:right w:val="none" w:sz="0" w:space="0" w:color="auto"/>
              </w:divBdr>
            </w:div>
            <w:div w:id="1701125278">
              <w:marLeft w:val="0"/>
              <w:marRight w:val="0"/>
              <w:marTop w:val="0"/>
              <w:marBottom w:val="0"/>
              <w:divBdr>
                <w:top w:val="none" w:sz="0" w:space="2" w:color="auto"/>
                <w:left w:val="none" w:sz="0" w:space="0" w:color="auto"/>
                <w:bottom w:val="none" w:sz="0" w:space="0" w:color="auto"/>
                <w:right w:val="none" w:sz="0" w:space="0" w:color="auto"/>
              </w:divBdr>
            </w:div>
            <w:div w:id="2033913881">
              <w:marLeft w:val="0"/>
              <w:marRight w:val="0"/>
              <w:marTop w:val="0"/>
              <w:marBottom w:val="0"/>
              <w:divBdr>
                <w:top w:val="none" w:sz="0" w:space="2" w:color="auto"/>
                <w:left w:val="none" w:sz="0" w:space="0" w:color="auto"/>
                <w:bottom w:val="none" w:sz="0" w:space="0" w:color="auto"/>
                <w:right w:val="none" w:sz="0" w:space="0" w:color="auto"/>
              </w:divBdr>
            </w:div>
          </w:divsChild>
        </w:div>
        <w:div w:id="1812167211">
          <w:marLeft w:val="0"/>
          <w:marRight w:val="0"/>
          <w:marTop w:val="0"/>
          <w:marBottom w:val="0"/>
          <w:divBdr>
            <w:top w:val="none" w:sz="0" w:space="2" w:color="auto"/>
            <w:left w:val="none" w:sz="0" w:space="0" w:color="auto"/>
            <w:bottom w:val="none" w:sz="0" w:space="0" w:color="auto"/>
            <w:right w:val="none" w:sz="0" w:space="0" w:color="auto"/>
          </w:divBdr>
          <w:divsChild>
            <w:div w:id="620571899">
              <w:marLeft w:val="0"/>
              <w:marRight w:val="0"/>
              <w:marTop w:val="0"/>
              <w:marBottom w:val="0"/>
              <w:divBdr>
                <w:top w:val="none" w:sz="0" w:space="2" w:color="auto"/>
                <w:left w:val="none" w:sz="0" w:space="0" w:color="auto"/>
                <w:bottom w:val="none" w:sz="0" w:space="0" w:color="auto"/>
                <w:right w:val="none" w:sz="0" w:space="0" w:color="auto"/>
              </w:divBdr>
            </w:div>
            <w:div w:id="516627416">
              <w:marLeft w:val="0"/>
              <w:marRight w:val="0"/>
              <w:marTop w:val="0"/>
              <w:marBottom w:val="0"/>
              <w:divBdr>
                <w:top w:val="none" w:sz="0" w:space="2" w:color="auto"/>
                <w:left w:val="none" w:sz="0" w:space="0" w:color="auto"/>
                <w:bottom w:val="none" w:sz="0" w:space="0" w:color="auto"/>
                <w:right w:val="none" w:sz="0" w:space="0" w:color="auto"/>
              </w:divBdr>
            </w:div>
            <w:div w:id="1206674798">
              <w:marLeft w:val="0"/>
              <w:marRight w:val="0"/>
              <w:marTop w:val="0"/>
              <w:marBottom w:val="0"/>
              <w:divBdr>
                <w:top w:val="none" w:sz="0" w:space="2" w:color="auto"/>
                <w:left w:val="none" w:sz="0" w:space="0" w:color="auto"/>
                <w:bottom w:val="none" w:sz="0" w:space="0" w:color="auto"/>
                <w:right w:val="none" w:sz="0" w:space="0" w:color="auto"/>
              </w:divBdr>
            </w:div>
            <w:div w:id="1482573347">
              <w:marLeft w:val="0"/>
              <w:marRight w:val="0"/>
              <w:marTop w:val="0"/>
              <w:marBottom w:val="0"/>
              <w:divBdr>
                <w:top w:val="none" w:sz="0" w:space="2" w:color="auto"/>
                <w:left w:val="none" w:sz="0" w:space="0" w:color="auto"/>
                <w:bottom w:val="none" w:sz="0" w:space="0" w:color="auto"/>
                <w:right w:val="none" w:sz="0" w:space="0" w:color="auto"/>
              </w:divBdr>
            </w:div>
            <w:div w:id="926380818">
              <w:marLeft w:val="0"/>
              <w:marRight w:val="0"/>
              <w:marTop w:val="0"/>
              <w:marBottom w:val="0"/>
              <w:divBdr>
                <w:top w:val="none" w:sz="0" w:space="2" w:color="auto"/>
                <w:left w:val="none" w:sz="0" w:space="0" w:color="auto"/>
                <w:bottom w:val="none" w:sz="0" w:space="0" w:color="auto"/>
                <w:right w:val="none" w:sz="0" w:space="0" w:color="auto"/>
              </w:divBdr>
            </w:div>
            <w:div w:id="350953125">
              <w:marLeft w:val="0"/>
              <w:marRight w:val="0"/>
              <w:marTop w:val="0"/>
              <w:marBottom w:val="0"/>
              <w:divBdr>
                <w:top w:val="none" w:sz="0" w:space="2" w:color="auto"/>
                <w:left w:val="none" w:sz="0" w:space="0" w:color="auto"/>
                <w:bottom w:val="none" w:sz="0" w:space="0" w:color="auto"/>
                <w:right w:val="none" w:sz="0" w:space="0" w:color="auto"/>
              </w:divBdr>
            </w:div>
            <w:div w:id="834997401">
              <w:marLeft w:val="0"/>
              <w:marRight w:val="0"/>
              <w:marTop w:val="0"/>
              <w:marBottom w:val="0"/>
              <w:divBdr>
                <w:top w:val="none" w:sz="0" w:space="2" w:color="auto"/>
                <w:left w:val="none" w:sz="0" w:space="0" w:color="auto"/>
                <w:bottom w:val="none" w:sz="0" w:space="0" w:color="auto"/>
                <w:right w:val="none" w:sz="0" w:space="0" w:color="auto"/>
              </w:divBdr>
            </w:div>
            <w:div w:id="1636107532">
              <w:marLeft w:val="0"/>
              <w:marRight w:val="0"/>
              <w:marTop w:val="0"/>
              <w:marBottom w:val="0"/>
              <w:divBdr>
                <w:top w:val="none" w:sz="0" w:space="2" w:color="auto"/>
                <w:left w:val="none" w:sz="0" w:space="0" w:color="auto"/>
                <w:bottom w:val="none" w:sz="0" w:space="0" w:color="auto"/>
                <w:right w:val="none" w:sz="0" w:space="0" w:color="auto"/>
              </w:divBdr>
            </w:div>
            <w:div w:id="808714877">
              <w:marLeft w:val="0"/>
              <w:marRight w:val="0"/>
              <w:marTop w:val="0"/>
              <w:marBottom w:val="0"/>
              <w:divBdr>
                <w:top w:val="none" w:sz="0" w:space="2" w:color="auto"/>
                <w:left w:val="none" w:sz="0" w:space="0" w:color="auto"/>
                <w:bottom w:val="none" w:sz="0" w:space="0" w:color="auto"/>
                <w:right w:val="none" w:sz="0" w:space="0" w:color="auto"/>
              </w:divBdr>
            </w:div>
          </w:divsChild>
        </w:div>
      </w:divsChild>
    </w:div>
    <w:div w:id="2056349059">
      <w:bodyDiv w:val="1"/>
      <w:marLeft w:val="0"/>
      <w:marRight w:val="0"/>
      <w:marTop w:val="0"/>
      <w:marBottom w:val="0"/>
      <w:divBdr>
        <w:top w:val="none" w:sz="0" w:space="0" w:color="auto"/>
        <w:left w:val="none" w:sz="0" w:space="0" w:color="auto"/>
        <w:bottom w:val="none" w:sz="0" w:space="0" w:color="auto"/>
        <w:right w:val="none" w:sz="0" w:space="0" w:color="auto"/>
      </w:divBdr>
    </w:div>
    <w:div w:id="2098331742">
      <w:bodyDiv w:val="1"/>
      <w:marLeft w:val="0"/>
      <w:marRight w:val="0"/>
      <w:marTop w:val="0"/>
      <w:marBottom w:val="0"/>
      <w:divBdr>
        <w:top w:val="none" w:sz="0" w:space="0" w:color="auto"/>
        <w:left w:val="none" w:sz="0" w:space="0" w:color="auto"/>
        <w:bottom w:val="none" w:sz="0" w:space="0" w:color="auto"/>
        <w:right w:val="none" w:sz="0" w:space="0" w:color="auto"/>
      </w:divBdr>
      <w:divsChild>
        <w:div w:id="1952516174">
          <w:marLeft w:val="0"/>
          <w:marRight w:val="0"/>
          <w:marTop w:val="0"/>
          <w:marBottom w:val="0"/>
          <w:divBdr>
            <w:top w:val="none" w:sz="0" w:space="2" w:color="auto"/>
            <w:left w:val="none" w:sz="0" w:space="0" w:color="auto"/>
            <w:bottom w:val="none" w:sz="0" w:space="0" w:color="auto"/>
            <w:right w:val="none" w:sz="0" w:space="0" w:color="auto"/>
          </w:divBdr>
        </w:div>
        <w:div w:id="1687168071">
          <w:marLeft w:val="0"/>
          <w:marRight w:val="0"/>
          <w:marTop w:val="0"/>
          <w:marBottom w:val="0"/>
          <w:divBdr>
            <w:top w:val="none" w:sz="0" w:space="2" w:color="auto"/>
            <w:left w:val="none" w:sz="0" w:space="0" w:color="auto"/>
            <w:bottom w:val="none" w:sz="0" w:space="0" w:color="auto"/>
            <w:right w:val="none" w:sz="0" w:space="0" w:color="auto"/>
          </w:divBdr>
          <w:divsChild>
            <w:div w:id="640884026">
              <w:marLeft w:val="0"/>
              <w:marRight w:val="0"/>
              <w:marTop w:val="0"/>
              <w:marBottom w:val="0"/>
              <w:divBdr>
                <w:top w:val="none" w:sz="0" w:space="2" w:color="auto"/>
                <w:left w:val="none" w:sz="0" w:space="0" w:color="auto"/>
                <w:bottom w:val="none" w:sz="0" w:space="0" w:color="auto"/>
                <w:right w:val="none" w:sz="0" w:space="0" w:color="auto"/>
              </w:divBdr>
            </w:div>
            <w:div w:id="1022046515">
              <w:marLeft w:val="0"/>
              <w:marRight w:val="0"/>
              <w:marTop w:val="0"/>
              <w:marBottom w:val="0"/>
              <w:divBdr>
                <w:top w:val="none" w:sz="0" w:space="2" w:color="auto"/>
                <w:left w:val="none" w:sz="0" w:space="0" w:color="auto"/>
                <w:bottom w:val="none" w:sz="0" w:space="0" w:color="auto"/>
                <w:right w:val="none" w:sz="0" w:space="0" w:color="auto"/>
              </w:divBdr>
            </w:div>
            <w:div w:id="394403041">
              <w:marLeft w:val="0"/>
              <w:marRight w:val="0"/>
              <w:marTop w:val="0"/>
              <w:marBottom w:val="0"/>
              <w:divBdr>
                <w:top w:val="none" w:sz="0" w:space="2" w:color="auto"/>
                <w:left w:val="none" w:sz="0" w:space="0" w:color="auto"/>
                <w:bottom w:val="none" w:sz="0" w:space="0" w:color="auto"/>
                <w:right w:val="none" w:sz="0" w:space="0" w:color="auto"/>
              </w:divBdr>
            </w:div>
          </w:divsChild>
        </w:div>
        <w:div w:id="318385478">
          <w:marLeft w:val="0"/>
          <w:marRight w:val="0"/>
          <w:marTop w:val="0"/>
          <w:marBottom w:val="0"/>
          <w:divBdr>
            <w:top w:val="none" w:sz="0" w:space="2" w:color="auto"/>
            <w:left w:val="none" w:sz="0" w:space="0" w:color="auto"/>
            <w:bottom w:val="none" w:sz="0" w:space="0" w:color="auto"/>
            <w:right w:val="none" w:sz="0" w:space="0" w:color="auto"/>
          </w:divBdr>
          <w:divsChild>
            <w:div w:id="1527910802">
              <w:marLeft w:val="0"/>
              <w:marRight w:val="0"/>
              <w:marTop w:val="0"/>
              <w:marBottom w:val="0"/>
              <w:divBdr>
                <w:top w:val="none" w:sz="0" w:space="2" w:color="auto"/>
                <w:left w:val="none" w:sz="0" w:space="0" w:color="auto"/>
                <w:bottom w:val="none" w:sz="0" w:space="0" w:color="auto"/>
                <w:right w:val="none" w:sz="0" w:space="0" w:color="auto"/>
              </w:divBdr>
            </w:div>
            <w:div w:id="549802344">
              <w:marLeft w:val="0"/>
              <w:marRight w:val="0"/>
              <w:marTop w:val="0"/>
              <w:marBottom w:val="0"/>
              <w:divBdr>
                <w:top w:val="none" w:sz="0" w:space="2" w:color="auto"/>
                <w:left w:val="none" w:sz="0" w:space="0" w:color="auto"/>
                <w:bottom w:val="none" w:sz="0" w:space="0" w:color="auto"/>
                <w:right w:val="none" w:sz="0" w:space="0" w:color="auto"/>
              </w:divBdr>
            </w:div>
            <w:div w:id="807750078">
              <w:marLeft w:val="0"/>
              <w:marRight w:val="0"/>
              <w:marTop w:val="0"/>
              <w:marBottom w:val="0"/>
              <w:divBdr>
                <w:top w:val="none" w:sz="0" w:space="2" w:color="auto"/>
                <w:left w:val="none" w:sz="0" w:space="0" w:color="auto"/>
                <w:bottom w:val="none" w:sz="0" w:space="0" w:color="auto"/>
                <w:right w:val="none" w:sz="0" w:space="0" w:color="auto"/>
              </w:divBdr>
            </w:div>
          </w:divsChild>
        </w:div>
        <w:div w:id="1812861833">
          <w:marLeft w:val="0"/>
          <w:marRight w:val="0"/>
          <w:marTop w:val="0"/>
          <w:marBottom w:val="0"/>
          <w:divBdr>
            <w:top w:val="none" w:sz="0" w:space="2" w:color="auto"/>
            <w:left w:val="none" w:sz="0" w:space="0" w:color="auto"/>
            <w:bottom w:val="none" w:sz="0" w:space="0" w:color="auto"/>
            <w:right w:val="none" w:sz="0" w:space="0" w:color="auto"/>
          </w:divBdr>
        </w:div>
        <w:div w:id="118232241">
          <w:marLeft w:val="0"/>
          <w:marRight w:val="0"/>
          <w:marTop w:val="0"/>
          <w:marBottom w:val="0"/>
          <w:divBdr>
            <w:top w:val="none" w:sz="0" w:space="2" w:color="auto"/>
            <w:left w:val="none" w:sz="0" w:space="0" w:color="auto"/>
            <w:bottom w:val="none" w:sz="0" w:space="0" w:color="auto"/>
            <w:right w:val="none" w:sz="0" w:space="0" w:color="auto"/>
          </w:divBdr>
        </w:div>
        <w:div w:id="1396120476">
          <w:marLeft w:val="0"/>
          <w:marRight w:val="0"/>
          <w:marTop w:val="0"/>
          <w:marBottom w:val="0"/>
          <w:divBdr>
            <w:top w:val="none" w:sz="0" w:space="2" w:color="auto"/>
            <w:left w:val="none" w:sz="0" w:space="0" w:color="auto"/>
            <w:bottom w:val="none" w:sz="0" w:space="0" w:color="auto"/>
            <w:right w:val="none" w:sz="0" w:space="0" w:color="auto"/>
          </w:divBdr>
        </w:div>
        <w:div w:id="1201085951">
          <w:marLeft w:val="0"/>
          <w:marRight w:val="0"/>
          <w:marTop w:val="0"/>
          <w:marBottom w:val="0"/>
          <w:divBdr>
            <w:top w:val="none" w:sz="0" w:space="2" w:color="auto"/>
            <w:left w:val="none" w:sz="0" w:space="0" w:color="auto"/>
            <w:bottom w:val="none" w:sz="0" w:space="0" w:color="auto"/>
            <w:right w:val="none" w:sz="0" w:space="0" w:color="auto"/>
          </w:divBdr>
        </w:div>
        <w:div w:id="1085372010">
          <w:marLeft w:val="0"/>
          <w:marRight w:val="0"/>
          <w:marTop w:val="0"/>
          <w:marBottom w:val="0"/>
          <w:divBdr>
            <w:top w:val="none" w:sz="0" w:space="2" w:color="auto"/>
            <w:left w:val="none" w:sz="0" w:space="0" w:color="auto"/>
            <w:bottom w:val="none" w:sz="0" w:space="0" w:color="auto"/>
            <w:right w:val="none" w:sz="0" w:space="0" w:color="auto"/>
          </w:divBdr>
        </w:div>
        <w:div w:id="1802531078">
          <w:marLeft w:val="0"/>
          <w:marRight w:val="0"/>
          <w:marTop w:val="0"/>
          <w:marBottom w:val="0"/>
          <w:divBdr>
            <w:top w:val="none" w:sz="0" w:space="2" w:color="auto"/>
            <w:left w:val="none" w:sz="0" w:space="0" w:color="auto"/>
            <w:bottom w:val="none" w:sz="0" w:space="0" w:color="auto"/>
            <w:right w:val="none" w:sz="0" w:space="0" w:color="auto"/>
          </w:divBdr>
        </w:div>
        <w:div w:id="470220960">
          <w:marLeft w:val="0"/>
          <w:marRight w:val="0"/>
          <w:marTop w:val="0"/>
          <w:marBottom w:val="0"/>
          <w:divBdr>
            <w:top w:val="none" w:sz="0" w:space="2"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axmann.com/blogpost/2000001622/accounting-principles-and-concep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SMITRA</dc:creator>
  <cp:lastModifiedBy>SMITRA</cp:lastModifiedBy>
  <cp:revision>3</cp:revision>
  <dcterms:created xsi:type="dcterms:W3CDTF">2018-09-30T05:32:00Z</dcterms:created>
  <dcterms:modified xsi:type="dcterms:W3CDTF">2018-09-30T05:49:00Z</dcterms:modified>
</cp:coreProperties>
</file>