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0D9" w:rsidRPr="00EF63C5" w:rsidRDefault="00005957" w:rsidP="00005957">
      <w:pPr>
        <w:rPr>
          <w:rFonts w:ascii="Batang" w:eastAsia="Batang" w:hAnsi="Batang"/>
          <w:b/>
          <w:bCs/>
          <w:sz w:val="28"/>
          <w:szCs w:val="28"/>
        </w:rPr>
      </w:pPr>
      <w:r w:rsidRPr="00EF63C5">
        <w:rPr>
          <w:rFonts w:ascii="Batang" w:eastAsia="Batang" w:hAnsi="Batang"/>
          <w:b/>
          <w:bCs/>
          <w:sz w:val="28"/>
          <w:szCs w:val="28"/>
        </w:rPr>
        <w:t>Summary of Recent case laws of DT applicable for may., 2018 Exams</w:t>
      </w:r>
    </w:p>
    <w:tbl>
      <w:tblPr>
        <w:tblStyle w:val="TableGrid"/>
        <w:tblW w:w="11430" w:type="dxa"/>
        <w:tblInd w:w="-972" w:type="dxa"/>
        <w:tblLook w:val="04A0"/>
      </w:tblPr>
      <w:tblGrid>
        <w:gridCol w:w="743"/>
        <w:gridCol w:w="4128"/>
        <w:gridCol w:w="3329"/>
        <w:gridCol w:w="3230"/>
      </w:tblGrid>
      <w:tr w:rsidR="00005957" w:rsidRPr="00EF63C5" w:rsidTr="00BA36F0">
        <w:tc>
          <w:tcPr>
            <w:tcW w:w="743" w:type="dxa"/>
            <w:shd w:val="pct15" w:color="auto" w:fill="auto"/>
          </w:tcPr>
          <w:p w:rsidR="00005957" w:rsidRPr="00EF63C5" w:rsidRDefault="00005957" w:rsidP="00C63BC4">
            <w:pPr>
              <w:jc w:val="center"/>
              <w:rPr>
                <w:rFonts w:ascii="Batang" w:eastAsia="Batang" w:hAnsi="Batang"/>
                <w:b/>
                <w:bCs/>
                <w:sz w:val="20"/>
              </w:rPr>
            </w:pPr>
            <w:r w:rsidRPr="00EF63C5">
              <w:rPr>
                <w:rFonts w:ascii="Batang" w:eastAsia="Batang" w:hAnsi="Batang"/>
                <w:b/>
                <w:bCs/>
                <w:sz w:val="20"/>
              </w:rPr>
              <w:t>S.No.</w:t>
            </w:r>
          </w:p>
        </w:tc>
        <w:tc>
          <w:tcPr>
            <w:tcW w:w="4128" w:type="dxa"/>
            <w:shd w:val="pct15" w:color="auto" w:fill="auto"/>
          </w:tcPr>
          <w:p w:rsidR="00005957" w:rsidRPr="00EF63C5" w:rsidRDefault="00005957" w:rsidP="00C63BC4">
            <w:pPr>
              <w:jc w:val="center"/>
              <w:rPr>
                <w:rFonts w:ascii="Batang" w:eastAsia="Batang" w:hAnsi="Batang"/>
                <w:b/>
                <w:bCs/>
                <w:sz w:val="20"/>
              </w:rPr>
            </w:pPr>
            <w:r w:rsidRPr="00EF63C5">
              <w:rPr>
                <w:rFonts w:ascii="Batang" w:eastAsia="Batang" w:hAnsi="Batang"/>
                <w:b/>
                <w:bCs/>
                <w:sz w:val="20"/>
              </w:rPr>
              <w:t>Issue</w:t>
            </w:r>
          </w:p>
        </w:tc>
        <w:tc>
          <w:tcPr>
            <w:tcW w:w="3329" w:type="dxa"/>
            <w:shd w:val="pct15" w:color="auto" w:fill="auto"/>
          </w:tcPr>
          <w:p w:rsidR="00005957" w:rsidRPr="00EF63C5" w:rsidRDefault="00005957" w:rsidP="00C63BC4">
            <w:pPr>
              <w:jc w:val="center"/>
              <w:rPr>
                <w:rFonts w:ascii="Batang" w:eastAsia="Batang" w:hAnsi="Batang"/>
                <w:b/>
                <w:bCs/>
                <w:sz w:val="20"/>
              </w:rPr>
            </w:pPr>
            <w:r w:rsidRPr="00EF63C5">
              <w:rPr>
                <w:rFonts w:ascii="Batang" w:eastAsia="Batang" w:hAnsi="Batang"/>
                <w:b/>
                <w:bCs/>
                <w:sz w:val="20"/>
              </w:rPr>
              <w:t>Decision</w:t>
            </w:r>
          </w:p>
        </w:tc>
        <w:tc>
          <w:tcPr>
            <w:tcW w:w="3230" w:type="dxa"/>
            <w:shd w:val="pct15" w:color="auto" w:fill="auto"/>
          </w:tcPr>
          <w:p w:rsidR="00005957" w:rsidRPr="00EF63C5" w:rsidRDefault="00005957" w:rsidP="00C63BC4">
            <w:pPr>
              <w:jc w:val="center"/>
              <w:rPr>
                <w:rFonts w:ascii="Batang" w:eastAsia="Batang" w:hAnsi="Batang"/>
                <w:b/>
                <w:bCs/>
                <w:sz w:val="20"/>
              </w:rPr>
            </w:pPr>
            <w:r w:rsidRPr="00EF63C5">
              <w:rPr>
                <w:rFonts w:ascii="Batang" w:eastAsia="Batang" w:hAnsi="Batang"/>
                <w:b/>
                <w:bCs/>
                <w:sz w:val="20"/>
              </w:rPr>
              <w:t>Case law</w:t>
            </w:r>
          </w:p>
        </w:tc>
      </w:tr>
      <w:tr w:rsidR="00005957" w:rsidRPr="00EF63C5" w:rsidTr="00BA36F0">
        <w:tc>
          <w:tcPr>
            <w:tcW w:w="743" w:type="dxa"/>
          </w:tcPr>
          <w:p w:rsidR="00005957" w:rsidRPr="00EF63C5" w:rsidRDefault="00880804" w:rsidP="00005957">
            <w:pPr>
              <w:rPr>
                <w:rFonts w:ascii="Batang" w:eastAsia="Batang" w:hAnsi="Batang"/>
                <w:sz w:val="20"/>
              </w:rPr>
            </w:pPr>
            <w:r w:rsidRPr="00EF63C5">
              <w:rPr>
                <w:rFonts w:ascii="Batang" w:eastAsia="Batang" w:hAnsi="Batang"/>
                <w:sz w:val="20"/>
              </w:rPr>
              <w:t>1</w:t>
            </w:r>
          </w:p>
        </w:tc>
        <w:tc>
          <w:tcPr>
            <w:tcW w:w="4128" w:type="dxa"/>
          </w:tcPr>
          <w:p w:rsidR="00005957" w:rsidRPr="00EF63C5" w:rsidRDefault="00880804" w:rsidP="00C63BC4">
            <w:pPr>
              <w:jc w:val="both"/>
              <w:rPr>
                <w:rFonts w:ascii="Batang" w:eastAsia="Batang" w:hAnsi="Batang"/>
                <w:sz w:val="20"/>
              </w:rPr>
            </w:pPr>
            <w:r w:rsidRPr="00EF63C5">
              <w:rPr>
                <w:rFonts w:ascii="Batang" w:eastAsia="Batang" w:hAnsi="Batang"/>
                <w:sz w:val="20"/>
              </w:rPr>
              <w:t xml:space="preserve">Whether technical fee paid under a technical collaboration agreement for setting up a joint venture company in </w:t>
            </w:r>
            <w:r w:rsidR="0008237E" w:rsidRPr="00EF63C5">
              <w:rPr>
                <w:rFonts w:ascii="Batang" w:eastAsia="Batang" w:hAnsi="Batang"/>
                <w:sz w:val="20"/>
              </w:rPr>
              <w:t>India</w:t>
            </w:r>
            <w:r w:rsidRPr="00EF63C5">
              <w:rPr>
                <w:rFonts w:ascii="Batang" w:eastAsia="Batang" w:hAnsi="Batang"/>
                <w:sz w:val="20"/>
              </w:rPr>
              <w:t xml:space="preserve"> is to be treated as revenue or capital expenditure, where, upon termination of the agreement, the joint venture come to an end?</w:t>
            </w:r>
          </w:p>
        </w:tc>
        <w:tc>
          <w:tcPr>
            <w:tcW w:w="3329" w:type="dxa"/>
          </w:tcPr>
          <w:p w:rsidR="00005957" w:rsidRPr="00EF63C5" w:rsidRDefault="00E226CD" w:rsidP="00BA36F0">
            <w:pPr>
              <w:jc w:val="both"/>
              <w:rPr>
                <w:rFonts w:ascii="Batang" w:eastAsia="Batang" w:hAnsi="Batang"/>
                <w:sz w:val="20"/>
              </w:rPr>
            </w:pPr>
            <w:r w:rsidRPr="00EF63C5">
              <w:rPr>
                <w:rFonts w:ascii="Batang" w:eastAsia="Batang" w:hAnsi="Batang"/>
                <w:sz w:val="20"/>
              </w:rPr>
              <w:t>The</w:t>
            </w:r>
            <w:r w:rsidR="00C63BC4" w:rsidRPr="00EF63C5">
              <w:rPr>
                <w:rFonts w:ascii="Batang" w:eastAsia="Batang" w:hAnsi="Batang"/>
                <w:sz w:val="20"/>
              </w:rPr>
              <w:t xml:space="preserve"> supreme court’s held that </w:t>
            </w:r>
            <w:r w:rsidRPr="00EF63C5">
              <w:rPr>
                <w:rFonts w:ascii="Batang" w:eastAsia="Batang" w:hAnsi="Batang"/>
                <w:sz w:val="20"/>
              </w:rPr>
              <w:t>that, in</w:t>
            </w:r>
            <w:r w:rsidR="00C63BC4" w:rsidRPr="00EF63C5">
              <w:rPr>
                <w:rFonts w:ascii="Batang" w:eastAsia="Batang" w:hAnsi="Batang"/>
                <w:sz w:val="20"/>
              </w:rPr>
              <w:t xml:space="preserve"> this </w:t>
            </w:r>
            <w:r w:rsidR="00BA36F0" w:rsidRPr="00EF63C5">
              <w:rPr>
                <w:rFonts w:ascii="Batang" w:eastAsia="Batang" w:hAnsi="Batang"/>
                <w:sz w:val="20"/>
              </w:rPr>
              <w:t>case, Technical</w:t>
            </w:r>
            <w:r w:rsidR="00C63BC4" w:rsidRPr="00EF63C5">
              <w:rPr>
                <w:rFonts w:ascii="Batang" w:eastAsia="Batang" w:hAnsi="Batang"/>
                <w:sz w:val="20"/>
              </w:rPr>
              <w:t xml:space="preserve"> fee is capital </w:t>
            </w:r>
            <w:r w:rsidR="00880804" w:rsidRPr="00EF63C5">
              <w:rPr>
                <w:rFonts w:ascii="Batang" w:eastAsia="Batang" w:hAnsi="Batang"/>
                <w:sz w:val="20"/>
              </w:rPr>
              <w:t>in nature since upon termination of technical collaboration</w:t>
            </w:r>
            <w:r w:rsidR="00BA36F0">
              <w:rPr>
                <w:rFonts w:ascii="Batang" w:eastAsia="Batang" w:hAnsi="Batang"/>
                <w:sz w:val="20"/>
              </w:rPr>
              <w:t xml:space="preserve"> </w:t>
            </w:r>
            <w:r w:rsidRPr="00EF63C5">
              <w:rPr>
                <w:rFonts w:ascii="Batang" w:eastAsia="Batang" w:hAnsi="Batang"/>
                <w:sz w:val="20"/>
              </w:rPr>
              <w:t>agreement (</w:t>
            </w:r>
            <w:r w:rsidR="00880804" w:rsidRPr="00EF63C5">
              <w:rPr>
                <w:rFonts w:ascii="Batang" w:eastAsia="Batang" w:hAnsi="Batang"/>
                <w:sz w:val="20"/>
              </w:rPr>
              <w:t>TCA)</w:t>
            </w:r>
            <w:r w:rsidRPr="00EF63C5">
              <w:rPr>
                <w:rFonts w:ascii="Batang" w:eastAsia="Batang" w:hAnsi="Batang"/>
                <w:sz w:val="20"/>
              </w:rPr>
              <w:t>; the</w:t>
            </w:r>
            <w:r w:rsidR="00880804" w:rsidRPr="00EF63C5">
              <w:rPr>
                <w:rFonts w:ascii="Batang" w:eastAsia="Batang" w:hAnsi="Batang"/>
                <w:sz w:val="20"/>
              </w:rPr>
              <w:t xml:space="preserve"> joint venture itself would come to an end.</w:t>
            </w:r>
          </w:p>
        </w:tc>
        <w:tc>
          <w:tcPr>
            <w:tcW w:w="3230" w:type="dxa"/>
          </w:tcPr>
          <w:p w:rsidR="00005957" w:rsidRPr="00EF63C5" w:rsidRDefault="0008237E" w:rsidP="00005957">
            <w:pPr>
              <w:rPr>
                <w:rFonts w:ascii="Batang" w:eastAsia="Batang" w:hAnsi="Batang"/>
                <w:b/>
                <w:bCs/>
                <w:sz w:val="20"/>
              </w:rPr>
            </w:pPr>
            <w:r w:rsidRPr="00EF63C5">
              <w:rPr>
                <w:rFonts w:ascii="Batang" w:eastAsia="Batang" w:hAnsi="Batang"/>
                <w:b/>
                <w:bCs/>
                <w:sz w:val="20"/>
              </w:rPr>
              <w:t>HONDA SIEL CARS INDIA LTD V.CIT[2017]395 ITR 713(SC)</w:t>
            </w:r>
          </w:p>
        </w:tc>
      </w:tr>
      <w:tr w:rsidR="00005957" w:rsidRPr="00EF63C5" w:rsidTr="00BA36F0">
        <w:tc>
          <w:tcPr>
            <w:tcW w:w="743" w:type="dxa"/>
          </w:tcPr>
          <w:p w:rsidR="00005957" w:rsidRPr="00EF63C5" w:rsidRDefault="00880804" w:rsidP="00005957">
            <w:pPr>
              <w:rPr>
                <w:rFonts w:ascii="Batang" w:eastAsia="Batang" w:hAnsi="Batang"/>
                <w:sz w:val="20"/>
              </w:rPr>
            </w:pPr>
            <w:r w:rsidRPr="00EF63C5">
              <w:rPr>
                <w:rFonts w:ascii="Batang" w:eastAsia="Batang" w:hAnsi="Batang"/>
                <w:sz w:val="20"/>
              </w:rPr>
              <w:t>2</w:t>
            </w:r>
          </w:p>
        </w:tc>
        <w:tc>
          <w:tcPr>
            <w:tcW w:w="4128" w:type="dxa"/>
          </w:tcPr>
          <w:p w:rsidR="00005957" w:rsidRPr="00EF63C5" w:rsidRDefault="00E300B8" w:rsidP="00C63BC4">
            <w:pPr>
              <w:jc w:val="both"/>
              <w:rPr>
                <w:rFonts w:ascii="Batang" w:eastAsia="Batang" w:hAnsi="Batang"/>
                <w:sz w:val="20"/>
              </w:rPr>
            </w:pPr>
            <w:r w:rsidRPr="00EF63C5">
              <w:rPr>
                <w:rFonts w:ascii="Batang" w:eastAsia="Batang" w:hAnsi="Batang"/>
                <w:sz w:val="20"/>
              </w:rPr>
              <w:t>Whether section 40(a)(ia) is attracted when amount is not’</w:t>
            </w:r>
            <w:r w:rsidR="00E226CD" w:rsidRPr="00EF63C5">
              <w:rPr>
                <w:rFonts w:ascii="Batang" w:eastAsia="Batang" w:hAnsi="Batang"/>
                <w:sz w:val="20"/>
              </w:rPr>
              <w:t xml:space="preserve"> </w:t>
            </w:r>
            <w:r w:rsidRPr="00EF63C5">
              <w:rPr>
                <w:rFonts w:ascii="Batang" w:eastAsia="Batang" w:hAnsi="Batang"/>
                <w:sz w:val="20"/>
              </w:rPr>
              <w:t>payable’</w:t>
            </w:r>
            <w:r w:rsidR="00E226CD" w:rsidRPr="00EF63C5">
              <w:rPr>
                <w:rFonts w:ascii="Batang" w:eastAsia="Batang" w:hAnsi="Batang"/>
                <w:sz w:val="20"/>
              </w:rPr>
              <w:t xml:space="preserve"> </w:t>
            </w:r>
            <w:r w:rsidRPr="00EF63C5">
              <w:rPr>
                <w:rFonts w:ascii="Batang" w:eastAsia="Batang" w:hAnsi="Batang"/>
                <w:sz w:val="20"/>
              </w:rPr>
              <w:t>to a sub-contractor but has been actually paid?</w:t>
            </w:r>
          </w:p>
        </w:tc>
        <w:tc>
          <w:tcPr>
            <w:tcW w:w="3329" w:type="dxa"/>
          </w:tcPr>
          <w:p w:rsidR="00005957" w:rsidRPr="00EF63C5" w:rsidRDefault="00E300B8" w:rsidP="00E300B8">
            <w:pPr>
              <w:jc w:val="both"/>
              <w:rPr>
                <w:rFonts w:ascii="Batang" w:eastAsia="Batang" w:hAnsi="Batang"/>
                <w:sz w:val="20"/>
              </w:rPr>
            </w:pPr>
            <w:r w:rsidRPr="00EF63C5">
              <w:rPr>
                <w:rFonts w:ascii="Batang" w:eastAsia="Batang" w:hAnsi="Batang"/>
                <w:sz w:val="20"/>
              </w:rPr>
              <w:t xml:space="preserve">The </w:t>
            </w:r>
            <w:r w:rsidR="00E226CD" w:rsidRPr="00EF63C5">
              <w:rPr>
                <w:rFonts w:ascii="Batang" w:eastAsia="Batang" w:hAnsi="Batang"/>
                <w:sz w:val="20"/>
              </w:rPr>
              <w:t xml:space="preserve">Supreme Court’s </w:t>
            </w:r>
            <w:r w:rsidRPr="00EF63C5">
              <w:rPr>
                <w:rFonts w:ascii="Batang" w:eastAsia="Batang" w:hAnsi="Batang"/>
                <w:sz w:val="20"/>
              </w:rPr>
              <w:t xml:space="preserve">held that section 40(a)(ia) would be attracted for failure to deduct tax in both cases </w:t>
            </w:r>
            <w:r w:rsidR="00E226CD" w:rsidRPr="00EF63C5">
              <w:rPr>
                <w:rFonts w:ascii="Batang" w:eastAsia="Batang" w:hAnsi="Batang"/>
                <w:sz w:val="20"/>
              </w:rPr>
              <w:t>i.e.</w:t>
            </w:r>
            <w:r w:rsidRPr="00EF63C5">
              <w:rPr>
                <w:rFonts w:ascii="Batang" w:eastAsia="Batang" w:hAnsi="Batang"/>
                <w:sz w:val="20"/>
              </w:rPr>
              <w:t xml:space="preserve"> when the amount is payable or when the amount is </w:t>
            </w:r>
            <w:r w:rsidR="00E226CD" w:rsidRPr="00EF63C5">
              <w:rPr>
                <w:rFonts w:ascii="Batang" w:eastAsia="Batang" w:hAnsi="Batang"/>
                <w:sz w:val="20"/>
              </w:rPr>
              <w:t>paid, as</w:t>
            </w:r>
            <w:r w:rsidRPr="00EF63C5">
              <w:rPr>
                <w:rFonts w:ascii="Batang" w:eastAsia="Batang" w:hAnsi="Batang"/>
                <w:sz w:val="20"/>
              </w:rPr>
              <w:t xml:space="preserve"> the case may </w:t>
            </w:r>
            <w:r w:rsidR="00E226CD" w:rsidRPr="00EF63C5">
              <w:rPr>
                <w:rFonts w:ascii="Batang" w:eastAsia="Batang" w:hAnsi="Batang"/>
                <w:sz w:val="20"/>
              </w:rPr>
              <w:t>be, depending</w:t>
            </w:r>
            <w:r w:rsidRPr="00EF63C5">
              <w:rPr>
                <w:rFonts w:ascii="Batang" w:eastAsia="Batang" w:hAnsi="Batang"/>
                <w:sz w:val="20"/>
              </w:rPr>
              <w:t xml:space="preserve"> on the system of accounting </w:t>
            </w:r>
            <w:r w:rsidR="00E226CD" w:rsidRPr="00EF63C5">
              <w:rPr>
                <w:rFonts w:ascii="Batang" w:eastAsia="Batang" w:hAnsi="Batang"/>
                <w:sz w:val="20"/>
              </w:rPr>
              <w:t>followed</w:t>
            </w:r>
            <w:r w:rsidRPr="00EF63C5">
              <w:rPr>
                <w:rFonts w:ascii="Batang" w:eastAsia="Batang" w:hAnsi="Batang"/>
                <w:sz w:val="20"/>
              </w:rPr>
              <w:t xml:space="preserve"> by the </w:t>
            </w:r>
            <w:r w:rsidR="00E226CD" w:rsidRPr="00EF63C5">
              <w:rPr>
                <w:rFonts w:ascii="Batang" w:eastAsia="Batang" w:hAnsi="Batang"/>
                <w:sz w:val="20"/>
              </w:rPr>
              <w:t>assesses</w:t>
            </w:r>
            <w:r w:rsidRPr="00EF63C5">
              <w:rPr>
                <w:rFonts w:ascii="Batang" w:eastAsia="Batang" w:hAnsi="Batang"/>
                <w:sz w:val="20"/>
              </w:rPr>
              <w:t>.</w:t>
            </w:r>
          </w:p>
        </w:tc>
        <w:tc>
          <w:tcPr>
            <w:tcW w:w="3230" w:type="dxa"/>
          </w:tcPr>
          <w:p w:rsidR="00005957" w:rsidRPr="00EF63C5" w:rsidRDefault="00BA36F0" w:rsidP="00005957">
            <w:pPr>
              <w:rPr>
                <w:rFonts w:ascii="Batang" w:eastAsia="Batang" w:hAnsi="Batang"/>
                <w:b/>
                <w:bCs/>
                <w:sz w:val="20"/>
              </w:rPr>
            </w:pPr>
            <w:r>
              <w:rPr>
                <w:rFonts w:ascii="Batang" w:eastAsia="Batang" w:hAnsi="Batang"/>
                <w:b/>
                <w:bCs/>
                <w:sz w:val="20"/>
              </w:rPr>
              <w:t>PAPAM</w:t>
            </w:r>
            <w:r w:rsidR="0008237E" w:rsidRPr="00EF63C5">
              <w:rPr>
                <w:rFonts w:ascii="Batang" w:eastAsia="Batang" w:hAnsi="Batang"/>
                <w:b/>
                <w:bCs/>
                <w:sz w:val="20"/>
              </w:rPr>
              <w:t xml:space="preserve"> GAS SERVICE V/S CIT[2017]394 ITR 300(SC)</w:t>
            </w:r>
          </w:p>
        </w:tc>
      </w:tr>
      <w:tr w:rsidR="00005957" w:rsidRPr="00EF63C5" w:rsidTr="00BA36F0">
        <w:tc>
          <w:tcPr>
            <w:tcW w:w="743" w:type="dxa"/>
          </w:tcPr>
          <w:p w:rsidR="00005957" w:rsidRPr="00EF63C5" w:rsidRDefault="00E300B8" w:rsidP="00005957">
            <w:pPr>
              <w:rPr>
                <w:rFonts w:ascii="Batang" w:eastAsia="Batang" w:hAnsi="Batang"/>
                <w:sz w:val="20"/>
              </w:rPr>
            </w:pPr>
            <w:r w:rsidRPr="00EF63C5">
              <w:rPr>
                <w:rFonts w:ascii="Batang" w:eastAsia="Batang" w:hAnsi="Batang"/>
                <w:sz w:val="20"/>
              </w:rPr>
              <w:t>3</w:t>
            </w:r>
          </w:p>
        </w:tc>
        <w:tc>
          <w:tcPr>
            <w:tcW w:w="4128" w:type="dxa"/>
          </w:tcPr>
          <w:p w:rsidR="00005957" w:rsidRPr="00EF63C5" w:rsidRDefault="00E300B8" w:rsidP="00C63BC4">
            <w:pPr>
              <w:jc w:val="both"/>
              <w:rPr>
                <w:rFonts w:ascii="Batang" w:eastAsia="Batang" w:hAnsi="Batang"/>
                <w:sz w:val="20"/>
              </w:rPr>
            </w:pPr>
            <w:r w:rsidRPr="00EF63C5">
              <w:rPr>
                <w:rFonts w:ascii="Batang" w:eastAsia="Batang" w:hAnsi="Batang"/>
                <w:sz w:val="20"/>
              </w:rPr>
              <w:t>Whether rental income earned from letting out of premises is to be treated as business income or as income from house property?</w:t>
            </w:r>
          </w:p>
        </w:tc>
        <w:tc>
          <w:tcPr>
            <w:tcW w:w="3329" w:type="dxa"/>
          </w:tcPr>
          <w:p w:rsidR="00005957" w:rsidRPr="00EF63C5" w:rsidRDefault="006D5EC5" w:rsidP="006D5EC5">
            <w:pPr>
              <w:jc w:val="both"/>
              <w:rPr>
                <w:rFonts w:ascii="Batang" w:eastAsia="Batang" w:hAnsi="Batang"/>
                <w:sz w:val="20"/>
              </w:rPr>
            </w:pPr>
            <w:r w:rsidRPr="00EF63C5">
              <w:rPr>
                <w:rFonts w:ascii="Batang" w:eastAsia="Batang" w:hAnsi="Batang"/>
                <w:sz w:val="20"/>
              </w:rPr>
              <w:t xml:space="preserve">The </w:t>
            </w:r>
            <w:r w:rsidR="00BA36F0" w:rsidRPr="00EF63C5">
              <w:rPr>
                <w:rFonts w:ascii="Batang" w:eastAsia="Batang" w:hAnsi="Batang"/>
                <w:sz w:val="20"/>
              </w:rPr>
              <w:t>S</w:t>
            </w:r>
            <w:r w:rsidRPr="00EF63C5">
              <w:rPr>
                <w:rFonts w:ascii="Batang" w:eastAsia="Batang" w:hAnsi="Batang"/>
                <w:sz w:val="20"/>
              </w:rPr>
              <w:t xml:space="preserve">upreme </w:t>
            </w:r>
            <w:r w:rsidR="00BA36F0" w:rsidRPr="00EF63C5">
              <w:rPr>
                <w:rFonts w:ascii="Batang" w:eastAsia="Batang" w:hAnsi="Batang"/>
                <w:sz w:val="20"/>
              </w:rPr>
              <w:t>C</w:t>
            </w:r>
            <w:r w:rsidRPr="00EF63C5">
              <w:rPr>
                <w:rFonts w:ascii="Batang" w:eastAsia="Batang" w:hAnsi="Batang"/>
                <w:sz w:val="20"/>
              </w:rPr>
              <w:t xml:space="preserve">ourt observe that wherever </w:t>
            </w:r>
            <w:r w:rsidR="00BA36F0">
              <w:rPr>
                <w:rFonts w:ascii="Batang" w:eastAsia="Batang" w:hAnsi="Batang"/>
                <w:sz w:val="20"/>
              </w:rPr>
              <w:t>assessee</w:t>
            </w:r>
            <w:r w:rsidRPr="00EF63C5">
              <w:rPr>
                <w:rFonts w:ascii="Batang" w:eastAsia="Batang" w:hAnsi="Batang"/>
                <w:sz w:val="20"/>
              </w:rPr>
              <w:t xml:space="preserve"> proves that the substantial income of the assessee was from letting out of the property than income from leasing out property </w:t>
            </w:r>
            <w:r w:rsidR="0008237E" w:rsidRPr="00EF63C5">
              <w:rPr>
                <w:rFonts w:ascii="Batang" w:eastAsia="Batang" w:hAnsi="Batang"/>
                <w:sz w:val="20"/>
              </w:rPr>
              <w:t>considered</w:t>
            </w:r>
            <w:r w:rsidRPr="00EF63C5">
              <w:rPr>
                <w:rFonts w:ascii="Batang" w:eastAsia="Batang" w:hAnsi="Batang"/>
                <w:sz w:val="20"/>
              </w:rPr>
              <w:t xml:space="preserve"> as business </w:t>
            </w:r>
            <w:r w:rsidR="0008237E" w:rsidRPr="00EF63C5">
              <w:rPr>
                <w:rFonts w:ascii="Batang" w:eastAsia="Batang" w:hAnsi="Batang"/>
                <w:sz w:val="20"/>
              </w:rPr>
              <w:t>income, but</w:t>
            </w:r>
            <w:r w:rsidRPr="00EF63C5">
              <w:rPr>
                <w:rFonts w:ascii="Batang" w:eastAsia="Batang" w:hAnsi="Batang"/>
                <w:sz w:val="20"/>
              </w:rPr>
              <w:t xml:space="preserve"> in case the supreme court held that the income is to be assessed </w:t>
            </w:r>
            <w:r w:rsidR="0008237E" w:rsidRPr="00EF63C5">
              <w:rPr>
                <w:rFonts w:ascii="Batang" w:eastAsia="Batang" w:hAnsi="Batang"/>
                <w:sz w:val="20"/>
              </w:rPr>
              <w:t>as “income</w:t>
            </w:r>
            <w:r w:rsidRPr="00EF63C5">
              <w:rPr>
                <w:rFonts w:ascii="Batang" w:eastAsia="Batang" w:hAnsi="Batang"/>
                <w:sz w:val="20"/>
              </w:rPr>
              <w:t xml:space="preserve"> form house property” and not as business </w:t>
            </w:r>
            <w:r w:rsidR="0008237E" w:rsidRPr="00EF63C5">
              <w:rPr>
                <w:rFonts w:ascii="Batang" w:eastAsia="Batang" w:hAnsi="Batang"/>
                <w:sz w:val="20"/>
              </w:rPr>
              <w:t>income, on</w:t>
            </w:r>
            <w:r w:rsidRPr="00EF63C5">
              <w:rPr>
                <w:rFonts w:ascii="Batang" w:eastAsia="Batang" w:hAnsi="Batang"/>
                <w:sz w:val="20"/>
              </w:rPr>
              <w:t xml:space="preserve"> account of lack of sufficient material to prove the substantial income of the assesses was from letting out of the property.</w:t>
            </w:r>
          </w:p>
        </w:tc>
        <w:tc>
          <w:tcPr>
            <w:tcW w:w="3230" w:type="dxa"/>
          </w:tcPr>
          <w:p w:rsidR="00005957" w:rsidRPr="00EF63C5" w:rsidRDefault="00005957" w:rsidP="00005957">
            <w:pPr>
              <w:rPr>
                <w:rFonts w:ascii="Batang" w:eastAsia="Batang" w:hAnsi="Batang"/>
                <w:sz w:val="20"/>
              </w:rPr>
            </w:pPr>
          </w:p>
          <w:p w:rsidR="0008237E" w:rsidRPr="00EF63C5" w:rsidRDefault="0008237E" w:rsidP="00BA36F0">
            <w:pPr>
              <w:jc w:val="both"/>
              <w:rPr>
                <w:rFonts w:ascii="Batang" w:eastAsia="Batang" w:hAnsi="Batang"/>
                <w:b/>
                <w:bCs/>
                <w:sz w:val="20"/>
              </w:rPr>
            </w:pPr>
            <w:r w:rsidRPr="00EF63C5">
              <w:rPr>
                <w:rFonts w:ascii="Batang" w:eastAsia="Batang" w:hAnsi="Batang"/>
                <w:b/>
                <w:bCs/>
                <w:sz w:val="20"/>
              </w:rPr>
              <w:t>RAJ DADARKAR AND</w:t>
            </w:r>
          </w:p>
          <w:p w:rsidR="0008237E" w:rsidRPr="00EF63C5" w:rsidRDefault="0008237E" w:rsidP="00BA36F0">
            <w:pPr>
              <w:jc w:val="both"/>
              <w:rPr>
                <w:rFonts w:ascii="Batang" w:eastAsia="Batang" w:hAnsi="Batang"/>
                <w:b/>
                <w:bCs/>
                <w:sz w:val="20"/>
              </w:rPr>
            </w:pPr>
            <w:r w:rsidRPr="00EF63C5">
              <w:rPr>
                <w:rFonts w:ascii="Batang" w:eastAsia="Batang" w:hAnsi="Batang"/>
                <w:b/>
                <w:bCs/>
                <w:sz w:val="20"/>
              </w:rPr>
              <w:t xml:space="preserve"> ASSOCIATES V/S</w:t>
            </w:r>
          </w:p>
          <w:p w:rsidR="006D5EC5" w:rsidRPr="00EF63C5" w:rsidRDefault="0008237E" w:rsidP="00BA36F0">
            <w:pPr>
              <w:jc w:val="both"/>
              <w:rPr>
                <w:rFonts w:ascii="Batang" w:eastAsia="Batang" w:hAnsi="Batang"/>
                <w:b/>
                <w:bCs/>
                <w:sz w:val="20"/>
              </w:rPr>
            </w:pPr>
            <w:r w:rsidRPr="00EF63C5">
              <w:rPr>
                <w:rFonts w:ascii="Batang" w:eastAsia="Batang" w:hAnsi="Batang"/>
                <w:b/>
                <w:bCs/>
                <w:sz w:val="20"/>
              </w:rPr>
              <w:t xml:space="preserve"> ASSISTANT COMMISSIONER OF INCOME TAX [2017]394 ITR 592(SC)</w:t>
            </w:r>
          </w:p>
        </w:tc>
      </w:tr>
      <w:tr w:rsidR="006D5EC5" w:rsidRPr="00EF63C5" w:rsidTr="00BA36F0">
        <w:tc>
          <w:tcPr>
            <w:tcW w:w="743" w:type="dxa"/>
          </w:tcPr>
          <w:p w:rsidR="006D5EC5" w:rsidRPr="00EF63C5" w:rsidRDefault="006D5EC5" w:rsidP="00005957">
            <w:pPr>
              <w:rPr>
                <w:rFonts w:ascii="Batang" w:eastAsia="Batang" w:hAnsi="Batang"/>
                <w:sz w:val="20"/>
              </w:rPr>
            </w:pPr>
            <w:r w:rsidRPr="00EF63C5">
              <w:rPr>
                <w:rFonts w:ascii="Batang" w:eastAsia="Batang" w:hAnsi="Batang"/>
                <w:sz w:val="20"/>
              </w:rPr>
              <w:t>4</w:t>
            </w:r>
          </w:p>
        </w:tc>
        <w:tc>
          <w:tcPr>
            <w:tcW w:w="4128" w:type="dxa"/>
          </w:tcPr>
          <w:p w:rsidR="006D5EC5" w:rsidRPr="00EF63C5" w:rsidRDefault="00B21FAF" w:rsidP="00C63BC4">
            <w:pPr>
              <w:jc w:val="both"/>
              <w:rPr>
                <w:rFonts w:ascii="Batang" w:eastAsia="Batang" w:hAnsi="Batang"/>
                <w:sz w:val="20"/>
              </w:rPr>
            </w:pPr>
            <w:r w:rsidRPr="00EF63C5">
              <w:rPr>
                <w:rFonts w:ascii="Batang" w:eastAsia="Batang" w:hAnsi="Batang"/>
                <w:sz w:val="20"/>
              </w:rPr>
              <w:t xml:space="preserve">Whether the nature of an expenditure can be considered debatable for not invoking prima facie adjustment under section 143(1)(a),where the jurisdictional </w:t>
            </w:r>
            <w:r w:rsidR="00BA36F0" w:rsidRPr="00EF63C5">
              <w:rPr>
                <w:rFonts w:ascii="Batang" w:eastAsia="Batang" w:hAnsi="Batang"/>
                <w:sz w:val="20"/>
              </w:rPr>
              <w:t>H</w:t>
            </w:r>
            <w:r w:rsidRPr="00EF63C5">
              <w:rPr>
                <w:rFonts w:ascii="Batang" w:eastAsia="Batang" w:hAnsi="Batang"/>
                <w:sz w:val="20"/>
              </w:rPr>
              <w:t xml:space="preserve">igh </w:t>
            </w:r>
            <w:r w:rsidR="00BA36F0" w:rsidRPr="00EF63C5">
              <w:rPr>
                <w:rFonts w:ascii="Batang" w:eastAsia="Batang" w:hAnsi="Batang"/>
                <w:sz w:val="20"/>
              </w:rPr>
              <w:t>C</w:t>
            </w:r>
            <w:r w:rsidRPr="00EF63C5">
              <w:rPr>
                <w:rFonts w:ascii="Batang" w:eastAsia="Batang" w:hAnsi="Batang"/>
                <w:sz w:val="20"/>
              </w:rPr>
              <w:t>ourt has taken a view that the expenditure is capital in nature even though some other high courts have held that the same is revenue in nature?</w:t>
            </w:r>
          </w:p>
        </w:tc>
        <w:tc>
          <w:tcPr>
            <w:tcW w:w="3329" w:type="dxa"/>
          </w:tcPr>
          <w:p w:rsidR="0008237E" w:rsidRPr="00EF63C5" w:rsidRDefault="00B21FAF" w:rsidP="00B21FAF">
            <w:pPr>
              <w:jc w:val="both"/>
              <w:rPr>
                <w:rFonts w:ascii="Batang" w:eastAsia="Batang" w:hAnsi="Batang"/>
                <w:sz w:val="20"/>
              </w:rPr>
            </w:pPr>
            <w:r w:rsidRPr="00EF63C5">
              <w:rPr>
                <w:rFonts w:ascii="Batang" w:eastAsia="Batang" w:hAnsi="Batang"/>
                <w:sz w:val="20"/>
              </w:rPr>
              <w:t xml:space="preserve">The </w:t>
            </w:r>
            <w:r w:rsidR="00BA36F0" w:rsidRPr="00EF63C5">
              <w:rPr>
                <w:rFonts w:ascii="Batang" w:eastAsia="Batang" w:hAnsi="Batang"/>
                <w:sz w:val="20"/>
              </w:rPr>
              <w:t>S</w:t>
            </w:r>
            <w:r w:rsidRPr="00EF63C5">
              <w:rPr>
                <w:rFonts w:ascii="Batang" w:eastAsia="Batang" w:hAnsi="Batang"/>
                <w:sz w:val="20"/>
              </w:rPr>
              <w:t xml:space="preserve">upreme </w:t>
            </w:r>
            <w:r w:rsidR="00BA36F0" w:rsidRPr="00EF63C5">
              <w:rPr>
                <w:rFonts w:ascii="Batang" w:eastAsia="Batang" w:hAnsi="Batang"/>
                <w:sz w:val="20"/>
              </w:rPr>
              <w:t>C</w:t>
            </w:r>
            <w:r w:rsidRPr="00EF63C5">
              <w:rPr>
                <w:rFonts w:ascii="Batang" w:eastAsia="Batang" w:hAnsi="Batang"/>
                <w:sz w:val="20"/>
              </w:rPr>
              <w:t xml:space="preserve">ourt noted that there was divergence of opinion amongst the various high courts on the nature of the expenses incurred on raising share </w:t>
            </w:r>
            <w:r w:rsidR="0008237E" w:rsidRPr="00EF63C5">
              <w:rPr>
                <w:rFonts w:ascii="Batang" w:eastAsia="Batang" w:hAnsi="Batang"/>
                <w:sz w:val="20"/>
              </w:rPr>
              <w:t>capital. The</w:t>
            </w:r>
            <w:r w:rsidRPr="00EF63C5">
              <w:rPr>
                <w:rFonts w:ascii="Batang" w:eastAsia="Batang" w:hAnsi="Batang"/>
                <w:sz w:val="20"/>
              </w:rPr>
              <w:t xml:space="preserve"> </w:t>
            </w:r>
            <w:r w:rsidR="0008237E" w:rsidRPr="00EF63C5">
              <w:rPr>
                <w:rFonts w:ascii="Batang" w:eastAsia="Batang" w:hAnsi="Batang"/>
                <w:sz w:val="20"/>
              </w:rPr>
              <w:t>supreme</w:t>
            </w:r>
            <w:r w:rsidRPr="00EF63C5">
              <w:rPr>
                <w:rFonts w:ascii="Batang" w:eastAsia="Batang" w:hAnsi="Batang"/>
                <w:sz w:val="20"/>
              </w:rPr>
              <w:t xml:space="preserve"> court held </w:t>
            </w:r>
            <w:r w:rsidR="0008237E" w:rsidRPr="00EF63C5">
              <w:rPr>
                <w:rFonts w:ascii="Batang" w:eastAsia="Batang" w:hAnsi="Batang"/>
                <w:sz w:val="20"/>
              </w:rPr>
              <w:t>that,</w:t>
            </w:r>
            <w:r w:rsidRPr="00EF63C5">
              <w:rPr>
                <w:rFonts w:ascii="Batang" w:eastAsia="Batang" w:hAnsi="Batang"/>
                <w:sz w:val="20"/>
              </w:rPr>
              <w:t xml:space="preserve"> in the case of the assessee,the issue was not</w:t>
            </w:r>
            <w:r w:rsidR="0008237E" w:rsidRPr="00EF63C5">
              <w:rPr>
                <w:rFonts w:ascii="Batang" w:eastAsia="Batang" w:hAnsi="Batang"/>
                <w:sz w:val="20"/>
              </w:rPr>
              <w:t xml:space="preserve"> </w:t>
            </w:r>
            <w:r w:rsidRPr="00EF63C5">
              <w:rPr>
                <w:rFonts w:ascii="Batang" w:eastAsia="Batang" w:hAnsi="Batang"/>
                <w:sz w:val="20"/>
              </w:rPr>
              <w:t>debatable,</w:t>
            </w:r>
            <w:r w:rsidR="00DB0E32">
              <w:rPr>
                <w:rFonts w:ascii="Batang" w:eastAsia="Batang" w:hAnsi="Batang"/>
                <w:sz w:val="20"/>
              </w:rPr>
              <w:t xml:space="preserve"> </w:t>
            </w:r>
            <w:r w:rsidRPr="00EF63C5">
              <w:rPr>
                <w:rFonts w:ascii="Batang" w:eastAsia="Batang" w:hAnsi="Batang"/>
                <w:sz w:val="20"/>
              </w:rPr>
              <w:t>since the</w:t>
            </w:r>
          </w:p>
          <w:p w:rsidR="006D5EC5" w:rsidRPr="00EF63C5" w:rsidRDefault="00B21FAF" w:rsidP="00B21FAF">
            <w:pPr>
              <w:jc w:val="both"/>
              <w:rPr>
                <w:rFonts w:ascii="Batang" w:eastAsia="Batang" w:hAnsi="Batang"/>
                <w:sz w:val="20"/>
              </w:rPr>
            </w:pPr>
            <w:r w:rsidRPr="00EF63C5">
              <w:rPr>
                <w:rFonts w:ascii="Batang" w:eastAsia="Batang" w:hAnsi="Batang"/>
                <w:sz w:val="20"/>
              </w:rPr>
              <w:t xml:space="preserve"> registered office of the assesse </w:t>
            </w:r>
            <w:r w:rsidRPr="00EF63C5">
              <w:rPr>
                <w:rFonts w:ascii="Batang" w:eastAsia="Batang" w:hAnsi="Batang"/>
                <w:sz w:val="20"/>
              </w:rPr>
              <w:lastRenderedPageBreak/>
              <w:t>is in Gujarat,</w:t>
            </w:r>
            <w:r w:rsidR="00DB0E32">
              <w:rPr>
                <w:rFonts w:ascii="Batang" w:eastAsia="Batang" w:hAnsi="Batang"/>
                <w:sz w:val="20"/>
              </w:rPr>
              <w:t xml:space="preserve"> </w:t>
            </w:r>
            <w:r w:rsidRPr="00EF63C5">
              <w:rPr>
                <w:rFonts w:ascii="Batang" w:eastAsia="Batang" w:hAnsi="Batang"/>
                <w:sz w:val="20"/>
              </w:rPr>
              <w:t xml:space="preserve">the law laid down by the Gujarat </w:t>
            </w:r>
            <w:r w:rsidR="00BA36F0" w:rsidRPr="00EF63C5">
              <w:rPr>
                <w:rFonts w:ascii="Batang" w:eastAsia="Batang" w:hAnsi="Batang"/>
                <w:sz w:val="20"/>
              </w:rPr>
              <w:t>H</w:t>
            </w:r>
            <w:r w:rsidRPr="00EF63C5">
              <w:rPr>
                <w:rFonts w:ascii="Batang" w:eastAsia="Batang" w:hAnsi="Batang"/>
                <w:sz w:val="20"/>
              </w:rPr>
              <w:t xml:space="preserve">igh </w:t>
            </w:r>
            <w:r w:rsidR="00BA36F0" w:rsidRPr="00EF63C5">
              <w:rPr>
                <w:rFonts w:ascii="Batang" w:eastAsia="Batang" w:hAnsi="Batang"/>
                <w:sz w:val="20"/>
              </w:rPr>
              <w:t>C</w:t>
            </w:r>
            <w:r w:rsidRPr="00EF63C5">
              <w:rPr>
                <w:rFonts w:ascii="Batang" w:eastAsia="Batang" w:hAnsi="Batang"/>
                <w:sz w:val="20"/>
              </w:rPr>
              <w:t>ourt is binding on the asseesee and the expenditure is treated as capital in nature.</w:t>
            </w:r>
          </w:p>
        </w:tc>
        <w:tc>
          <w:tcPr>
            <w:tcW w:w="3230" w:type="dxa"/>
          </w:tcPr>
          <w:p w:rsidR="006D5EC5" w:rsidRPr="00EF63C5" w:rsidRDefault="0008237E" w:rsidP="00C63BC4">
            <w:pPr>
              <w:jc w:val="both"/>
              <w:rPr>
                <w:rFonts w:ascii="Batang" w:eastAsia="Batang" w:hAnsi="Batang"/>
                <w:b/>
                <w:bCs/>
                <w:sz w:val="20"/>
              </w:rPr>
            </w:pPr>
            <w:r w:rsidRPr="00EF63C5">
              <w:rPr>
                <w:rFonts w:ascii="Batang" w:eastAsia="Batang" w:hAnsi="Batang"/>
                <w:b/>
                <w:bCs/>
                <w:sz w:val="20"/>
              </w:rPr>
              <w:lastRenderedPageBreak/>
              <w:t>DEPUTY COMMISSIONER OF INCOME TAX V.RAGHUVIR SYNTHETICS LTD.[2017]394 ITR 1(SC)</w:t>
            </w:r>
          </w:p>
        </w:tc>
      </w:tr>
      <w:tr w:rsidR="00005957" w:rsidRPr="00EF63C5" w:rsidTr="00BA36F0">
        <w:tc>
          <w:tcPr>
            <w:tcW w:w="743" w:type="dxa"/>
          </w:tcPr>
          <w:p w:rsidR="00005957" w:rsidRPr="00EF63C5" w:rsidRDefault="00B36930" w:rsidP="00005957">
            <w:pPr>
              <w:rPr>
                <w:rFonts w:ascii="Batang" w:eastAsia="Batang" w:hAnsi="Batang"/>
                <w:sz w:val="20"/>
              </w:rPr>
            </w:pPr>
            <w:r w:rsidRPr="00EF63C5">
              <w:rPr>
                <w:rFonts w:ascii="Batang" w:eastAsia="Batang" w:hAnsi="Batang"/>
                <w:sz w:val="20"/>
              </w:rPr>
              <w:lastRenderedPageBreak/>
              <w:t>5</w:t>
            </w:r>
          </w:p>
        </w:tc>
        <w:tc>
          <w:tcPr>
            <w:tcW w:w="4128" w:type="dxa"/>
          </w:tcPr>
          <w:p w:rsidR="00005957" w:rsidRPr="00EF63C5" w:rsidRDefault="00B36930" w:rsidP="00C63BC4">
            <w:pPr>
              <w:jc w:val="both"/>
              <w:rPr>
                <w:rFonts w:ascii="Batang" w:eastAsia="Batang" w:hAnsi="Batang"/>
                <w:sz w:val="20"/>
              </w:rPr>
            </w:pPr>
            <w:r w:rsidRPr="00EF63C5">
              <w:rPr>
                <w:rFonts w:ascii="Batang" w:eastAsia="Batang" w:hAnsi="Batang"/>
                <w:sz w:val="20"/>
              </w:rPr>
              <w:t>Whether”premium” on subscribed share capital is “capital employed in the business of the company” under section 35AD to be eligible for a deduction?</w:t>
            </w:r>
          </w:p>
        </w:tc>
        <w:tc>
          <w:tcPr>
            <w:tcW w:w="3329" w:type="dxa"/>
          </w:tcPr>
          <w:p w:rsidR="00005957" w:rsidRPr="00EF63C5" w:rsidRDefault="00B36930" w:rsidP="00005957">
            <w:pPr>
              <w:rPr>
                <w:rFonts w:ascii="Batang" w:eastAsia="Batang" w:hAnsi="Batang"/>
                <w:sz w:val="20"/>
              </w:rPr>
            </w:pPr>
            <w:r w:rsidRPr="00EF63C5">
              <w:rPr>
                <w:rFonts w:ascii="Batang" w:eastAsia="Batang" w:hAnsi="Batang"/>
                <w:sz w:val="20"/>
              </w:rPr>
              <w:t xml:space="preserve">The </w:t>
            </w:r>
            <w:r w:rsidR="00BA36F0" w:rsidRPr="00EF63C5">
              <w:rPr>
                <w:rFonts w:ascii="Batang" w:eastAsia="Batang" w:hAnsi="Batang"/>
                <w:sz w:val="20"/>
              </w:rPr>
              <w:t>S</w:t>
            </w:r>
            <w:r w:rsidRPr="00EF63C5">
              <w:rPr>
                <w:rFonts w:ascii="Batang" w:eastAsia="Batang" w:hAnsi="Batang"/>
                <w:sz w:val="20"/>
              </w:rPr>
              <w:t xml:space="preserve">upreme </w:t>
            </w:r>
            <w:r w:rsidR="00BA36F0" w:rsidRPr="00EF63C5">
              <w:rPr>
                <w:rFonts w:ascii="Batang" w:eastAsia="Batang" w:hAnsi="Batang"/>
                <w:sz w:val="20"/>
              </w:rPr>
              <w:t>C</w:t>
            </w:r>
            <w:r w:rsidRPr="00EF63C5">
              <w:rPr>
                <w:rFonts w:ascii="Batang" w:eastAsia="Batang" w:hAnsi="Batang"/>
                <w:sz w:val="20"/>
              </w:rPr>
              <w:t xml:space="preserve">ourt held that the assessee is not </w:t>
            </w:r>
            <w:r w:rsidR="00DB0E32" w:rsidRPr="00EF63C5">
              <w:rPr>
                <w:rFonts w:ascii="Batang" w:eastAsia="Batang" w:hAnsi="Batang"/>
                <w:sz w:val="20"/>
              </w:rPr>
              <w:t>entitled</w:t>
            </w:r>
            <w:r w:rsidRPr="00EF63C5">
              <w:rPr>
                <w:rFonts w:ascii="Batang" w:eastAsia="Batang" w:hAnsi="Batang"/>
                <w:sz w:val="20"/>
              </w:rPr>
              <w:t xml:space="preserve"> to claim deduction in relation to the premium amount received from shareholders at the time of share subscription.</w:t>
            </w:r>
          </w:p>
        </w:tc>
        <w:tc>
          <w:tcPr>
            <w:tcW w:w="3230" w:type="dxa"/>
          </w:tcPr>
          <w:p w:rsidR="00005957" w:rsidRPr="00EF63C5" w:rsidRDefault="0008237E" w:rsidP="00005957">
            <w:pPr>
              <w:rPr>
                <w:rFonts w:ascii="Batang" w:eastAsia="Batang" w:hAnsi="Batang"/>
                <w:b/>
                <w:bCs/>
                <w:sz w:val="20"/>
              </w:rPr>
            </w:pPr>
            <w:r w:rsidRPr="00EF63C5">
              <w:rPr>
                <w:rFonts w:ascii="Batang" w:eastAsia="Batang" w:hAnsi="Batang"/>
                <w:b/>
                <w:bCs/>
                <w:sz w:val="20"/>
              </w:rPr>
              <w:t>BERGER PAINTS INDIA LTD V/S CIT(2017) 393 ITR 113(SC)</w:t>
            </w:r>
          </w:p>
        </w:tc>
      </w:tr>
      <w:tr w:rsidR="00005957" w:rsidRPr="00EF63C5" w:rsidTr="00BA36F0">
        <w:tc>
          <w:tcPr>
            <w:tcW w:w="743" w:type="dxa"/>
          </w:tcPr>
          <w:p w:rsidR="00005957" w:rsidRPr="00EF63C5" w:rsidRDefault="00B36930" w:rsidP="00005957">
            <w:pPr>
              <w:rPr>
                <w:rFonts w:ascii="Batang" w:eastAsia="Batang" w:hAnsi="Batang"/>
                <w:sz w:val="20"/>
              </w:rPr>
            </w:pPr>
            <w:r w:rsidRPr="00EF63C5">
              <w:rPr>
                <w:rFonts w:ascii="Batang" w:eastAsia="Batang" w:hAnsi="Batang"/>
                <w:sz w:val="20"/>
              </w:rPr>
              <w:t>6</w:t>
            </w:r>
          </w:p>
        </w:tc>
        <w:tc>
          <w:tcPr>
            <w:tcW w:w="4128" w:type="dxa"/>
          </w:tcPr>
          <w:p w:rsidR="00005957" w:rsidRPr="00EF63C5" w:rsidRDefault="00BA36F0" w:rsidP="00C63BC4">
            <w:pPr>
              <w:jc w:val="both"/>
              <w:rPr>
                <w:rFonts w:ascii="Batang" w:eastAsia="Batang" w:hAnsi="Batang"/>
                <w:sz w:val="20"/>
              </w:rPr>
            </w:pPr>
            <w:r>
              <w:rPr>
                <w:rFonts w:ascii="Batang" w:eastAsia="Batang" w:hAnsi="Batang"/>
                <w:sz w:val="20"/>
              </w:rPr>
              <w:t>Whe</w:t>
            </w:r>
            <w:r w:rsidR="00B36930" w:rsidRPr="00EF63C5">
              <w:rPr>
                <w:rFonts w:ascii="Batang" w:eastAsia="Batang" w:hAnsi="Batang"/>
                <w:sz w:val="20"/>
              </w:rPr>
              <w:t>ther payments made by the agents in india responsible for booking cargo and acting as clearing agent,to use a centralized communication system maintained by the assessee-company engaged in shipping business,can be trated as fees for technical services?</w:t>
            </w:r>
          </w:p>
        </w:tc>
        <w:tc>
          <w:tcPr>
            <w:tcW w:w="3329" w:type="dxa"/>
          </w:tcPr>
          <w:p w:rsidR="00005957" w:rsidRPr="00EF63C5" w:rsidRDefault="00C63BC4" w:rsidP="00DB0E32">
            <w:pPr>
              <w:jc w:val="both"/>
              <w:rPr>
                <w:rFonts w:ascii="Batang" w:eastAsia="Batang" w:hAnsi="Batang"/>
                <w:sz w:val="20"/>
              </w:rPr>
            </w:pPr>
            <w:r w:rsidRPr="00EF63C5">
              <w:rPr>
                <w:rFonts w:ascii="Batang" w:eastAsia="Batang" w:hAnsi="Batang"/>
                <w:sz w:val="20"/>
              </w:rPr>
              <w:t xml:space="preserve">The </w:t>
            </w:r>
            <w:r w:rsidR="00BA36F0" w:rsidRPr="00EF63C5">
              <w:rPr>
                <w:rFonts w:ascii="Batang" w:eastAsia="Batang" w:hAnsi="Batang"/>
                <w:sz w:val="20"/>
              </w:rPr>
              <w:t>S</w:t>
            </w:r>
            <w:r w:rsidRPr="00EF63C5">
              <w:rPr>
                <w:rFonts w:ascii="Batang" w:eastAsia="Batang" w:hAnsi="Batang"/>
                <w:sz w:val="20"/>
              </w:rPr>
              <w:t xml:space="preserve">upreme </w:t>
            </w:r>
            <w:r w:rsidR="00BA36F0" w:rsidRPr="00EF63C5">
              <w:rPr>
                <w:rFonts w:ascii="Batang" w:eastAsia="Batang" w:hAnsi="Batang"/>
                <w:sz w:val="20"/>
              </w:rPr>
              <w:t>C</w:t>
            </w:r>
            <w:r w:rsidRPr="00EF63C5">
              <w:rPr>
                <w:rFonts w:ascii="Batang" w:eastAsia="Batang" w:hAnsi="Batang"/>
                <w:sz w:val="20"/>
              </w:rPr>
              <w:t xml:space="preserve">ourt observed that, for the sake of </w:t>
            </w:r>
            <w:r w:rsidR="00DB0E32" w:rsidRPr="00EF63C5">
              <w:rPr>
                <w:rFonts w:ascii="Batang" w:eastAsia="Batang" w:hAnsi="Batang"/>
                <w:sz w:val="20"/>
              </w:rPr>
              <w:t>convenience</w:t>
            </w:r>
            <w:r w:rsidRPr="00EF63C5">
              <w:rPr>
                <w:rFonts w:ascii="Batang" w:eastAsia="Batang" w:hAnsi="Batang"/>
                <w:sz w:val="20"/>
              </w:rPr>
              <w:t xml:space="preserve"> of its agents,</w:t>
            </w:r>
            <w:r w:rsidR="00DB0E32">
              <w:rPr>
                <w:rFonts w:ascii="Batang" w:eastAsia="Batang" w:hAnsi="Batang"/>
                <w:sz w:val="20"/>
              </w:rPr>
              <w:t xml:space="preserve"> </w:t>
            </w:r>
            <w:r w:rsidRPr="00EF63C5">
              <w:rPr>
                <w:rFonts w:ascii="Batang" w:eastAsia="Batang" w:hAnsi="Batang"/>
                <w:sz w:val="20"/>
              </w:rPr>
              <w:t xml:space="preserve">the assessee had set up a centralized </w:t>
            </w:r>
            <w:r w:rsidR="00DB0E32">
              <w:rPr>
                <w:rFonts w:ascii="Batang" w:eastAsia="Batang" w:hAnsi="Batang"/>
                <w:sz w:val="20"/>
              </w:rPr>
              <w:t>communication</w:t>
            </w:r>
            <w:r w:rsidRPr="00EF63C5">
              <w:rPr>
                <w:rFonts w:ascii="Batang" w:eastAsia="Batang" w:hAnsi="Batang"/>
                <w:sz w:val="20"/>
              </w:rPr>
              <w:t xml:space="preserve"> system which was an integral part of the international shipping business of the assessee. The expenditure incureed for running this system was shared by all the agents and payments to assessee were merely as reimbursement of expenses incurred. The payment could not be treated as fees for technical services. The supreme court accordingly, held that amounts paid by Indian agents to the non-residents company not to be liable as fee for technical services under article 13(4) of the </w:t>
            </w:r>
            <w:r w:rsidR="00DB0E32" w:rsidRPr="00EF63C5">
              <w:rPr>
                <w:rFonts w:ascii="Batang" w:eastAsia="Batang" w:hAnsi="Batang"/>
                <w:sz w:val="20"/>
              </w:rPr>
              <w:t>India</w:t>
            </w:r>
            <w:r w:rsidRPr="00EF63C5">
              <w:rPr>
                <w:rFonts w:ascii="Batang" w:eastAsia="Batang" w:hAnsi="Batang"/>
                <w:sz w:val="20"/>
              </w:rPr>
              <w:t xml:space="preserve"> and Denmark DTAA.</w:t>
            </w:r>
          </w:p>
        </w:tc>
        <w:tc>
          <w:tcPr>
            <w:tcW w:w="3230" w:type="dxa"/>
          </w:tcPr>
          <w:p w:rsidR="00005957" w:rsidRPr="00EF63C5" w:rsidRDefault="0008237E" w:rsidP="00005957">
            <w:pPr>
              <w:rPr>
                <w:rFonts w:ascii="Batang" w:eastAsia="Batang" w:hAnsi="Batang"/>
                <w:b/>
                <w:bCs/>
                <w:sz w:val="20"/>
              </w:rPr>
            </w:pPr>
            <w:r w:rsidRPr="00EF63C5">
              <w:rPr>
                <w:rFonts w:ascii="Batang" w:eastAsia="Batang" w:hAnsi="Batang"/>
                <w:b/>
                <w:bCs/>
                <w:sz w:val="20"/>
              </w:rPr>
              <w:t>DIRECTOR OF INCOME-TAX(INTERNATIONAL TAXATION) V.A.P.MOLLER MAERSK[2017]392 ITR 186(SC)</w:t>
            </w:r>
          </w:p>
        </w:tc>
      </w:tr>
      <w:tr w:rsidR="00005957" w:rsidRPr="00EF63C5" w:rsidTr="00BA36F0">
        <w:tc>
          <w:tcPr>
            <w:tcW w:w="743" w:type="dxa"/>
          </w:tcPr>
          <w:p w:rsidR="00005957" w:rsidRPr="00EF63C5" w:rsidRDefault="00DD7F69" w:rsidP="00005957">
            <w:pPr>
              <w:rPr>
                <w:rFonts w:ascii="Batang" w:eastAsia="Batang" w:hAnsi="Batang"/>
                <w:sz w:val="20"/>
              </w:rPr>
            </w:pPr>
            <w:r w:rsidRPr="00EF63C5">
              <w:rPr>
                <w:rFonts w:ascii="Batang" w:eastAsia="Batang" w:hAnsi="Batang"/>
                <w:sz w:val="20"/>
              </w:rPr>
              <w:t>7</w:t>
            </w:r>
          </w:p>
        </w:tc>
        <w:tc>
          <w:tcPr>
            <w:tcW w:w="4128" w:type="dxa"/>
          </w:tcPr>
          <w:p w:rsidR="00005957" w:rsidRPr="00EF63C5" w:rsidRDefault="00DB0E32" w:rsidP="00005957">
            <w:pPr>
              <w:rPr>
                <w:rFonts w:ascii="Batang" w:eastAsia="Batang" w:hAnsi="Batang"/>
                <w:sz w:val="20"/>
              </w:rPr>
            </w:pPr>
            <w:r>
              <w:rPr>
                <w:rFonts w:ascii="Batang" w:eastAsia="Batang" w:hAnsi="Batang"/>
                <w:sz w:val="20"/>
              </w:rPr>
              <w:t>Whe</w:t>
            </w:r>
            <w:r w:rsidR="00DD7F69" w:rsidRPr="00EF63C5">
              <w:rPr>
                <w:rFonts w:ascii="Batang" w:eastAsia="Batang" w:hAnsi="Batang"/>
                <w:sz w:val="20"/>
              </w:rPr>
              <w:t>ther payment of sums due,after the deadline stipulated by the settlement commission,would save the petitioner from withdraw of immunity from prosecution?</w:t>
            </w:r>
          </w:p>
        </w:tc>
        <w:tc>
          <w:tcPr>
            <w:tcW w:w="3329" w:type="dxa"/>
          </w:tcPr>
          <w:p w:rsidR="00005957" w:rsidRPr="00EF63C5" w:rsidRDefault="00DD7F69" w:rsidP="00BA36F0">
            <w:pPr>
              <w:jc w:val="both"/>
              <w:rPr>
                <w:rFonts w:ascii="Batang" w:eastAsia="Batang" w:hAnsi="Batang"/>
                <w:sz w:val="20"/>
              </w:rPr>
            </w:pPr>
            <w:r w:rsidRPr="00EF63C5">
              <w:rPr>
                <w:rFonts w:ascii="Batang" w:eastAsia="Batang" w:hAnsi="Batang"/>
                <w:sz w:val="20"/>
              </w:rPr>
              <w:t xml:space="preserve">The supreme court </w:t>
            </w:r>
            <w:r w:rsidR="00BA36F0">
              <w:rPr>
                <w:rFonts w:ascii="Batang" w:eastAsia="Batang" w:hAnsi="Batang"/>
                <w:sz w:val="20"/>
              </w:rPr>
              <w:t>h</w:t>
            </w:r>
            <w:r w:rsidRPr="00EF63C5">
              <w:rPr>
                <w:rFonts w:ascii="Batang" w:eastAsia="Batang" w:hAnsi="Batang"/>
                <w:sz w:val="20"/>
              </w:rPr>
              <w:t>eld that the assessee having cleared all taxes due vide order of settlement commission,after stipulated deadline,is immune from prosection.</w:t>
            </w:r>
          </w:p>
        </w:tc>
        <w:tc>
          <w:tcPr>
            <w:tcW w:w="3230" w:type="dxa"/>
          </w:tcPr>
          <w:p w:rsidR="00005957" w:rsidRPr="00EF63C5" w:rsidRDefault="0008237E" w:rsidP="00005957">
            <w:pPr>
              <w:rPr>
                <w:rFonts w:ascii="Batang" w:eastAsia="Batang" w:hAnsi="Batang"/>
                <w:b/>
                <w:bCs/>
                <w:sz w:val="20"/>
              </w:rPr>
            </w:pPr>
            <w:r w:rsidRPr="00EF63C5">
              <w:rPr>
                <w:rFonts w:ascii="Batang" w:eastAsia="Batang" w:hAnsi="Batang"/>
                <w:b/>
                <w:bCs/>
                <w:sz w:val="20"/>
              </w:rPr>
              <w:t>SANDEEP SINGH V UNION OF INDIA[2017] 393 ITR 77{SC}</w:t>
            </w:r>
          </w:p>
        </w:tc>
      </w:tr>
      <w:tr w:rsidR="00005957" w:rsidRPr="00EF63C5" w:rsidTr="00BA36F0">
        <w:tc>
          <w:tcPr>
            <w:tcW w:w="743" w:type="dxa"/>
          </w:tcPr>
          <w:p w:rsidR="00005957" w:rsidRPr="00EF63C5" w:rsidRDefault="00DD7F69" w:rsidP="00005957">
            <w:pPr>
              <w:rPr>
                <w:rFonts w:ascii="Batang" w:eastAsia="Batang" w:hAnsi="Batang"/>
                <w:sz w:val="20"/>
              </w:rPr>
            </w:pPr>
            <w:r w:rsidRPr="00EF63C5">
              <w:rPr>
                <w:rFonts w:ascii="Batang" w:eastAsia="Batang" w:hAnsi="Batang"/>
                <w:sz w:val="20"/>
              </w:rPr>
              <w:t>8</w:t>
            </w:r>
          </w:p>
        </w:tc>
        <w:tc>
          <w:tcPr>
            <w:tcW w:w="4128" w:type="dxa"/>
          </w:tcPr>
          <w:p w:rsidR="00005957" w:rsidRPr="00EF63C5" w:rsidRDefault="00DD7F69" w:rsidP="00005957">
            <w:pPr>
              <w:rPr>
                <w:rFonts w:ascii="Batang" w:eastAsia="Batang" w:hAnsi="Batang"/>
                <w:sz w:val="20"/>
              </w:rPr>
            </w:pPr>
            <w:r w:rsidRPr="00EF63C5">
              <w:rPr>
                <w:rFonts w:ascii="Batang" w:eastAsia="Batang" w:hAnsi="Batang"/>
                <w:sz w:val="20"/>
              </w:rPr>
              <w:t xml:space="preserve">Is </w:t>
            </w:r>
            <w:r w:rsidR="00602316" w:rsidRPr="00EF63C5">
              <w:rPr>
                <w:rFonts w:ascii="Batang" w:eastAsia="Batang" w:hAnsi="Batang"/>
                <w:sz w:val="20"/>
              </w:rPr>
              <w:t>loan</w:t>
            </w:r>
            <w:r w:rsidRPr="00EF63C5">
              <w:rPr>
                <w:rFonts w:ascii="Batang" w:eastAsia="Batang" w:hAnsi="Batang"/>
                <w:sz w:val="20"/>
              </w:rPr>
              <w:t xml:space="preserve"> to HUF who is a shareholder in a closely held company chargeable to tax as deemed dividend?</w:t>
            </w:r>
          </w:p>
        </w:tc>
        <w:tc>
          <w:tcPr>
            <w:tcW w:w="3329" w:type="dxa"/>
          </w:tcPr>
          <w:p w:rsidR="00005957" w:rsidRPr="00EF63C5" w:rsidRDefault="00602316" w:rsidP="00602316">
            <w:pPr>
              <w:jc w:val="both"/>
              <w:rPr>
                <w:rFonts w:ascii="Batang" w:eastAsia="Batang" w:hAnsi="Batang"/>
                <w:sz w:val="20"/>
              </w:rPr>
            </w:pPr>
            <w:r w:rsidRPr="00EF63C5">
              <w:rPr>
                <w:rFonts w:ascii="Batang" w:eastAsia="Batang" w:hAnsi="Batang"/>
                <w:sz w:val="20"/>
              </w:rPr>
              <w:t xml:space="preserve">The supreme court observed that </w:t>
            </w:r>
            <w:r w:rsidR="00BA36F0">
              <w:rPr>
                <w:rFonts w:ascii="Batang" w:eastAsia="Batang" w:hAnsi="Batang"/>
                <w:sz w:val="20"/>
              </w:rPr>
              <w:t>in either scenario,section 2(22)</w:t>
            </w:r>
            <w:r w:rsidRPr="00EF63C5">
              <w:rPr>
                <w:rFonts w:ascii="Batang" w:eastAsia="Batang" w:hAnsi="Batang"/>
                <w:sz w:val="20"/>
              </w:rPr>
              <w:t xml:space="preserve">(e) would be attracted,if the HUF was the shareholder,as </w:t>
            </w:r>
            <w:r w:rsidRPr="00EF63C5">
              <w:rPr>
                <w:rFonts w:ascii="Batang" w:eastAsia="Batang" w:hAnsi="Batang"/>
                <w:sz w:val="20"/>
              </w:rPr>
              <w:lastRenderedPageBreak/>
              <w:t xml:space="preserve">it held more than 10% shares,situation was covered,If the karta was the shareholder,the HUF would be the concern in which the karta has substantial interest.The supreme court ,accordingly ,held that the </w:t>
            </w:r>
            <w:r w:rsidR="00BA36F0" w:rsidRPr="00EF63C5">
              <w:rPr>
                <w:rFonts w:ascii="Batang" w:eastAsia="Batang" w:hAnsi="Batang"/>
                <w:sz w:val="20"/>
              </w:rPr>
              <w:t>loan</w:t>
            </w:r>
            <w:r w:rsidR="00BA36F0">
              <w:rPr>
                <w:rFonts w:ascii="Batang" w:eastAsia="Batang" w:hAnsi="Batang"/>
                <w:sz w:val="20"/>
              </w:rPr>
              <w:t xml:space="preserve"> amoun</w:t>
            </w:r>
            <w:r w:rsidRPr="00EF63C5">
              <w:rPr>
                <w:rFonts w:ascii="Batang" w:eastAsia="Batang" w:hAnsi="Batang"/>
                <w:sz w:val="20"/>
              </w:rPr>
              <w:t>t is to be assessed as deemed dividend under section 2(22)(e).</w:t>
            </w:r>
          </w:p>
        </w:tc>
        <w:tc>
          <w:tcPr>
            <w:tcW w:w="3230" w:type="dxa"/>
          </w:tcPr>
          <w:p w:rsidR="00005957" w:rsidRPr="00EF63C5" w:rsidRDefault="0008237E" w:rsidP="00005957">
            <w:pPr>
              <w:rPr>
                <w:rFonts w:ascii="Batang" w:eastAsia="Batang" w:hAnsi="Batang"/>
                <w:b/>
                <w:bCs/>
                <w:sz w:val="20"/>
              </w:rPr>
            </w:pPr>
            <w:r w:rsidRPr="00EF63C5">
              <w:rPr>
                <w:rFonts w:ascii="Batang" w:eastAsia="Batang" w:hAnsi="Batang"/>
                <w:b/>
                <w:bCs/>
                <w:sz w:val="20"/>
              </w:rPr>
              <w:lastRenderedPageBreak/>
              <w:t>GOPAL &amp; SONS(HUF) V. CIT(2017) 391 ITR 1(SC)</w:t>
            </w:r>
          </w:p>
        </w:tc>
      </w:tr>
      <w:tr w:rsidR="00602316" w:rsidRPr="00EF63C5" w:rsidTr="00BA36F0">
        <w:tc>
          <w:tcPr>
            <w:tcW w:w="743" w:type="dxa"/>
          </w:tcPr>
          <w:p w:rsidR="00602316" w:rsidRPr="00EF63C5" w:rsidRDefault="00602316" w:rsidP="00005957">
            <w:pPr>
              <w:rPr>
                <w:rFonts w:ascii="Batang" w:eastAsia="Batang" w:hAnsi="Batang"/>
                <w:sz w:val="20"/>
              </w:rPr>
            </w:pPr>
            <w:r w:rsidRPr="00EF63C5">
              <w:rPr>
                <w:rFonts w:ascii="Batang" w:eastAsia="Batang" w:hAnsi="Batang"/>
                <w:sz w:val="20"/>
              </w:rPr>
              <w:lastRenderedPageBreak/>
              <w:t>9</w:t>
            </w:r>
          </w:p>
        </w:tc>
        <w:tc>
          <w:tcPr>
            <w:tcW w:w="4128" w:type="dxa"/>
          </w:tcPr>
          <w:p w:rsidR="00602316" w:rsidRPr="00EF63C5" w:rsidRDefault="00131074" w:rsidP="00005957">
            <w:pPr>
              <w:rPr>
                <w:rFonts w:ascii="Batang" w:eastAsia="Batang" w:hAnsi="Batang"/>
                <w:sz w:val="20"/>
              </w:rPr>
            </w:pPr>
            <w:r w:rsidRPr="00EF63C5">
              <w:rPr>
                <w:rFonts w:ascii="Batang" w:eastAsia="Batang" w:hAnsi="Batang"/>
                <w:sz w:val="20"/>
              </w:rPr>
              <w:t xml:space="preserve">Whether receipt of higher compensation after notification of compulsory acquisition would change the character of transaction into a voluntary sale? </w:t>
            </w:r>
          </w:p>
        </w:tc>
        <w:tc>
          <w:tcPr>
            <w:tcW w:w="3329" w:type="dxa"/>
          </w:tcPr>
          <w:p w:rsidR="00602316" w:rsidRPr="00EF63C5" w:rsidRDefault="00E226CD" w:rsidP="00BA36F0">
            <w:pPr>
              <w:jc w:val="both"/>
              <w:rPr>
                <w:rFonts w:ascii="Batang" w:eastAsia="Batang" w:hAnsi="Batang"/>
                <w:sz w:val="20"/>
              </w:rPr>
            </w:pPr>
            <w:r w:rsidRPr="00EF63C5">
              <w:rPr>
                <w:rFonts w:ascii="Batang" w:eastAsia="Batang" w:hAnsi="Batang"/>
                <w:sz w:val="20"/>
              </w:rPr>
              <w:t xml:space="preserve">The </w:t>
            </w:r>
            <w:r w:rsidR="00BA36F0">
              <w:rPr>
                <w:rFonts w:ascii="Batang" w:eastAsia="Batang" w:hAnsi="Batang"/>
                <w:sz w:val="20"/>
              </w:rPr>
              <w:t>S</w:t>
            </w:r>
            <w:r w:rsidRPr="00EF63C5">
              <w:rPr>
                <w:rFonts w:ascii="Batang" w:eastAsia="Batang" w:hAnsi="Batang"/>
                <w:sz w:val="20"/>
              </w:rPr>
              <w:t xml:space="preserve">upreme </w:t>
            </w:r>
            <w:r w:rsidR="00BA36F0">
              <w:rPr>
                <w:rFonts w:ascii="Batang" w:eastAsia="Batang" w:hAnsi="Batang"/>
                <w:sz w:val="20"/>
              </w:rPr>
              <w:t>C</w:t>
            </w:r>
            <w:r w:rsidRPr="00EF63C5">
              <w:rPr>
                <w:rFonts w:ascii="Batang" w:eastAsia="Batang" w:hAnsi="Batang"/>
                <w:sz w:val="20"/>
              </w:rPr>
              <w:t xml:space="preserve">ourt held that when proceedings were initiated under the land Acquisition Act,1894,even if the compensation is negotiated and </w:t>
            </w:r>
            <w:r w:rsidR="00BA36F0" w:rsidRPr="00EF63C5">
              <w:rPr>
                <w:rFonts w:ascii="Batang" w:eastAsia="Batang" w:hAnsi="Batang"/>
                <w:sz w:val="20"/>
              </w:rPr>
              <w:t>fixed. it</w:t>
            </w:r>
            <w:r w:rsidRPr="00EF63C5">
              <w:rPr>
                <w:rFonts w:ascii="Batang" w:eastAsia="Batang" w:hAnsi="Batang"/>
                <w:sz w:val="20"/>
              </w:rPr>
              <w:t xml:space="preserve"> would continue to remain as compulsory </w:t>
            </w:r>
            <w:r w:rsidR="00BA36F0" w:rsidRPr="00EF63C5">
              <w:rPr>
                <w:rFonts w:ascii="Batang" w:eastAsia="Batang" w:hAnsi="Batang"/>
                <w:sz w:val="20"/>
              </w:rPr>
              <w:t>acquisition. The</w:t>
            </w:r>
            <w:r w:rsidRPr="00EF63C5">
              <w:rPr>
                <w:rFonts w:ascii="Batang" w:eastAsia="Batang" w:hAnsi="Batang"/>
                <w:sz w:val="20"/>
              </w:rPr>
              <w:t xml:space="preserve"> claim of exemption from</w:t>
            </w:r>
            <w:r w:rsidR="00BA36F0">
              <w:rPr>
                <w:rFonts w:ascii="Batang" w:eastAsia="Batang" w:hAnsi="Batang"/>
                <w:sz w:val="20"/>
              </w:rPr>
              <w:t xml:space="preserve"> capital gains under section 10(</w:t>
            </w:r>
            <w:r w:rsidRPr="00EF63C5">
              <w:rPr>
                <w:rFonts w:ascii="Batang" w:eastAsia="Batang" w:hAnsi="Batang"/>
                <w:sz w:val="20"/>
              </w:rPr>
              <w:t>37)(iii) is,therefore,tenable in law.</w:t>
            </w:r>
          </w:p>
        </w:tc>
        <w:tc>
          <w:tcPr>
            <w:tcW w:w="3230" w:type="dxa"/>
          </w:tcPr>
          <w:p w:rsidR="00602316" w:rsidRPr="00EF63C5" w:rsidRDefault="0008237E" w:rsidP="00005957">
            <w:pPr>
              <w:rPr>
                <w:rFonts w:ascii="Batang" w:eastAsia="Batang" w:hAnsi="Batang"/>
                <w:b/>
                <w:bCs/>
                <w:sz w:val="20"/>
              </w:rPr>
            </w:pPr>
            <w:r w:rsidRPr="00EF63C5">
              <w:rPr>
                <w:rFonts w:ascii="Batang" w:eastAsia="Batang" w:hAnsi="Batang"/>
                <w:b/>
                <w:bCs/>
                <w:sz w:val="20"/>
              </w:rPr>
              <w:t>BALAKRISHNAN V.UNION OF INDIA &amp; OTHERS (2017)391 ITR 178(SC)</w:t>
            </w:r>
          </w:p>
        </w:tc>
      </w:tr>
      <w:tr w:rsidR="00E226CD" w:rsidRPr="00EF63C5" w:rsidTr="00BA36F0">
        <w:tc>
          <w:tcPr>
            <w:tcW w:w="743" w:type="dxa"/>
          </w:tcPr>
          <w:p w:rsidR="00E226CD" w:rsidRPr="00EF63C5" w:rsidRDefault="00E226CD" w:rsidP="00005957">
            <w:pPr>
              <w:rPr>
                <w:rFonts w:ascii="Batang" w:eastAsia="Batang" w:hAnsi="Batang"/>
                <w:sz w:val="20"/>
              </w:rPr>
            </w:pPr>
            <w:r w:rsidRPr="00EF63C5">
              <w:rPr>
                <w:rFonts w:ascii="Batang" w:eastAsia="Batang" w:hAnsi="Batang"/>
                <w:sz w:val="20"/>
              </w:rPr>
              <w:t>10</w:t>
            </w:r>
          </w:p>
        </w:tc>
        <w:tc>
          <w:tcPr>
            <w:tcW w:w="4128" w:type="dxa"/>
          </w:tcPr>
          <w:p w:rsidR="00E226CD" w:rsidRPr="00EF63C5" w:rsidRDefault="000E5F6A" w:rsidP="00005957">
            <w:pPr>
              <w:rPr>
                <w:rFonts w:ascii="Batang" w:eastAsia="Batang" w:hAnsi="Batang"/>
                <w:sz w:val="20"/>
              </w:rPr>
            </w:pPr>
            <w:r w:rsidRPr="00EF63C5">
              <w:rPr>
                <w:rFonts w:ascii="Batang" w:eastAsia="Batang" w:hAnsi="Batang"/>
                <w:sz w:val="20"/>
              </w:rPr>
              <w:t>Whether omission to issue notice under section 143(2) is a defect not curable in spite of section 292BB?</w:t>
            </w:r>
          </w:p>
        </w:tc>
        <w:tc>
          <w:tcPr>
            <w:tcW w:w="3329" w:type="dxa"/>
          </w:tcPr>
          <w:p w:rsidR="00E226CD" w:rsidRPr="00EF63C5" w:rsidRDefault="000E5F6A" w:rsidP="00BA36F0">
            <w:pPr>
              <w:jc w:val="both"/>
              <w:rPr>
                <w:rFonts w:ascii="Batang" w:eastAsia="Batang" w:hAnsi="Batang"/>
                <w:sz w:val="20"/>
              </w:rPr>
            </w:pPr>
            <w:r w:rsidRPr="00EF63C5">
              <w:rPr>
                <w:rFonts w:ascii="Batang" w:eastAsia="Batang" w:hAnsi="Batang"/>
                <w:sz w:val="20"/>
              </w:rPr>
              <w:t xml:space="preserve">The </w:t>
            </w:r>
            <w:r w:rsidR="00BA36F0">
              <w:rPr>
                <w:rFonts w:ascii="Batang" w:eastAsia="Batang" w:hAnsi="Batang"/>
                <w:sz w:val="20"/>
              </w:rPr>
              <w:t>A</w:t>
            </w:r>
            <w:r w:rsidRPr="00EF63C5">
              <w:rPr>
                <w:rFonts w:ascii="Batang" w:eastAsia="Batang" w:hAnsi="Batang"/>
                <w:sz w:val="20"/>
              </w:rPr>
              <w:t xml:space="preserve">pex </w:t>
            </w:r>
            <w:r w:rsidR="00BA36F0">
              <w:rPr>
                <w:rFonts w:ascii="Batang" w:eastAsia="Batang" w:hAnsi="Batang"/>
                <w:sz w:val="20"/>
              </w:rPr>
              <w:t>C</w:t>
            </w:r>
            <w:r w:rsidRPr="00EF63C5">
              <w:rPr>
                <w:rFonts w:ascii="Batang" w:eastAsia="Batang" w:hAnsi="Batang"/>
                <w:sz w:val="20"/>
              </w:rPr>
              <w:t xml:space="preserve">ourt in </w:t>
            </w:r>
            <w:r w:rsidR="00BA36F0" w:rsidRPr="00BA36F0">
              <w:rPr>
                <w:rFonts w:ascii="Batang" w:eastAsia="Batang" w:hAnsi="Batang"/>
                <w:b/>
                <w:bCs/>
                <w:sz w:val="20"/>
              </w:rPr>
              <w:t>A</w:t>
            </w:r>
            <w:r w:rsidRPr="00BA36F0">
              <w:rPr>
                <w:rFonts w:ascii="Batang" w:eastAsia="Batang" w:hAnsi="Batang"/>
                <w:b/>
                <w:bCs/>
                <w:sz w:val="20"/>
              </w:rPr>
              <w:t>sstt.</w:t>
            </w:r>
            <w:r w:rsidR="00BA36F0" w:rsidRPr="00BA36F0">
              <w:rPr>
                <w:rFonts w:ascii="Batang" w:eastAsia="Batang" w:hAnsi="Batang"/>
                <w:b/>
                <w:bCs/>
                <w:sz w:val="20"/>
              </w:rPr>
              <w:t>CIT</w:t>
            </w:r>
            <w:r w:rsidRPr="00BA36F0">
              <w:rPr>
                <w:rFonts w:ascii="Batang" w:eastAsia="Batang" w:hAnsi="Batang"/>
                <w:b/>
                <w:bCs/>
                <w:sz w:val="20"/>
              </w:rPr>
              <w:t xml:space="preserve"> </w:t>
            </w:r>
            <w:r w:rsidR="00BA36F0" w:rsidRPr="00BA36F0">
              <w:rPr>
                <w:rFonts w:ascii="Batang" w:eastAsia="Batang" w:hAnsi="Batang"/>
                <w:b/>
                <w:bCs/>
                <w:sz w:val="20"/>
              </w:rPr>
              <w:t>V.HOTEL BLUE MOON (2010)</w:t>
            </w:r>
            <w:r w:rsidR="00BA36F0" w:rsidRPr="00EF63C5">
              <w:rPr>
                <w:rFonts w:ascii="Batang" w:eastAsia="Batang" w:hAnsi="Batang"/>
                <w:sz w:val="20"/>
              </w:rPr>
              <w:t xml:space="preserve"> </w:t>
            </w:r>
            <w:r w:rsidRPr="00EF63C5">
              <w:rPr>
                <w:rFonts w:ascii="Batang" w:eastAsia="Batang" w:hAnsi="Batang"/>
                <w:sz w:val="20"/>
              </w:rPr>
              <w:t>held that without the statutory notice under section 14392),the assessing officer could not assume jurisdiction.</w:t>
            </w:r>
            <w:r w:rsidR="00BA36F0">
              <w:rPr>
                <w:rFonts w:ascii="Batang" w:eastAsia="Batang" w:hAnsi="Batang"/>
                <w:sz w:val="20"/>
              </w:rPr>
              <w:t xml:space="preserve"> </w:t>
            </w:r>
            <w:r w:rsidR="00BA36F0" w:rsidRPr="00EF63C5">
              <w:rPr>
                <w:rFonts w:ascii="Batang" w:eastAsia="Batang" w:hAnsi="Batang"/>
                <w:sz w:val="20"/>
              </w:rPr>
              <w:t>Here, Assessing</w:t>
            </w:r>
            <w:r w:rsidRPr="00EF63C5">
              <w:rPr>
                <w:rFonts w:ascii="Batang" w:eastAsia="Batang" w:hAnsi="Batang"/>
                <w:sz w:val="20"/>
              </w:rPr>
              <w:t xml:space="preserve"> </w:t>
            </w:r>
            <w:r w:rsidR="00BA36F0">
              <w:rPr>
                <w:rFonts w:ascii="Batang" w:eastAsia="Batang" w:hAnsi="Batang"/>
                <w:sz w:val="20"/>
              </w:rPr>
              <w:t>O</w:t>
            </w:r>
            <w:r w:rsidRPr="00EF63C5">
              <w:rPr>
                <w:rFonts w:ascii="Batang" w:eastAsia="Batang" w:hAnsi="Batang"/>
                <w:sz w:val="20"/>
              </w:rPr>
              <w:t xml:space="preserve">fficer recorded his inability to generate a notice as the return was not filed electronically. Such defect cannot be cured subsequently,since iti is not procedura; but one that goes to the root of the jurisdiction.Even though the assessee had participated in the proceedings,in the absence of mandatory notice,section </w:t>
            </w:r>
            <w:r w:rsidRPr="00BA36F0">
              <w:rPr>
                <w:rFonts w:ascii="Batang" w:eastAsia="Batang" w:hAnsi="Batang"/>
                <w:b/>
                <w:bCs/>
                <w:sz w:val="20"/>
              </w:rPr>
              <w:t>292</w:t>
            </w:r>
            <w:r w:rsidR="00BA36F0" w:rsidRPr="00BA36F0">
              <w:rPr>
                <w:rFonts w:ascii="Batang" w:eastAsia="Batang" w:hAnsi="Batang"/>
                <w:b/>
                <w:bCs/>
                <w:sz w:val="20"/>
              </w:rPr>
              <w:t>BB</w:t>
            </w:r>
            <w:r w:rsidRPr="00EF63C5">
              <w:rPr>
                <w:rFonts w:ascii="Batang" w:eastAsia="Batang" w:hAnsi="Batang"/>
                <w:sz w:val="20"/>
              </w:rPr>
              <w:t xml:space="preserve"> cannot hel the revenue officers who have no jurisdiction,to begin with. Section </w:t>
            </w:r>
            <w:r w:rsidR="00BA36F0" w:rsidRPr="00BA36F0">
              <w:rPr>
                <w:rFonts w:ascii="Batang" w:eastAsia="Batang" w:hAnsi="Batang"/>
                <w:b/>
                <w:bCs/>
                <w:sz w:val="20"/>
              </w:rPr>
              <w:t>292BB</w:t>
            </w:r>
            <w:r w:rsidRPr="00EF63C5">
              <w:rPr>
                <w:rFonts w:ascii="Batang" w:eastAsia="Batang" w:hAnsi="Batang"/>
                <w:sz w:val="20"/>
              </w:rPr>
              <w:t xml:space="preserve"> helps revenue in countering claims of assesses who have participated in proceedings once a due </w:t>
            </w:r>
            <w:r w:rsidRPr="00EF63C5">
              <w:rPr>
                <w:rFonts w:ascii="Batang" w:eastAsia="Batang" w:hAnsi="Batang"/>
                <w:sz w:val="20"/>
              </w:rPr>
              <w:lastRenderedPageBreak/>
              <w:t>notice has been issued.</w:t>
            </w:r>
          </w:p>
        </w:tc>
        <w:tc>
          <w:tcPr>
            <w:tcW w:w="3230" w:type="dxa"/>
          </w:tcPr>
          <w:p w:rsidR="00E226CD" w:rsidRPr="00EF63C5" w:rsidRDefault="008D2EA5" w:rsidP="00005957">
            <w:pPr>
              <w:rPr>
                <w:rFonts w:ascii="Batang" w:eastAsia="Batang" w:hAnsi="Batang"/>
                <w:b/>
                <w:bCs/>
                <w:sz w:val="20"/>
              </w:rPr>
            </w:pPr>
            <w:r w:rsidRPr="00EF63C5">
              <w:rPr>
                <w:rFonts w:ascii="Batang" w:eastAsia="Batang" w:hAnsi="Batang"/>
                <w:b/>
                <w:bCs/>
                <w:sz w:val="20"/>
              </w:rPr>
              <w:lastRenderedPageBreak/>
              <w:t>TRAVANCORE DIAGNOSTICS(P) LTD V.ASSTT.CIT(2017)390 ITR 167(KER)</w:t>
            </w:r>
          </w:p>
        </w:tc>
      </w:tr>
      <w:tr w:rsidR="00967CFF" w:rsidRPr="00EF63C5" w:rsidTr="00BA36F0">
        <w:tc>
          <w:tcPr>
            <w:tcW w:w="743" w:type="dxa"/>
          </w:tcPr>
          <w:p w:rsidR="00967CFF" w:rsidRPr="00EF63C5" w:rsidRDefault="00967CFF" w:rsidP="00005957">
            <w:pPr>
              <w:rPr>
                <w:rFonts w:ascii="Batang" w:eastAsia="Batang" w:hAnsi="Batang"/>
                <w:sz w:val="20"/>
              </w:rPr>
            </w:pPr>
            <w:r w:rsidRPr="00EF63C5">
              <w:rPr>
                <w:rFonts w:ascii="Batang" w:eastAsia="Batang" w:hAnsi="Batang"/>
                <w:sz w:val="20"/>
              </w:rPr>
              <w:lastRenderedPageBreak/>
              <w:t>11</w:t>
            </w:r>
          </w:p>
        </w:tc>
        <w:tc>
          <w:tcPr>
            <w:tcW w:w="4128" w:type="dxa"/>
          </w:tcPr>
          <w:p w:rsidR="00967CFF" w:rsidRPr="00EF63C5" w:rsidRDefault="00967CFF" w:rsidP="00BA36F0">
            <w:pPr>
              <w:rPr>
                <w:rFonts w:ascii="Batang" w:eastAsia="Batang" w:hAnsi="Batang"/>
                <w:sz w:val="20"/>
              </w:rPr>
            </w:pPr>
            <w:r w:rsidRPr="00EF63C5">
              <w:rPr>
                <w:rFonts w:ascii="Batang" w:eastAsia="Batang" w:hAnsi="Batang"/>
                <w:sz w:val="20"/>
              </w:rPr>
              <w:t xml:space="preserve">Is interest on enhanced compensation under section 28 of the </w:t>
            </w:r>
            <w:r w:rsidR="00BA36F0">
              <w:rPr>
                <w:rFonts w:ascii="Batang" w:eastAsia="Batang" w:hAnsi="Batang"/>
                <w:sz w:val="20"/>
              </w:rPr>
              <w:t>L</w:t>
            </w:r>
            <w:r w:rsidRPr="00EF63C5">
              <w:rPr>
                <w:rFonts w:ascii="Batang" w:eastAsia="Batang" w:hAnsi="Batang"/>
                <w:sz w:val="20"/>
              </w:rPr>
              <w:t xml:space="preserve">and </w:t>
            </w:r>
            <w:r w:rsidR="00BA36F0">
              <w:rPr>
                <w:rFonts w:ascii="Batang" w:eastAsia="Batang" w:hAnsi="Batang"/>
                <w:sz w:val="20"/>
              </w:rPr>
              <w:t>A</w:t>
            </w:r>
            <w:r w:rsidRPr="00EF63C5">
              <w:rPr>
                <w:rFonts w:ascii="Batang" w:eastAsia="Batang" w:hAnsi="Batang"/>
                <w:sz w:val="20"/>
              </w:rPr>
              <w:t>cquisition Act,1894 assessable as capital gains or as income from other sources?</w:t>
            </w:r>
          </w:p>
        </w:tc>
        <w:tc>
          <w:tcPr>
            <w:tcW w:w="3329" w:type="dxa"/>
          </w:tcPr>
          <w:p w:rsidR="00967CFF" w:rsidRPr="00EF63C5" w:rsidRDefault="00967CFF" w:rsidP="00BA36F0">
            <w:pPr>
              <w:jc w:val="both"/>
              <w:rPr>
                <w:rFonts w:ascii="Batang" w:eastAsia="Batang" w:hAnsi="Batang"/>
                <w:sz w:val="20"/>
              </w:rPr>
            </w:pPr>
            <w:r w:rsidRPr="00EF63C5">
              <w:rPr>
                <w:rFonts w:ascii="Batang" w:eastAsia="Batang" w:hAnsi="Batang"/>
                <w:sz w:val="20"/>
              </w:rPr>
              <w:t xml:space="preserve">The </w:t>
            </w:r>
            <w:r w:rsidR="00BA36F0">
              <w:rPr>
                <w:rFonts w:ascii="Batang" w:eastAsia="Batang" w:hAnsi="Batang"/>
                <w:sz w:val="20"/>
              </w:rPr>
              <w:t>H</w:t>
            </w:r>
            <w:r w:rsidRPr="00EF63C5">
              <w:rPr>
                <w:rFonts w:ascii="Batang" w:eastAsia="Batang" w:hAnsi="Batang"/>
                <w:sz w:val="20"/>
              </w:rPr>
              <w:t xml:space="preserve">igh </w:t>
            </w:r>
            <w:r w:rsidR="00BA36F0">
              <w:rPr>
                <w:rFonts w:ascii="Batang" w:eastAsia="Batang" w:hAnsi="Batang"/>
                <w:sz w:val="20"/>
              </w:rPr>
              <w:t>C</w:t>
            </w:r>
            <w:r w:rsidRPr="00EF63C5">
              <w:rPr>
                <w:rFonts w:ascii="Batang" w:eastAsia="Batang" w:hAnsi="Batang"/>
                <w:sz w:val="20"/>
              </w:rPr>
              <w:t xml:space="preserve">ourt held that assessee has received interest under section 28 of the Land Acquisition Act,1894 which represents enhanced value of land and thus the character of compensation and not interest.Hence,the interest under section 28 is </w:t>
            </w:r>
            <w:r w:rsidR="008056CA" w:rsidRPr="00EF63C5">
              <w:rPr>
                <w:rFonts w:ascii="Batang" w:eastAsia="Batang" w:hAnsi="Batang"/>
                <w:sz w:val="20"/>
              </w:rPr>
              <w:t>liable</w:t>
            </w:r>
            <w:r w:rsidRPr="00EF63C5">
              <w:rPr>
                <w:rFonts w:ascii="Batang" w:eastAsia="Batang" w:hAnsi="Batang"/>
                <w:sz w:val="20"/>
              </w:rPr>
              <w:t xml:space="preserve"> to be taxed under the head of capital gain and not under income form other sources.The Revenue authority had erred in refusing to grant a certificate under section 197 to the petitioner for non-deduction of tax at source.</w:t>
            </w:r>
          </w:p>
        </w:tc>
        <w:tc>
          <w:tcPr>
            <w:tcW w:w="3230" w:type="dxa"/>
          </w:tcPr>
          <w:p w:rsidR="00967CFF" w:rsidRPr="00EF63C5" w:rsidRDefault="008D2EA5" w:rsidP="005D52D5">
            <w:pPr>
              <w:rPr>
                <w:rFonts w:ascii="Batang" w:eastAsia="Batang" w:hAnsi="Batang"/>
                <w:b/>
                <w:bCs/>
                <w:sz w:val="20"/>
              </w:rPr>
            </w:pPr>
            <w:r w:rsidRPr="00EF63C5">
              <w:rPr>
                <w:rFonts w:ascii="Batang" w:eastAsia="Batang" w:hAnsi="Batang"/>
                <w:b/>
                <w:bCs/>
                <w:sz w:val="20"/>
              </w:rPr>
              <w:t>MOVALIYA BHIKHUBHAI BALABHAI V.ITO(TDS)(2016) 388 ITR 343(GUJ)</w:t>
            </w:r>
          </w:p>
        </w:tc>
      </w:tr>
      <w:tr w:rsidR="00967CFF" w:rsidRPr="00EF63C5" w:rsidTr="00BA36F0">
        <w:tc>
          <w:tcPr>
            <w:tcW w:w="743" w:type="dxa"/>
          </w:tcPr>
          <w:p w:rsidR="00967CFF" w:rsidRPr="00EF63C5" w:rsidRDefault="00967CFF" w:rsidP="00005957">
            <w:pPr>
              <w:rPr>
                <w:rFonts w:ascii="Batang" w:eastAsia="Batang" w:hAnsi="Batang"/>
                <w:sz w:val="20"/>
              </w:rPr>
            </w:pPr>
            <w:r w:rsidRPr="00EF63C5">
              <w:rPr>
                <w:rFonts w:ascii="Batang" w:eastAsia="Batang" w:hAnsi="Batang"/>
                <w:sz w:val="20"/>
              </w:rPr>
              <w:t>12</w:t>
            </w:r>
          </w:p>
        </w:tc>
        <w:tc>
          <w:tcPr>
            <w:tcW w:w="4128" w:type="dxa"/>
          </w:tcPr>
          <w:p w:rsidR="00967CFF" w:rsidRPr="00EF63C5" w:rsidRDefault="00967CFF" w:rsidP="00BA36F0">
            <w:pPr>
              <w:jc w:val="both"/>
              <w:rPr>
                <w:rFonts w:ascii="Batang" w:eastAsia="Batang" w:hAnsi="Batang"/>
                <w:sz w:val="20"/>
              </w:rPr>
            </w:pPr>
            <w:r w:rsidRPr="00EF63C5">
              <w:rPr>
                <w:rFonts w:ascii="Batang" w:eastAsia="Batang" w:hAnsi="Batang"/>
                <w:sz w:val="20"/>
              </w:rPr>
              <w:t>W</w:t>
            </w:r>
            <w:r w:rsidR="00DB0E32">
              <w:rPr>
                <w:rFonts w:ascii="Batang" w:eastAsia="Batang" w:hAnsi="Batang"/>
                <w:sz w:val="20"/>
              </w:rPr>
              <w:t>he</w:t>
            </w:r>
            <w:r w:rsidRPr="00EF63C5">
              <w:rPr>
                <w:rFonts w:ascii="Batang" w:eastAsia="Batang" w:hAnsi="Batang"/>
                <w:sz w:val="20"/>
              </w:rPr>
              <w:t xml:space="preserve">ther the </w:t>
            </w:r>
            <w:r w:rsidR="00BA36F0">
              <w:rPr>
                <w:rFonts w:ascii="Batang" w:eastAsia="Batang" w:hAnsi="Batang"/>
                <w:sz w:val="20"/>
              </w:rPr>
              <w:t>A</w:t>
            </w:r>
            <w:r w:rsidRPr="00EF63C5">
              <w:rPr>
                <w:rFonts w:ascii="Batang" w:eastAsia="Batang" w:hAnsi="Batang"/>
                <w:sz w:val="20"/>
              </w:rPr>
              <w:t xml:space="preserve">ssessing </w:t>
            </w:r>
            <w:r w:rsidR="00BA36F0">
              <w:rPr>
                <w:rFonts w:ascii="Batang" w:eastAsia="Batang" w:hAnsi="Batang"/>
                <w:sz w:val="20"/>
              </w:rPr>
              <w:t>O</w:t>
            </w:r>
            <w:r w:rsidRPr="00EF63C5">
              <w:rPr>
                <w:rFonts w:ascii="Batang" w:eastAsia="Batang" w:hAnsi="Batang"/>
                <w:sz w:val="20"/>
              </w:rPr>
              <w:t>fficer is bound to consider the report of departmental valuation officer (DVO) when it is available on record?</w:t>
            </w:r>
          </w:p>
        </w:tc>
        <w:tc>
          <w:tcPr>
            <w:tcW w:w="3329" w:type="dxa"/>
          </w:tcPr>
          <w:p w:rsidR="00967CFF" w:rsidRPr="00EF63C5" w:rsidRDefault="00967CFF" w:rsidP="00BA36F0">
            <w:pPr>
              <w:jc w:val="both"/>
              <w:rPr>
                <w:rFonts w:ascii="Batang" w:eastAsia="Batang" w:hAnsi="Batang"/>
                <w:sz w:val="20"/>
              </w:rPr>
            </w:pPr>
            <w:r w:rsidRPr="00EF63C5">
              <w:rPr>
                <w:rFonts w:ascii="Batang" w:eastAsia="Batang" w:hAnsi="Batang"/>
                <w:sz w:val="20"/>
              </w:rPr>
              <w:t xml:space="preserve">The </w:t>
            </w:r>
            <w:r w:rsidR="00BA36F0">
              <w:rPr>
                <w:rFonts w:ascii="Batang" w:eastAsia="Batang" w:hAnsi="Batang"/>
                <w:sz w:val="20"/>
              </w:rPr>
              <w:t>H</w:t>
            </w:r>
            <w:r w:rsidRPr="00EF63C5">
              <w:rPr>
                <w:rFonts w:ascii="Batang" w:eastAsia="Batang" w:hAnsi="Batang"/>
                <w:sz w:val="20"/>
              </w:rPr>
              <w:t xml:space="preserve">igh </w:t>
            </w:r>
            <w:r w:rsidR="00BA36F0">
              <w:rPr>
                <w:rFonts w:ascii="Batang" w:eastAsia="Batang" w:hAnsi="Batang"/>
                <w:sz w:val="20"/>
              </w:rPr>
              <w:t>C</w:t>
            </w:r>
            <w:r w:rsidRPr="00EF63C5">
              <w:rPr>
                <w:rFonts w:ascii="Batang" w:eastAsia="Batang" w:hAnsi="Batang"/>
                <w:sz w:val="20"/>
              </w:rPr>
              <w:t>ourt observed that when the assessing officer has referred the matter to DVO,the assessment had to be completed in conformity wht the estimate given by the DVO.</w:t>
            </w:r>
            <w:r w:rsidR="008D6122" w:rsidRPr="00EF63C5">
              <w:rPr>
                <w:rFonts w:ascii="Batang" w:eastAsia="Batang" w:hAnsi="Batang"/>
                <w:sz w:val="20"/>
              </w:rPr>
              <w:t xml:space="preserve">The </w:t>
            </w:r>
            <w:r w:rsidR="00BA36F0">
              <w:rPr>
                <w:rFonts w:ascii="Batang" w:eastAsia="Batang" w:hAnsi="Batang"/>
                <w:sz w:val="20"/>
              </w:rPr>
              <w:t>H</w:t>
            </w:r>
            <w:r w:rsidR="008D6122" w:rsidRPr="00EF63C5">
              <w:rPr>
                <w:rFonts w:ascii="Batang" w:eastAsia="Batang" w:hAnsi="Batang"/>
                <w:sz w:val="20"/>
              </w:rPr>
              <w:t xml:space="preserve">igh </w:t>
            </w:r>
            <w:r w:rsidR="00BA36F0">
              <w:rPr>
                <w:rFonts w:ascii="Batang" w:eastAsia="Batang" w:hAnsi="Batang"/>
                <w:sz w:val="20"/>
              </w:rPr>
              <w:t>C</w:t>
            </w:r>
            <w:r w:rsidR="008D6122" w:rsidRPr="00EF63C5">
              <w:rPr>
                <w:rFonts w:ascii="Batang" w:eastAsia="Batang" w:hAnsi="Batang"/>
                <w:sz w:val="20"/>
              </w:rPr>
              <w:t>ourt held that capital gains has to be computed in conformity with the value so determined by the DVO.</w:t>
            </w:r>
          </w:p>
        </w:tc>
        <w:tc>
          <w:tcPr>
            <w:tcW w:w="3230" w:type="dxa"/>
          </w:tcPr>
          <w:p w:rsidR="00967CFF" w:rsidRPr="00EF63C5" w:rsidRDefault="008D2EA5" w:rsidP="00005957">
            <w:pPr>
              <w:rPr>
                <w:rFonts w:ascii="Batang" w:eastAsia="Batang" w:hAnsi="Batang"/>
                <w:b/>
                <w:bCs/>
                <w:sz w:val="20"/>
              </w:rPr>
            </w:pPr>
            <w:r w:rsidRPr="00EF63C5">
              <w:rPr>
                <w:rFonts w:ascii="Batang" w:eastAsia="Batang" w:hAnsi="Batang"/>
                <w:b/>
                <w:bCs/>
                <w:sz w:val="20"/>
              </w:rPr>
              <w:t>PRINCIPAL CIT V. RAVJIBHAI NAGJIBHAI THESIA (2016) 388 ITR 358 (GUJ)</w:t>
            </w:r>
          </w:p>
        </w:tc>
      </w:tr>
      <w:tr w:rsidR="00967CFF" w:rsidRPr="00EF63C5" w:rsidTr="00BA36F0">
        <w:tc>
          <w:tcPr>
            <w:tcW w:w="743" w:type="dxa"/>
          </w:tcPr>
          <w:p w:rsidR="00967CFF" w:rsidRPr="00EF63C5" w:rsidRDefault="00967CFF" w:rsidP="00005957">
            <w:pPr>
              <w:rPr>
                <w:rFonts w:ascii="Batang" w:eastAsia="Batang" w:hAnsi="Batang"/>
                <w:sz w:val="20"/>
              </w:rPr>
            </w:pPr>
            <w:r w:rsidRPr="00EF63C5">
              <w:rPr>
                <w:rFonts w:ascii="Batang" w:eastAsia="Batang" w:hAnsi="Batang"/>
                <w:sz w:val="20"/>
              </w:rPr>
              <w:t>13</w:t>
            </w:r>
          </w:p>
        </w:tc>
        <w:tc>
          <w:tcPr>
            <w:tcW w:w="4128" w:type="dxa"/>
          </w:tcPr>
          <w:p w:rsidR="00967CFF" w:rsidRPr="00EF63C5" w:rsidRDefault="00930FFB" w:rsidP="00BA36F0">
            <w:pPr>
              <w:rPr>
                <w:rFonts w:ascii="Batang" w:eastAsia="Batang" w:hAnsi="Batang"/>
                <w:sz w:val="20"/>
              </w:rPr>
            </w:pPr>
            <w:r w:rsidRPr="00EF63C5">
              <w:rPr>
                <w:rFonts w:ascii="Batang" w:eastAsia="Batang" w:hAnsi="Batang"/>
                <w:sz w:val="20"/>
              </w:rPr>
              <w:t>Does the CIT(</w:t>
            </w:r>
            <w:r w:rsidR="00BA36F0">
              <w:rPr>
                <w:rFonts w:ascii="Batang" w:eastAsia="Batang" w:hAnsi="Batang"/>
                <w:sz w:val="20"/>
              </w:rPr>
              <w:t>A</w:t>
            </w:r>
            <w:r w:rsidRPr="00EF63C5">
              <w:rPr>
                <w:rFonts w:ascii="Batang" w:eastAsia="Batang" w:hAnsi="Batang"/>
                <w:sz w:val="20"/>
              </w:rPr>
              <w:t>ppeals) have the power to change the status of assessee?</w:t>
            </w:r>
          </w:p>
        </w:tc>
        <w:tc>
          <w:tcPr>
            <w:tcW w:w="3329" w:type="dxa"/>
          </w:tcPr>
          <w:p w:rsidR="00967CFF" w:rsidRPr="00EF63C5" w:rsidRDefault="005A4067" w:rsidP="00BA36F0">
            <w:pPr>
              <w:jc w:val="both"/>
              <w:rPr>
                <w:rFonts w:ascii="Batang" w:eastAsia="Batang" w:hAnsi="Batang"/>
                <w:sz w:val="20"/>
              </w:rPr>
            </w:pPr>
            <w:r w:rsidRPr="00EF63C5">
              <w:rPr>
                <w:rFonts w:ascii="Batang" w:eastAsia="Batang" w:hAnsi="Batang"/>
                <w:sz w:val="20"/>
              </w:rPr>
              <w:t xml:space="preserve">The </w:t>
            </w:r>
            <w:r w:rsidR="00BA36F0">
              <w:rPr>
                <w:rFonts w:ascii="Batang" w:eastAsia="Batang" w:hAnsi="Batang"/>
                <w:sz w:val="20"/>
              </w:rPr>
              <w:t>H</w:t>
            </w:r>
            <w:r w:rsidRPr="00EF63C5">
              <w:rPr>
                <w:rFonts w:ascii="Batang" w:eastAsia="Batang" w:hAnsi="Batang"/>
                <w:sz w:val="20"/>
              </w:rPr>
              <w:t xml:space="preserve">igh </w:t>
            </w:r>
            <w:r w:rsidR="00BA36F0">
              <w:rPr>
                <w:rFonts w:ascii="Batang" w:eastAsia="Batang" w:hAnsi="Batang"/>
                <w:sz w:val="20"/>
              </w:rPr>
              <w:t>C</w:t>
            </w:r>
            <w:r w:rsidRPr="00EF63C5">
              <w:rPr>
                <w:rFonts w:ascii="Batang" w:eastAsia="Batang" w:hAnsi="Batang"/>
                <w:sz w:val="20"/>
              </w:rPr>
              <w:t xml:space="preserve">ourt observed that if the Assessing officer had erred in concluding the status of the assessee as a firm,it could not be said the commissioner (Appeals) had no jurisdiction to go into the issue. The high court held that the power to change the status of the assessee is available to the assessing authority and when </w:t>
            </w:r>
            <w:r w:rsidR="008056CA" w:rsidRPr="00EF63C5">
              <w:rPr>
                <w:rFonts w:ascii="Batang" w:eastAsia="Batang" w:hAnsi="Batang"/>
                <w:sz w:val="20"/>
              </w:rPr>
              <w:t>it</w:t>
            </w:r>
            <w:r w:rsidRPr="00EF63C5">
              <w:rPr>
                <w:rFonts w:ascii="Batang" w:eastAsia="Batang" w:hAnsi="Batang"/>
                <w:sz w:val="20"/>
              </w:rPr>
              <w:t xml:space="preserve"> is not used by him,the </w:t>
            </w:r>
            <w:r w:rsidR="00BA36F0" w:rsidRPr="00EF63C5">
              <w:rPr>
                <w:rFonts w:ascii="Batang" w:eastAsia="Batang" w:hAnsi="Batang"/>
                <w:sz w:val="20"/>
              </w:rPr>
              <w:t>appellate</w:t>
            </w:r>
            <w:r w:rsidRPr="00EF63C5">
              <w:rPr>
                <w:rFonts w:ascii="Batang" w:eastAsia="Batang" w:hAnsi="Batang"/>
                <w:sz w:val="20"/>
              </w:rPr>
              <w:t xml:space="preserve"> authority in empowered to use such power and change the status.</w:t>
            </w:r>
          </w:p>
        </w:tc>
        <w:tc>
          <w:tcPr>
            <w:tcW w:w="3230" w:type="dxa"/>
          </w:tcPr>
          <w:p w:rsidR="00967CFF" w:rsidRPr="00EF63C5" w:rsidRDefault="00EF63C5" w:rsidP="00005957">
            <w:pPr>
              <w:rPr>
                <w:rFonts w:ascii="Batang" w:eastAsia="Batang" w:hAnsi="Batang"/>
                <w:b/>
                <w:bCs/>
                <w:sz w:val="20"/>
              </w:rPr>
            </w:pPr>
            <w:r w:rsidRPr="00EF63C5">
              <w:rPr>
                <w:rFonts w:ascii="Batang" w:eastAsia="Batang" w:hAnsi="Batang"/>
                <w:b/>
                <w:bCs/>
                <w:sz w:val="20"/>
              </w:rPr>
              <w:t>MEGA TRENDS INC V.CIT(2016) 388 ITR 16(MAD).</w:t>
            </w:r>
          </w:p>
        </w:tc>
      </w:tr>
      <w:tr w:rsidR="00967CFF" w:rsidRPr="00EF63C5" w:rsidTr="00BA36F0">
        <w:tc>
          <w:tcPr>
            <w:tcW w:w="743" w:type="dxa"/>
          </w:tcPr>
          <w:p w:rsidR="00967CFF" w:rsidRPr="00EF63C5" w:rsidRDefault="00967CFF" w:rsidP="00005957">
            <w:pPr>
              <w:rPr>
                <w:rFonts w:ascii="Batang" w:eastAsia="Batang" w:hAnsi="Batang"/>
                <w:sz w:val="20"/>
              </w:rPr>
            </w:pPr>
            <w:r w:rsidRPr="00EF63C5">
              <w:rPr>
                <w:rFonts w:ascii="Batang" w:eastAsia="Batang" w:hAnsi="Batang"/>
                <w:sz w:val="20"/>
              </w:rPr>
              <w:t>14</w:t>
            </w:r>
          </w:p>
        </w:tc>
        <w:tc>
          <w:tcPr>
            <w:tcW w:w="4128" w:type="dxa"/>
          </w:tcPr>
          <w:p w:rsidR="00967CFF" w:rsidRPr="00EF63C5" w:rsidRDefault="005A4067" w:rsidP="00005957">
            <w:pPr>
              <w:rPr>
                <w:rFonts w:ascii="Batang" w:eastAsia="Batang" w:hAnsi="Batang"/>
                <w:sz w:val="20"/>
              </w:rPr>
            </w:pPr>
            <w:r w:rsidRPr="00EF63C5">
              <w:rPr>
                <w:rFonts w:ascii="Batang" w:eastAsia="Batang" w:hAnsi="Batang"/>
                <w:sz w:val="20"/>
              </w:rPr>
              <w:t xml:space="preserve">Is the increase in gross total income </w:t>
            </w:r>
            <w:r w:rsidR="00BA36F0" w:rsidRPr="00EF63C5">
              <w:rPr>
                <w:rFonts w:ascii="Batang" w:eastAsia="Batang" w:hAnsi="Batang"/>
                <w:sz w:val="20"/>
              </w:rPr>
              <w:t>consequent</w:t>
            </w:r>
            <w:r w:rsidRPr="00EF63C5">
              <w:rPr>
                <w:rFonts w:ascii="Batang" w:eastAsia="Batang" w:hAnsi="Batang"/>
                <w:sz w:val="20"/>
              </w:rPr>
              <w:t xml:space="preserve"> to disallowance under section 40a(ia) eligible for profit-linked </w:t>
            </w:r>
            <w:r w:rsidRPr="00EF63C5">
              <w:rPr>
                <w:rFonts w:ascii="Batang" w:eastAsia="Batang" w:hAnsi="Batang"/>
                <w:sz w:val="20"/>
              </w:rPr>
              <w:lastRenderedPageBreak/>
              <w:t xml:space="preserve">deduction under chapter </w:t>
            </w:r>
            <w:r w:rsidR="00BA36F0" w:rsidRPr="00EF63C5">
              <w:rPr>
                <w:rFonts w:ascii="Batang" w:eastAsia="Batang" w:hAnsi="Batang"/>
                <w:sz w:val="20"/>
              </w:rPr>
              <w:t>VI-A</w:t>
            </w:r>
            <w:r w:rsidRPr="00EF63C5">
              <w:rPr>
                <w:rFonts w:ascii="Batang" w:eastAsia="Batang" w:hAnsi="Batang"/>
                <w:sz w:val="20"/>
              </w:rPr>
              <w:t>?</w:t>
            </w:r>
          </w:p>
        </w:tc>
        <w:tc>
          <w:tcPr>
            <w:tcW w:w="3329" w:type="dxa"/>
          </w:tcPr>
          <w:p w:rsidR="00967CFF" w:rsidRPr="00EF63C5" w:rsidRDefault="005A4067" w:rsidP="00BA36F0">
            <w:pPr>
              <w:jc w:val="both"/>
              <w:rPr>
                <w:rFonts w:ascii="Batang" w:eastAsia="Batang" w:hAnsi="Batang"/>
                <w:sz w:val="20"/>
              </w:rPr>
            </w:pPr>
            <w:r w:rsidRPr="00EF63C5">
              <w:rPr>
                <w:rFonts w:ascii="Batang" w:eastAsia="Batang" w:hAnsi="Batang"/>
                <w:sz w:val="20"/>
              </w:rPr>
              <w:lastRenderedPageBreak/>
              <w:t xml:space="preserve">The </w:t>
            </w:r>
            <w:r w:rsidR="00BA36F0">
              <w:rPr>
                <w:rFonts w:ascii="Batang" w:eastAsia="Batang" w:hAnsi="Batang"/>
                <w:sz w:val="20"/>
              </w:rPr>
              <w:t>H</w:t>
            </w:r>
            <w:r w:rsidRPr="00EF63C5">
              <w:rPr>
                <w:rFonts w:ascii="Batang" w:eastAsia="Batang" w:hAnsi="Batang"/>
                <w:sz w:val="20"/>
              </w:rPr>
              <w:t xml:space="preserve">igh </w:t>
            </w:r>
            <w:r w:rsidR="00BA36F0">
              <w:rPr>
                <w:rFonts w:ascii="Batang" w:eastAsia="Batang" w:hAnsi="Batang"/>
                <w:sz w:val="20"/>
              </w:rPr>
              <w:t>C</w:t>
            </w:r>
            <w:r w:rsidRPr="00EF63C5">
              <w:rPr>
                <w:rFonts w:ascii="Batang" w:eastAsia="Batang" w:hAnsi="Batang"/>
                <w:sz w:val="20"/>
              </w:rPr>
              <w:t xml:space="preserve">ourt held that the assessee is entitiled to claim deduction under section </w:t>
            </w:r>
            <w:r w:rsidRPr="00EF63C5">
              <w:rPr>
                <w:rFonts w:ascii="Batang" w:eastAsia="Batang" w:hAnsi="Batang"/>
                <w:sz w:val="20"/>
              </w:rPr>
              <w:lastRenderedPageBreak/>
              <w:t>80IB(10) in respect of the enhanced gross total income as a consequence of disallowance of expenditure under section 40a(ia).</w:t>
            </w:r>
          </w:p>
        </w:tc>
        <w:tc>
          <w:tcPr>
            <w:tcW w:w="3230" w:type="dxa"/>
          </w:tcPr>
          <w:p w:rsidR="00967CFF" w:rsidRPr="00EF63C5" w:rsidRDefault="00EF63C5" w:rsidP="00005957">
            <w:pPr>
              <w:rPr>
                <w:rFonts w:ascii="Batang" w:eastAsia="Batang" w:hAnsi="Batang"/>
                <w:b/>
                <w:bCs/>
                <w:sz w:val="20"/>
              </w:rPr>
            </w:pPr>
            <w:r w:rsidRPr="00EF63C5">
              <w:rPr>
                <w:rFonts w:ascii="Batang" w:eastAsia="Batang" w:hAnsi="Batang"/>
                <w:b/>
                <w:bCs/>
                <w:sz w:val="20"/>
              </w:rPr>
              <w:lastRenderedPageBreak/>
              <w:t xml:space="preserve">CIT V. SUNIL VISHWAMBHARNATH TIWARI(2016) 388 ITR </w:t>
            </w:r>
            <w:r w:rsidRPr="00EF63C5">
              <w:rPr>
                <w:rFonts w:ascii="Batang" w:eastAsia="Batang" w:hAnsi="Batang"/>
                <w:b/>
                <w:bCs/>
                <w:sz w:val="20"/>
              </w:rPr>
              <w:lastRenderedPageBreak/>
              <w:t>630(BOM)</w:t>
            </w:r>
          </w:p>
        </w:tc>
      </w:tr>
    </w:tbl>
    <w:p w:rsidR="00005957" w:rsidRPr="00EF63C5" w:rsidRDefault="00005957" w:rsidP="00005957">
      <w:pPr>
        <w:rPr>
          <w:rFonts w:ascii="Batang" w:eastAsia="Batang" w:hAnsi="Batang"/>
          <w:sz w:val="20"/>
        </w:rPr>
      </w:pPr>
    </w:p>
    <w:sectPr w:rsidR="00005957" w:rsidRPr="00EF63C5" w:rsidSect="0008237E">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678" w:rsidRDefault="004D4678" w:rsidP="00E226CD">
      <w:pPr>
        <w:spacing w:after="0" w:line="240" w:lineRule="auto"/>
      </w:pPr>
      <w:r>
        <w:separator/>
      </w:r>
    </w:p>
  </w:endnote>
  <w:endnote w:type="continuationSeparator" w:id="1">
    <w:p w:rsidR="004D4678" w:rsidRDefault="004D4678" w:rsidP="00E226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E226CD" w:rsidTr="00533808">
      <w:trPr>
        <w:trHeight w:val="1485"/>
      </w:trPr>
      <w:tc>
        <w:tcPr>
          <w:tcW w:w="918" w:type="dxa"/>
        </w:tcPr>
        <w:p w:rsidR="00E226CD" w:rsidRDefault="0093428D">
          <w:pPr>
            <w:pStyle w:val="Footer"/>
            <w:jc w:val="right"/>
            <w:rPr>
              <w:b/>
              <w:color w:val="4F81BD" w:themeColor="accent1"/>
              <w:sz w:val="32"/>
              <w:szCs w:val="32"/>
            </w:rPr>
          </w:pPr>
          <w:fldSimple w:instr=" PAGE   \* MERGEFORMAT ">
            <w:r w:rsidR="008056CA" w:rsidRPr="008056CA">
              <w:rPr>
                <w:b/>
                <w:noProof/>
                <w:color w:val="4F81BD" w:themeColor="accent1"/>
                <w:sz w:val="32"/>
                <w:szCs w:val="32"/>
              </w:rPr>
              <w:t>4</w:t>
            </w:r>
          </w:fldSimple>
        </w:p>
      </w:tc>
      <w:tc>
        <w:tcPr>
          <w:tcW w:w="7938" w:type="dxa"/>
        </w:tcPr>
        <w:p w:rsidR="00E226CD" w:rsidRPr="00DB0E32" w:rsidRDefault="00E226CD">
          <w:pPr>
            <w:pStyle w:val="Footer"/>
            <w:rPr>
              <w:b/>
              <w:bCs/>
            </w:rPr>
          </w:pPr>
          <w:r w:rsidRPr="00DB0E32">
            <w:rPr>
              <w:b/>
              <w:bCs/>
            </w:rPr>
            <w:t>Source:-www.icai.org</w:t>
          </w:r>
        </w:p>
        <w:p w:rsidR="00533808" w:rsidRDefault="00533808">
          <w:pPr>
            <w:pStyle w:val="Footer"/>
          </w:pPr>
        </w:p>
        <w:p w:rsidR="00533808" w:rsidRDefault="00533808">
          <w:pPr>
            <w:pStyle w:val="Footer"/>
          </w:pPr>
          <w:r>
            <w:t xml:space="preserve">Complied by-Ca </w:t>
          </w:r>
          <w:r w:rsidR="00DB0E32">
            <w:t>Kapil goyal</w:t>
          </w:r>
        </w:p>
        <w:p w:rsidR="00533808" w:rsidRDefault="0093428D">
          <w:pPr>
            <w:pStyle w:val="Footer"/>
          </w:pPr>
          <w:hyperlink r:id="rId1" w:history="1">
            <w:r w:rsidR="00533808" w:rsidRPr="0076318A">
              <w:rPr>
                <w:rStyle w:val="Hyperlink"/>
              </w:rPr>
              <w:t>Email-Kapilca@yahoo.co.in</w:t>
            </w:r>
          </w:hyperlink>
        </w:p>
        <w:p w:rsidR="00533808" w:rsidRDefault="00533808">
          <w:pPr>
            <w:pStyle w:val="Footer"/>
          </w:pPr>
          <w:r>
            <w:t>Mob no-09999165163</w:t>
          </w:r>
        </w:p>
      </w:tc>
    </w:tr>
  </w:tbl>
  <w:p w:rsidR="00E226CD" w:rsidRDefault="00E226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678" w:rsidRDefault="004D4678" w:rsidP="00E226CD">
      <w:pPr>
        <w:spacing w:after="0" w:line="240" w:lineRule="auto"/>
      </w:pPr>
      <w:r>
        <w:separator/>
      </w:r>
    </w:p>
  </w:footnote>
  <w:footnote w:type="continuationSeparator" w:id="1">
    <w:p w:rsidR="004D4678" w:rsidRDefault="004D4678" w:rsidP="00E226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D75CA"/>
    <w:multiLevelType w:val="hybridMultilevel"/>
    <w:tmpl w:val="3A1829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B6E55C3"/>
    <w:multiLevelType w:val="hybridMultilevel"/>
    <w:tmpl w:val="D2A6A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characterSpacingControl w:val="doNotCompress"/>
  <w:footnotePr>
    <w:footnote w:id="0"/>
    <w:footnote w:id="1"/>
  </w:footnotePr>
  <w:endnotePr>
    <w:endnote w:id="0"/>
    <w:endnote w:id="1"/>
  </w:endnotePr>
  <w:compat>
    <w:useFELayout/>
  </w:compat>
  <w:rsids>
    <w:rsidRoot w:val="004E70D9"/>
    <w:rsid w:val="00005957"/>
    <w:rsid w:val="0008237E"/>
    <w:rsid w:val="000E0149"/>
    <w:rsid w:val="000E5F6A"/>
    <w:rsid w:val="00131074"/>
    <w:rsid w:val="002E3ED7"/>
    <w:rsid w:val="004D4678"/>
    <w:rsid w:val="004E70D9"/>
    <w:rsid w:val="00504324"/>
    <w:rsid w:val="00533808"/>
    <w:rsid w:val="005A4067"/>
    <w:rsid w:val="00602316"/>
    <w:rsid w:val="006D5EC5"/>
    <w:rsid w:val="008056CA"/>
    <w:rsid w:val="00880804"/>
    <w:rsid w:val="008B7FEF"/>
    <w:rsid w:val="008D2EA5"/>
    <w:rsid w:val="008D6122"/>
    <w:rsid w:val="00930FFB"/>
    <w:rsid w:val="0093428D"/>
    <w:rsid w:val="00967CFF"/>
    <w:rsid w:val="00A04146"/>
    <w:rsid w:val="00B21FAF"/>
    <w:rsid w:val="00B36930"/>
    <w:rsid w:val="00B8610F"/>
    <w:rsid w:val="00BA36F0"/>
    <w:rsid w:val="00C63BC4"/>
    <w:rsid w:val="00DB0E32"/>
    <w:rsid w:val="00DD7F69"/>
    <w:rsid w:val="00E13794"/>
    <w:rsid w:val="00E226CD"/>
    <w:rsid w:val="00E300B8"/>
    <w:rsid w:val="00EF63C5"/>
    <w:rsid w:val="00FB6B8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B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0D9"/>
    <w:pPr>
      <w:ind w:left="720"/>
      <w:contextualSpacing/>
    </w:pPr>
  </w:style>
  <w:style w:type="table" w:styleId="TableGrid">
    <w:name w:val="Table Grid"/>
    <w:basedOn w:val="TableNormal"/>
    <w:uiPriority w:val="59"/>
    <w:rsid w:val="000059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22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6CD"/>
  </w:style>
  <w:style w:type="paragraph" w:styleId="Footer">
    <w:name w:val="footer"/>
    <w:basedOn w:val="Normal"/>
    <w:link w:val="FooterChar"/>
    <w:uiPriority w:val="99"/>
    <w:unhideWhenUsed/>
    <w:rsid w:val="00E22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6CD"/>
  </w:style>
  <w:style w:type="character" w:styleId="Hyperlink">
    <w:name w:val="Hyperlink"/>
    <w:basedOn w:val="DefaultParagraphFont"/>
    <w:uiPriority w:val="99"/>
    <w:unhideWhenUsed/>
    <w:rsid w:val="00533808"/>
    <w:rPr>
      <w:color w:val="0000FF" w:themeColor="hyperlink"/>
      <w:u w:val="single"/>
    </w:rPr>
  </w:style>
  <w:style w:type="paragraph" w:styleId="BalloonText">
    <w:name w:val="Balloon Text"/>
    <w:basedOn w:val="Normal"/>
    <w:link w:val="BalloonTextChar"/>
    <w:uiPriority w:val="99"/>
    <w:semiHidden/>
    <w:unhideWhenUsed/>
    <w:rsid w:val="0053380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380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ail-Kapilca@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79745-EAF2-4A6C-8059-A12A1A2A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Kapil</dc:creator>
  <cp:lastModifiedBy>Kapil</cp:lastModifiedBy>
  <cp:revision>9</cp:revision>
  <cp:lastPrinted>2018-03-22T09:53:00Z</cp:lastPrinted>
  <dcterms:created xsi:type="dcterms:W3CDTF">2018-03-21T12:03:00Z</dcterms:created>
  <dcterms:modified xsi:type="dcterms:W3CDTF">2018-03-22T09:58:00Z</dcterms:modified>
</cp:coreProperties>
</file>