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618" w:type="dxa"/>
        <w:tblInd w:w="-1200" w:type="dxa"/>
        <w:tblLook w:val="04A0"/>
      </w:tblPr>
      <w:tblGrid>
        <w:gridCol w:w="588"/>
        <w:gridCol w:w="3150"/>
        <w:gridCol w:w="3330"/>
        <w:gridCol w:w="8550"/>
      </w:tblGrid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1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Delhi Chit Fund Association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2013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Can service tax be levied on the services rendered in connection with a chit fund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business?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 inferred that since in a chit fund business, the subscription is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tendered in any one forms of money as defined under section 65B(33), it would be a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transaction in money and would fall in the exclusionary part of the definition. Otherwise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also, in view of Explanation 2 read along with the exclusionary part, the services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rendered by the foreman of the chit business for which a separate consideration is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charged would be out of the clutches of the definition. Thus, either way, the services of a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foreman of a chit business do not constitute a taxable service.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 xml:space="preserve">Consequently, the High Court quashed </w:t>
            </w:r>
            <w:r w:rsidRPr="00276044">
              <w:rPr>
                <w:rFonts w:cs="Arial"/>
                <w:iCs/>
              </w:rPr>
              <w:t xml:space="preserve">Notification No. 26/2012-S.T. dated 20.06.2012 </w:t>
            </w:r>
            <w:r w:rsidRPr="00276044">
              <w:rPr>
                <w:rFonts w:cs="Arial Narrow"/>
              </w:rPr>
              <w:t>to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the extent of the entry in Serial No. 8 thereof.</w:t>
            </w:r>
          </w:p>
        </w:tc>
      </w:tr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2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Rashtriya Ispat Nigam Ltd.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2012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Can the service tax liability created under law be shifted by virtue of a clause in the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contract entered into between the service provider and the service recipient?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Supreme Court observed that on reading the agreement between the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parties, it could be inferred that service provider (contractor) had accepted the liability to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pay service tax, since it arose out of discharge of its obligations under the contract.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With regard to the submission of shifting of service tax liability, the Supreme Court held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that service tax is an indirect tax which may be passed on. Thus, assessee can contract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to shift its liability.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Finance Act, 1994 is relevant only between assessee and the tax authorities and is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irrelevant in determining rights and liabilities between service provider and service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recipient as agreed in a contract between them. There is nothing in law to prevent them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from entering into agreement regarding burden of tax arising under the contract between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them.</w:t>
            </w:r>
          </w:p>
        </w:tc>
      </w:tr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3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Kishore K.S.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2011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In case where rooms have been rented out by Municipality, can it pass the burden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of service tax to the service receivers i.e. tenants?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 held that Municipality can pass on the burden of service tax to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the tenants.</w:t>
            </w:r>
          </w:p>
        </w:tc>
      </w:tr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4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Tirumala Tirupati Devasthanams, Tirupati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2013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Whether the activity of running guest houses for the pilgrims is liable to service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tax?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Therefore, the High Court held that since the petitioner was running guest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houses by whatever name called, whether it was a shelter for pilgrims or any other name,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it was providing the taxable services and was thus liable to pay service tax.</w:t>
            </w:r>
          </w:p>
        </w:tc>
      </w:tr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5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Infotech Software Dealers Association (ISODA)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2010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Can a software be treated as goods and if so, whether its supply to a customer as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 xml:space="preserve">per an "End User Licence Agreement" (EULA) would be </w:t>
            </w:r>
            <w:r w:rsidRPr="00276044">
              <w:rPr>
                <w:rFonts w:cs="Arial"/>
                <w:bCs/>
              </w:rPr>
              <w:lastRenderedPageBreak/>
              <w:t>treated as sale or service?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lastRenderedPageBreak/>
              <w:t>The High Court held that though software is goods, the transaction may not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amount to sale in all cases and it may vary depending upon the terms of EULA.</w:t>
            </w:r>
          </w:p>
        </w:tc>
      </w:tr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lastRenderedPageBreak/>
              <w:t>6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Nahar Industrial Enterprises Ltd. 2010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Whether service tax is chargeable on the buffer subsidy provided by the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Government for storage of free sale sugar by the assessee?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 noted that apparently, service tax could be levied only if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service of storage and warehousing was provided. Nobody can provide service to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himself. In the instant case, the assessee stored the goods owned by him. After the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expiry of storage period, he was free to sell them to the buyers of its own choice. He had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stored goods in compliance with the directions of the Government of India issued under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Sugar Development Fund Act, 1982. He had received subsidy not on account of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services rendered to Government of India, but had received compensation on account of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loss of interest, cost of insurance etc. incurred on account of maintenance of stock.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Hence, the High Court held the act of assessee could not be called as rendering of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services.</w:t>
            </w:r>
          </w:p>
        </w:tc>
      </w:tr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7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Mayo College General Council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2012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A society, running renowned schools, allows other schools to use a specific name,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its logo and motto and receives a non-refundable amount and annual fee as a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consideration. Whether this amounts to a taxable service?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 held that when the petitioner permitted other schools to use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their name, logo as also motto, it clearly tantamounted to providing ‘franchise service’ to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said schools and if the petitioner realized the ‘franchise’ or ‘collaboration fees’ from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the franchise schools, the petitioner was duty bound to pay service tax to the department.</w:t>
            </w:r>
          </w:p>
        </w:tc>
      </w:tr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8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Wipro Ltd.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2013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Whether filing of declaration of description, value etc. of input services used in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providing IT enabled services (call centre/BPO services) exported outside India,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after the date of export of services will disentitle an exporter from rebate of service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tax paid on such input services?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Court, therefore, allowed the rebate claims filed by the appellants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and held that the condition of the notification must be capable of being complied with as</w:t>
            </w:r>
          </w:p>
          <w:p w:rsidR="00E36591" w:rsidRDefault="00E36591" w:rsidP="00276044">
            <w:pPr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if it could not be complied with, there would be no purpose behind it.</w:t>
            </w:r>
          </w:p>
          <w:p w:rsidR="00276044" w:rsidRDefault="00276044" w:rsidP="00276044">
            <w:pPr>
              <w:jc w:val="both"/>
              <w:rPr>
                <w:rFonts w:cs="Arial Narrow"/>
              </w:rPr>
            </w:pPr>
          </w:p>
          <w:p w:rsidR="00276044" w:rsidRDefault="00276044" w:rsidP="00276044">
            <w:pPr>
              <w:jc w:val="both"/>
              <w:rPr>
                <w:rFonts w:cs="Arial Narrow"/>
              </w:rPr>
            </w:pPr>
          </w:p>
          <w:p w:rsidR="00276044" w:rsidRDefault="00276044" w:rsidP="00276044">
            <w:pPr>
              <w:jc w:val="both"/>
              <w:rPr>
                <w:rFonts w:cs="Arial Narrow"/>
              </w:rPr>
            </w:pPr>
          </w:p>
          <w:p w:rsidR="00276044" w:rsidRDefault="00276044" w:rsidP="00276044">
            <w:pPr>
              <w:jc w:val="both"/>
              <w:rPr>
                <w:rFonts w:cs="Arial Narrow"/>
              </w:rPr>
            </w:pPr>
          </w:p>
          <w:p w:rsidR="00276044" w:rsidRDefault="00276044" w:rsidP="00276044">
            <w:pPr>
              <w:jc w:val="both"/>
              <w:rPr>
                <w:rFonts w:cs="Arial Narrow"/>
              </w:rPr>
            </w:pPr>
          </w:p>
          <w:p w:rsidR="00276044" w:rsidRDefault="00276044" w:rsidP="00276044">
            <w:pPr>
              <w:jc w:val="both"/>
              <w:rPr>
                <w:rFonts w:cs="Arial Narrow"/>
              </w:rPr>
            </w:pPr>
          </w:p>
          <w:p w:rsidR="00276044" w:rsidRPr="00276044" w:rsidRDefault="00276044" w:rsidP="00276044">
            <w:pPr>
              <w:jc w:val="both"/>
            </w:pPr>
          </w:p>
        </w:tc>
      </w:tr>
      <w:tr w:rsidR="00E36591" w:rsidRPr="00276044" w:rsidTr="00FD068B">
        <w:trPr>
          <w:trHeight w:val="2780"/>
        </w:trPr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lastRenderedPageBreak/>
              <w:t>9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Intercontinental Consultants &amp; Technocrats Pvt. Ltd.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2013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Whether expenditure like travel, hotel stay, transportation and the like incurred by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service provider in course of providing taxable service should be treated as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consideration for taxable service and included in value for charging service tax?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Court, therefore, held that rule 5(1) of the Rules runs counter and is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repugnant to sections 66 and 67 of the Act and to that extent it is ultra vires the Finance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Act, 1994.</w:t>
            </w:r>
          </w:p>
        </w:tc>
      </w:tr>
      <w:tr w:rsidR="00E36591" w:rsidRPr="00276044" w:rsidTr="00FD068B">
        <w:trPr>
          <w:trHeight w:val="2780"/>
        </w:trPr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10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  <w:iCs/>
              </w:rPr>
              <w:t>Rajasthan Urban Infrastructure 2013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Whether tax is to be deducted at source under section 194J of the Income-tax Act,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1961 on the amount of service tax if it is paid separately and is not included in the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"/>
                <w:bCs/>
              </w:rPr>
              <w:t>fees for professional services/technical services?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 held that if as per the terms of the agreement between the payer and the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payee, the amount of service tax is to be paid separately and is not included in the fees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for professional services or technical services, the service tax component would not be</w:t>
            </w:r>
          </w:p>
          <w:p w:rsidR="00E36591" w:rsidRPr="00276044" w:rsidRDefault="00E36591" w:rsidP="00276044">
            <w:pPr>
              <w:jc w:val="both"/>
            </w:pPr>
            <w:r w:rsidRPr="00276044">
              <w:rPr>
                <w:rFonts w:cs="Arial Narrow"/>
              </w:rPr>
              <w:t>subject to TDS under section 194J of the Income-tax Act, 1961.</w:t>
            </w:r>
          </w:p>
        </w:tc>
      </w:tr>
      <w:tr w:rsidR="00E36591" w:rsidRPr="00276044" w:rsidTr="00FD068B">
        <w:trPr>
          <w:trHeight w:val="1520"/>
        </w:trPr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11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>A.C.L. Education Centre (P) Ltd.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2014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 xml:space="preserve">Is rule 5A(2) of the Service Tax Rules, 1994 </w:t>
            </w:r>
            <w:r w:rsidRPr="00276044">
              <w:rPr>
                <w:rFonts w:cs="Arial"/>
                <w:bCs/>
                <w:iCs/>
              </w:rPr>
              <w:t xml:space="preserve">ultra vires </w:t>
            </w:r>
            <w:r w:rsidRPr="00276044">
              <w:rPr>
                <w:rFonts w:cs="Arial"/>
                <w:bCs/>
              </w:rPr>
              <w:t>the Finance Act, 1994?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In the light of the aforesaid discussion, the High Court held that section 5A(2)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 xml:space="preserve">is not </w:t>
            </w:r>
            <w:r w:rsidRPr="00276044">
              <w:rPr>
                <w:rFonts w:cs="Arial"/>
                <w:iCs/>
              </w:rPr>
              <w:t xml:space="preserve">ultra vires. </w:t>
            </w:r>
            <w:r w:rsidRPr="00276044">
              <w:rPr>
                <w:rFonts w:cs="Arial Narrow"/>
              </w:rPr>
              <w:t>It is in consonance with section 72A of the Finance Act, 1994.</w:t>
            </w:r>
          </w:p>
        </w:tc>
      </w:tr>
      <w:tr w:rsidR="00E36591" w:rsidRPr="00276044" w:rsidTr="00FD068B">
        <w:trPr>
          <w:trHeight w:val="1970"/>
        </w:trPr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12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>Chitra Builders Private Ltd.</w:t>
            </w:r>
            <w:r w:rsidR="00276044">
              <w:rPr>
                <w:rFonts w:cs="Arial"/>
                <w:bCs/>
                <w:iCs/>
              </w:rPr>
              <w:t xml:space="preserve"> 2013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Is it justified to recover service tax during search without passing appropriate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assessment order?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Thus, the High Court held that the amount collected by Department, from the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petitioner, during the search conducted, could not be held to be valid in the eye of law,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 xml:space="preserve">and directed the Department to return to the petitioner the sum of </w:t>
            </w:r>
            <w:r w:rsidRPr="00276044">
              <w:rPr>
                <w:rFonts w:cs="Rupee"/>
              </w:rPr>
              <w:t xml:space="preserve">` </w:t>
            </w:r>
            <w:r w:rsidRPr="00276044">
              <w:rPr>
                <w:rFonts w:cs="Arial Narrow"/>
              </w:rPr>
              <w:t>2 crores, collected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from it, during the search conducted.</w:t>
            </w:r>
          </w:p>
        </w:tc>
      </w:tr>
      <w:tr w:rsidR="00E36591" w:rsidRPr="00276044" w:rsidTr="00FD068B">
        <w:trPr>
          <w:trHeight w:val="2150"/>
        </w:trPr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lastRenderedPageBreak/>
              <w:t>13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>Infinity Infotech Parks Ltd.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2013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Can extended period of limitation be invoked for mere contravention of statutory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provisions without the intent to evade service tax being proved?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It held that mere contravention of provision of Chapter V or rules framed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thereunder does not enable the service tax authorities to invoke the extended period of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limitation. The contravention necessarily has to be with the intent to evade payment of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service tax.</w:t>
            </w:r>
          </w:p>
        </w:tc>
      </w:tr>
      <w:tr w:rsidR="00E36591" w:rsidRPr="00276044" w:rsidTr="00FD068B">
        <w:trPr>
          <w:trHeight w:val="2960"/>
        </w:trPr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14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>Kandra Rameshbabu Naidu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2014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Would service tax collected but not deposited prior to 10.05.2013 be taken into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 xml:space="preserve">consideration while calculating the amount of </w:t>
            </w:r>
            <w:r w:rsidRPr="00276044">
              <w:rPr>
                <w:rFonts w:cs="Rupee"/>
              </w:rPr>
              <w:t>`</w:t>
            </w:r>
            <w:r w:rsidRPr="00276044">
              <w:rPr>
                <w:rFonts w:cs="Arial"/>
                <w:bCs/>
              </w:rPr>
              <w:t>50 lakh as contemplated by clause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(ii) of section 89(1) of the Finance Act, 1994?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 held that since the said offence is a continuing offence, entire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amount of service tax outstanding [which is required to be deposited with the Central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Government] as on 10.05.2013, would be taken into consideration while calculating the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 xml:space="preserve">amount of </w:t>
            </w:r>
            <w:r w:rsidRPr="00276044">
              <w:rPr>
                <w:rFonts w:cs="Rupee"/>
              </w:rPr>
              <w:t xml:space="preserve">` </w:t>
            </w:r>
            <w:r w:rsidRPr="00276044">
              <w:rPr>
                <w:rFonts w:cs="Arial Narrow"/>
              </w:rPr>
              <w:t>50 lakh as contemplated by section 89(1)(ii) of the Finance Act, 1994.</w:t>
            </w:r>
          </w:p>
        </w:tc>
      </w:tr>
      <w:tr w:rsidR="00E36591" w:rsidRPr="00276044" w:rsidTr="00FD068B">
        <w:trPr>
          <w:trHeight w:val="2780"/>
        </w:trPr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15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>N.B.C. Corporation Ltd.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2014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Whether best judgment assessment under section 72 of the Finance Act, 1994 is an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ex-parte* assessment procedure?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 held that section 72 could per se not be considered as an ex parte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assessment procedure as ordinarily understood under the Income-tax Act, 1961. Section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72 mandates that the assessee must appear and must furnish books of account,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documents and material to the Central Excise Officer before he passes the best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judgment assessment order. Thus, said order is not akin to an ex parte order.</w:t>
            </w:r>
          </w:p>
        </w:tc>
      </w:tr>
      <w:tr w:rsidR="00E36591" w:rsidRPr="00276044" w:rsidTr="00FD068B">
        <w:trPr>
          <w:trHeight w:val="2240"/>
        </w:trPr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lastRenderedPageBreak/>
              <w:t>16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>Adecco</w:t>
            </w:r>
            <w:r w:rsidR="00FD068B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Flexione Workforce Solutions Ltd. 2012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Whether penalty is payable even if service tax and interest has been paid before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issue of the show cause notice?</w:t>
            </w:r>
          </w:p>
        </w:tc>
        <w:tc>
          <w:tcPr>
            <w:tcW w:w="855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Karnataka High Court held that the authorities had no authority to initiate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proceedings for recovery of penalty under section 76 when the tax payer paid service tax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along with interest for delayed payments promptly. As per section 73(3), no notice shall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be served against persons who had paid tax with interest; the authorities can initiate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proceedings against defaulters who had not paid tax and not to harass persons who had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paid tax with interest on their own. If the notices were issued contrary to this section, the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person who had issued notice should be punishable and not the person to whom it was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issued.</w:t>
            </w:r>
          </w:p>
        </w:tc>
      </w:tr>
      <w:tr w:rsidR="00E36591" w:rsidRPr="00276044" w:rsidTr="00FD068B">
        <w:tc>
          <w:tcPr>
            <w:tcW w:w="588" w:type="dxa"/>
          </w:tcPr>
          <w:p w:rsidR="00E36591" w:rsidRPr="00276044" w:rsidRDefault="00E36591" w:rsidP="00276044">
            <w:pPr>
              <w:jc w:val="both"/>
            </w:pPr>
            <w:r w:rsidRPr="00276044">
              <w:t>17</w:t>
            </w:r>
          </w:p>
        </w:tc>
        <w:tc>
          <w:tcPr>
            <w:tcW w:w="3150" w:type="dxa"/>
          </w:tcPr>
          <w:p w:rsidR="00E36591" w:rsidRPr="00276044" w:rsidRDefault="00E36591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 xml:space="preserve">KVR Construction </w:t>
            </w:r>
            <w:r w:rsidR="00276044"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2012</w:t>
            </w:r>
          </w:p>
        </w:tc>
        <w:tc>
          <w:tcPr>
            <w:tcW w:w="3330" w:type="dxa"/>
          </w:tcPr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Can an amount paid under the mistaken belief that the service is liable to service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tax when the same is actually exempt, be considered as service tax paid?</w:t>
            </w:r>
          </w:p>
        </w:tc>
        <w:tc>
          <w:tcPr>
            <w:tcW w:w="8550" w:type="dxa"/>
          </w:tcPr>
          <w:p w:rsidR="00E36591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</w:t>
            </w:r>
            <w:r w:rsidR="00E36591" w:rsidRPr="00276044">
              <w:rPr>
                <w:rFonts w:cs="Arial Narrow"/>
              </w:rPr>
              <w:t>he High Court held that refund of an amount mistakenly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paid as service tax could not be rejected on ground of limitation under section 11B of the</w:t>
            </w:r>
          </w:p>
          <w:p w:rsidR="00E36591" w:rsidRPr="00276044" w:rsidRDefault="00E36591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Central Excise Act, 1944.</w:t>
            </w:r>
          </w:p>
        </w:tc>
      </w:tr>
      <w:tr w:rsidR="00276044" w:rsidRPr="00276044" w:rsidTr="00FD068B">
        <w:trPr>
          <w:trHeight w:val="2150"/>
        </w:trPr>
        <w:tc>
          <w:tcPr>
            <w:tcW w:w="588" w:type="dxa"/>
          </w:tcPr>
          <w:p w:rsidR="00276044" w:rsidRPr="00276044" w:rsidRDefault="00276044" w:rsidP="00276044">
            <w:pPr>
              <w:jc w:val="both"/>
            </w:pPr>
            <w:r w:rsidRPr="00276044">
              <w:t>18</w:t>
            </w:r>
          </w:p>
        </w:tc>
        <w:tc>
          <w:tcPr>
            <w:tcW w:w="3150" w:type="dxa"/>
          </w:tcPr>
          <w:p w:rsidR="00276044" w:rsidRPr="00276044" w:rsidRDefault="00276044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>Ankleshwar Taluka ONGC Land Loosers Travellers Co. OP.</w:t>
            </w:r>
            <w:r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2013</w:t>
            </w:r>
          </w:p>
        </w:tc>
        <w:tc>
          <w:tcPr>
            <w:tcW w:w="3330" w:type="dxa"/>
          </w:tcPr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 xml:space="preserve">In a case where the assessee has acted </w:t>
            </w:r>
            <w:r w:rsidRPr="00276044">
              <w:rPr>
                <w:rFonts w:cs="Arial"/>
                <w:bCs/>
                <w:iCs/>
              </w:rPr>
              <w:t>bona fide, c</w:t>
            </w:r>
            <w:r w:rsidRPr="00276044">
              <w:rPr>
                <w:rFonts w:cs="Arial"/>
                <w:bCs/>
              </w:rPr>
              <w:t>an penalty be imposed for the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delay in payment of service tax arising on account of confusion regarding tax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liability and divergent views due to conflicting court decisions?</w:t>
            </w:r>
          </w:p>
        </w:tc>
        <w:tc>
          <w:tcPr>
            <w:tcW w:w="8550" w:type="dxa"/>
          </w:tcPr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High Court held that even if the appellants were aware of the levy of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service tax and were not paying the amount on the ground of dispute with the ONGC,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there could be no justification in levying the penalty in absence of any fraud,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misrepresentation, collusion or wilful mis-statement or suppression. Moreover, when the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entire issue for levying of the tax was debatable, that also would surely provide legitimate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ground not to impose the penalty.</w:t>
            </w:r>
          </w:p>
        </w:tc>
      </w:tr>
      <w:tr w:rsidR="00276044" w:rsidRPr="00276044" w:rsidTr="00FD068B">
        <w:trPr>
          <w:trHeight w:val="2150"/>
        </w:trPr>
        <w:tc>
          <w:tcPr>
            <w:tcW w:w="588" w:type="dxa"/>
          </w:tcPr>
          <w:p w:rsidR="00276044" w:rsidRPr="00276044" w:rsidRDefault="00276044" w:rsidP="00276044">
            <w:pPr>
              <w:jc w:val="both"/>
            </w:pPr>
            <w:r w:rsidRPr="00276044">
              <w:t>19</w:t>
            </w:r>
          </w:p>
        </w:tc>
        <w:tc>
          <w:tcPr>
            <w:tcW w:w="3150" w:type="dxa"/>
          </w:tcPr>
          <w:p w:rsidR="00276044" w:rsidRPr="00276044" w:rsidRDefault="00276044" w:rsidP="00276044">
            <w:pPr>
              <w:jc w:val="both"/>
              <w:rPr>
                <w:rFonts w:cs="Arial"/>
                <w:bCs/>
                <w:iCs/>
              </w:rPr>
            </w:pPr>
            <w:r w:rsidRPr="00276044">
              <w:rPr>
                <w:rFonts w:cs="Arial"/>
                <w:bCs/>
                <w:iCs/>
              </w:rPr>
              <w:t xml:space="preserve">Dell Intl. Services India P. Ltd. </w:t>
            </w:r>
            <w:r>
              <w:rPr>
                <w:rFonts w:cs="Arial"/>
                <w:bCs/>
                <w:iCs/>
              </w:rPr>
              <w:t xml:space="preserve"> </w:t>
            </w:r>
            <w:r w:rsidRPr="00276044">
              <w:rPr>
                <w:rFonts w:cs="Arial"/>
                <w:bCs/>
                <w:iCs/>
              </w:rPr>
              <w:t>2014</w:t>
            </w:r>
          </w:p>
        </w:tc>
        <w:tc>
          <w:tcPr>
            <w:tcW w:w="3330" w:type="dxa"/>
          </w:tcPr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Can the Committee of Commissioners review its decision taken earlier under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276044">
              <w:rPr>
                <w:rFonts w:cs="Arial"/>
                <w:bCs/>
              </w:rPr>
              <w:t>section 86(2A) of the Finance Act, 1994, at the instance of Chief Commissioner?</w:t>
            </w:r>
          </w:p>
        </w:tc>
        <w:tc>
          <w:tcPr>
            <w:tcW w:w="8550" w:type="dxa"/>
          </w:tcPr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Karnataka High Court held that once the Committee of Commissioners, on a careful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examination of the order of the Commissioner (Appeals), did not differ in their opinion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against the said order of the Commissioner (Appeals) and decide to accept the said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order, the matter ends there. The said decision is final and binding on the Chief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Commissioner also. The Chief Commissioner is not vested with any power to call upon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the Committee of Commissioners to review its order so that he could take decision to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prefer an appeal. Such a procedure is not contemplated under law and is without</w:t>
            </w:r>
          </w:p>
          <w:p w:rsidR="00276044" w:rsidRPr="00276044" w:rsidRDefault="00276044" w:rsidP="00276044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276044">
              <w:rPr>
                <w:rFonts w:cs="Arial Narrow"/>
              </w:rPr>
              <w:t>jurisdiction.</w:t>
            </w:r>
          </w:p>
        </w:tc>
      </w:tr>
    </w:tbl>
    <w:p w:rsidR="00D95F0A" w:rsidRPr="00276044" w:rsidRDefault="00D95F0A" w:rsidP="00FD068B">
      <w:pPr>
        <w:jc w:val="both"/>
      </w:pPr>
    </w:p>
    <w:sectPr w:rsidR="00D95F0A" w:rsidRPr="00276044" w:rsidSect="00FD068B">
      <w:footerReference w:type="default" r:id="rId7"/>
      <w:headerReference w:type="first" r:id="rId8"/>
      <w:footerReference w:type="first" r:id="rId9"/>
      <w:pgSz w:w="15840" w:h="12240" w:orient="landscape"/>
      <w:pgMar w:top="1440" w:right="1440" w:bottom="1440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9E2" w:rsidRDefault="00DB29E2" w:rsidP="00276044">
      <w:pPr>
        <w:spacing w:after="0" w:line="240" w:lineRule="auto"/>
      </w:pPr>
      <w:r>
        <w:separator/>
      </w:r>
    </w:p>
  </w:endnote>
  <w:endnote w:type="continuationSeparator" w:id="1">
    <w:p w:rsidR="00DB29E2" w:rsidRDefault="00DB29E2" w:rsidP="002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upe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44" w:rsidRDefault="00DE29CD">
    <w:pPr>
      <w:pStyle w:val="Footer"/>
    </w:pPr>
    <w:r>
      <w:rPr>
        <w:noProof/>
      </w:rPr>
      <w:pict>
        <v:group id="_x0000_s2049" style="position:absolute;margin-left:0;margin-top:0;width:532.9pt;height:53pt;z-index:251660288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15;top:14415;width:10171;height:1057" o:connectortype="straight" strokecolor="#a7bfde [1620]"/>
          <v:oval id="_x0000_s2051" style="position:absolute;left:9657;top:14459;width:1016;height:1016" fillcolor="#a7bfde [1620]" stroked="f"/>
          <v:oval id="_x0000_s2052" style="position:absolute;left:9733;top:14568;width:908;height:904" fillcolor="#d3dfee [820]" stroked="f"/>
          <v:oval id="_x0000_s2053" style="position:absolute;left:9802;top:14688;width:783;height:784;v-text-anchor:middle" fillcolor="#7ba0cd [2420]" stroked="f">
            <v:textbox style="mso-next-textbox:#_x0000_s2053">
              <w:txbxContent>
                <w:p w:rsidR="00276044" w:rsidRDefault="00DE29CD">
                  <w:pPr>
                    <w:pStyle w:val="Header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FD068B" w:rsidRPr="00FD068B">
                      <w:rPr>
                        <w:noProof/>
                        <w:color w:val="FFFFFF" w:themeColor="background1"/>
                      </w:rPr>
                      <w:t>5</w:t>
                    </w:r>
                  </w:fldSimple>
                </w:p>
              </w:txbxContent>
            </v:textbox>
          </v:oval>
          <w10:wrap anchorx="page" anchory="page"/>
        </v:group>
      </w:pict>
    </w:r>
    <w:r w:rsidR="00276044">
      <w:t>SERVICE TAX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02B" w:rsidRDefault="00DE29CD">
    <w:pPr>
      <w:pStyle w:val="Footer"/>
    </w:pPr>
    <w:r>
      <w:rPr>
        <w:noProof/>
      </w:rPr>
      <w:pict>
        <v:group id="_x0000_s2066" style="position:absolute;margin-left:0;margin-top:0;width:532.9pt;height:53pt;z-index:251664384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7" type="#_x0000_t32" style="position:absolute;left:15;top:14415;width:10171;height:1057" o:connectortype="straight" strokecolor="#a7bfde [1620]"/>
          <v:oval id="_x0000_s2068" style="position:absolute;left:9657;top:14459;width:1016;height:1016" fillcolor="#a7bfde [1620]" stroked="f"/>
          <v:oval id="_x0000_s2069" style="position:absolute;left:9733;top:14568;width:908;height:904" fillcolor="#d3dfee [820]" stroked="f"/>
          <v:oval id="_x0000_s2070" style="position:absolute;left:9802;top:14688;width:783;height:784;v-text-anchor:middle" fillcolor="#7ba0cd [2420]" stroked="f">
            <v:textbox style="mso-next-textbox:#_x0000_s2070">
              <w:txbxContent>
                <w:p w:rsidR="0042302B" w:rsidRDefault="00DE29CD">
                  <w:pPr>
                    <w:pStyle w:val="Header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FD068B" w:rsidRPr="00FD068B">
                      <w:rPr>
                        <w:noProof/>
                        <w:color w:val="FFFFFF" w:themeColor="background1"/>
                      </w:rPr>
                      <w:t>1</w:t>
                    </w:r>
                  </w:fldSimple>
                </w:p>
              </w:txbxContent>
            </v:textbox>
          </v:oval>
          <w10:wrap anchorx="page" anchory="page"/>
        </v:group>
      </w:pict>
    </w:r>
    <w:r w:rsidR="0042302B">
      <w:t>SERVICE TAX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9E2" w:rsidRDefault="00DB29E2" w:rsidP="00276044">
      <w:pPr>
        <w:spacing w:after="0" w:line="240" w:lineRule="auto"/>
      </w:pPr>
      <w:r>
        <w:separator/>
      </w:r>
    </w:p>
  </w:footnote>
  <w:footnote w:type="continuationSeparator" w:id="1">
    <w:p w:rsidR="00DB29E2" w:rsidRDefault="00DB29E2" w:rsidP="0027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77738743"/>
      <w:placeholder>
        <w:docPart w:val="07D48524EEDD44858784F4121D4DDFE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7638E" w:rsidRPr="0047638E" w:rsidRDefault="0047638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47638E">
          <w:rPr>
            <w:rFonts w:asciiTheme="majorHAnsi" w:eastAsiaTheme="majorEastAsia" w:hAnsiTheme="majorHAnsi" w:cstheme="majorBidi"/>
            <w:b/>
            <w:sz w:val="32"/>
            <w:szCs w:val="32"/>
          </w:rPr>
          <w:t>IDT CASE LAWS</w:t>
        </w:r>
      </w:p>
    </w:sdtContent>
  </w:sdt>
  <w:p w:rsidR="0042302B" w:rsidRPr="0047638E" w:rsidRDefault="0042302B">
    <w:pPr>
      <w:pStyle w:val="Head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  <o:rules v:ext="edit">
        <o:r id="V:Rule3" type="connector" idref="#_x0000_s2067"/>
        <o:r id="V:Rule4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36591"/>
    <w:rsid w:val="00245ECB"/>
    <w:rsid w:val="00276044"/>
    <w:rsid w:val="002D3BB2"/>
    <w:rsid w:val="00310C14"/>
    <w:rsid w:val="0042302B"/>
    <w:rsid w:val="0047638E"/>
    <w:rsid w:val="00661172"/>
    <w:rsid w:val="007205B0"/>
    <w:rsid w:val="00777616"/>
    <w:rsid w:val="00886BEA"/>
    <w:rsid w:val="009352BA"/>
    <w:rsid w:val="009F63E4"/>
    <w:rsid w:val="00A30621"/>
    <w:rsid w:val="00A62A95"/>
    <w:rsid w:val="00B35939"/>
    <w:rsid w:val="00D95F0A"/>
    <w:rsid w:val="00DB29E2"/>
    <w:rsid w:val="00DE29CD"/>
    <w:rsid w:val="00E36591"/>
    <w:rsid w:val="00FD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5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6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044"/>
  </w:style>
  <w:style w:type="paragraph" w:styleId="Footer">
    <w:name w:val="footer"/>
    <w:basedOn w:val="Normal"/>
    <w:link w:val="FooterChar"/>
    <w:uiPriority w:val="99"/>
    <w:semiHidden/>
    <w:unhideWhenUsed/>
    <w:rsid w:val="00276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6044"/>
  </w:style>
  <w:style w:type="paragraph" w:styleId="BalloonText">
    <w:name w:val="Balloon Text"/>
    <w:basedOn w:val="Normal"/>
    <w:link w:val="BalloonTextChar"/>
    <w:uiPriority w:val="99"/>
    <w:semiHidden/>
    <w:unhideWhenUsed/>
    <w:rsid w:val="002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7D48524EEDD44858784F4121D4DD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53FCF-7335-429D-9D8B-0C7F2522DD63}"/>
      </w:docPartPr>
      <w:docPartBody>
        <w:p w:rsidR="00B55698" w:rsidRDefault="00D577A1" w:rsidP="00D577A1">
          <w:pPr>
            <w:pStyle w:val="07D48524EEDD44858784F4121D4DDFE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upe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B6670"/>
    <w:rsid w:val="00052111"/>
    <w:rsid w:val="00440B8F"/>
    <w:rsid w:val="005B6670"/>
    <w:rsid w:val="00941D8D"/>
    <w:rsid w:val="00B55698"/>
    <w:rsid w:val="00D577A1"/>
    <w:rsid w:val="00D7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12CBF9DD724197A66FA9F2EE1E5144">
    <w:name w:val="A812CBF9DD724197A66FA9F2EE1E5144"/>
    <w:rsid w:val="005B6670"/>
  </w:style>
  <w:style w:type="paragraph" w:customStyle="1" w:styleId="76B64D2235DD4D81986BE936F7CD155C">
    <w:name w:val="76B64D2235DD4D81986BE936F7CD155C"/>
    <w:rsid w:val="005B6670"/>
  </w:style>
  <w:style w:type="paragraph" w:customStyle="1" w:styleId="594D8E4EA59F4DB68DF97D8B160A6EC0">
    <w:name w:val="594D8E4EA59F4DB68DF97D8B160A6EC0"/>
    <w:rsid w:val="005B6670"/>
  </w:style>
  <w:style w:type="paragraph" w:customStyle="1" w:styleId="C6279B2E5BE94E149D0B85BEF9C99164">
    <w:name w:val="C6279B2E5BE94E149D0B85BEF9C99164"/>
    <w:rsid w:val="005B6670"/>
  </w:style>
  <w:style w:type="paragraph" w:customStyle="1" w:styleId="D7065B95B90F4655A669AFD64C6839FD">
    <w:name w:val="D7065B95B90F4655A669AFD64C6839FD"/>
    <w:rsid w:val="005B6670"/>
  </w:style>
  <w:style w:type="paragraph" w:customStyle="1" w:styleId="07D48524EEDD44858784F4121D4DDFE5">
    <w:name w:val="07D48524EEDD44858784F4121D4DDFE5"/>
    <w:rsid w:val="00D577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IDT CASE LAWS</dc:title>
  <dc:subject/>
  <dc:creator>nsc</dc:creator>
  <cp:keywords/>
  <dc:description/>
  <cp:lastModifiedBy>nsc</cp:lastModifiedBy>
  <cp:revision>6</cp:revision>
  <dcterms:created xsi:type="dcterms:W3CDTF">2015-07-25T06:22:00Z</dcterms:created>
  <dcterms:modified xsi:type="dcterms:W3CDTF">2015-08-08T10:40:00Z</dcterms:modified>
</cp:coreProperties>
</file>