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708" w:type="dxa"/>
        <w:tblInd w:w="-1290" w:type="dxa"/>
        <w:tblLook w:val="04A0"/>
      </w:tblPr>
      <w:tblGrid>
        <w:gridCol w:w="493"/>
        <w:gridCol w:w="3245"/>
        <w:gridCol w:w="3585"/>
        <w:gridCol w:w="8385"/>
      </w:tblGrid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1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Tirupati Udyog Ltd. 2011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Are the clearance of goods from DTA to Special Economic Zone chargeable to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export duty under the SEZ Act, 2005 or the Customs Act, 1962?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 inferred that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clearance of goods from DTA to Special Economic Zone is not liable to export duty either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under the SEZ Act, 2005 or under the Customs Act, 1962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2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Decorative Laminates (I) Pvt. Ltd. 2010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Whether remission of duty is permissible under section 23 of the Customs Act,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1962 when the remission application is filed after the expiry of the warehousing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period (including extended warehousing period)?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Court, overruling the decision of the Tribunal, held that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circumstances made out under section 23 were not applicable to the present case since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destruction of the goods or loss of the goods had not occurred before the clearance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for home consumption within the meaning of that section. When the goods are not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cleared within the period or extended period as given by the authorities, their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continuance in the warehouse will not permit the remission of duty under section 23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Act.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3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Keihin Penalfa Ltd. 2012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Where a classification (under a Customs Tariff head) is recognized by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Government in a notification at any point of time, can the same be made applicable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in a previous classification in the absence of any conscious modification in the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Tariff?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Apex Court observed that the Central Government had issued an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exemption notification dated 1-3-2002 and in the said notification it had classified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Electronic Automatic Regulators under Chapter sub-heading 9032.89. Since the Revenue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itself had classified the goods in dispute under Chapter sub-heading 9032.89 from 1-3-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2002, the said classification needs to be accepted for the period prior to it.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4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M/s CPS Textiles P Ltd. 2010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(i) Will the description of the goods as per the documents submitted along with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Shipping Bill be a relevant criterion for the purpose of classification, if not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otherwise disputed on the basis of any technical opinion or test? (ii) Whether a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separate notice is required to be issued for payment of interest which is mandatory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lastRenderedPageBreak/>
              <w:t>and automatically applies for recovery of excess drawback?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lastRenderedPageBreak/>
              <w:t>The High Court held that the description of the goods as per the documents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submitted along with the Shipping Bill would be a relevant criterion for the purpose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classification, if not otherwise disputed on the basis of any technical opinion or test.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petitioner could not plead that the exported goods should be classified under different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headings contrary to the description given in the invoice and the Shipping Bill which had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been assessed and cleared for export. Further, the Court, while interpreting section 75A(2) of the Customs Act, 1962, noted that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when the claimant is liable to pay the excess amount of drawback, he is liable to pay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interest as well. The section provides for payment of interest automatically along with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excess drawback. No notice for the payment of interest need be issued separately as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payment of interest becomes automatic, once it is held that excess drawback has to be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repaid.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lastRenderedPageBreak/>
              <w:t>5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Shreeji Overseas (India) Pvt. Ltd. 2013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Can the time-limit prescribed under section 48 of the Customs Act, 1962 for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clearance of the goods within 30 days be read as time-limit for filing of bill of entry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under section 46 of the Act?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aforesaid question came up for consideration before the High Court. The High Court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noted that though section 46 does not provide for any time-limit for filing a bill of entry by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an importer upon arrival of goods, section 48 permits the authorities to sell the goods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after following the specified procedure, provided the same are not cleared for home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consumption/ warehoused/ transhipped within 30 days of unloading the same at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customs station. The High Court however held that the time-limit prescribed under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section 48 for clearance of the goods within 30 days cannot be read into section 46 and it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cannot be inferred that section 46 prescribes any time-limit for filing of bill of entry.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6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Paras Fab International 2010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Whether the issue of the imported goods warehoused in the premises of 100% EOU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for manufacture/production/processing in 100% EOU would amount to clearance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for home consumption?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Tribunal answered the issues raised as follows:-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"/>
                <w:bCs/>
              </w:rPr>
              <w:t xml:space="preserve">(a) </w:t>
            </w:r>
            <w:r w:rsidRPr="00585EE6">
              <w:rPr>
                <w:rFonts w:cs="Arial Narrow"/>
              </w:rPr>
              <w:t>The entire premises of a 100% EOU has to be treated as a warehouse if the licence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granted under to the unit is in respect of the entire premises.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"/>
                <w:bCs/>
              </w:rPr>
              <w:t xml:space="preserve">(b) and (c) </w:t>
            </w:r>
            <w:r w:rsidRPr="00585EE6">
              <w:rPr>
                <w:rFonts w:cs="Arial Narrow"/>
              </w:rPr>
              <w:t>Imported goods warehoused in the premises of a 100% EOU (which is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licensed as a Customs bonded warehouse) and used for the purpose of manufacturing in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bond as authorized under section 65 of the Customs Act, 1962, cannot be treated to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have been removed for home consumption.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7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Kemtech International Pvt. Ltd. 2013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Is the adjudicating authority required to supply to the assessee copies of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documents on which it proposes to place reliance for the purpose of requantification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of short-levy of customs duty?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Apex Court elucidated that for the purpose of re-quantification of short-levy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customs duty, the adjudicating authority, following the principles of natural justice, should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supply to the assessee all the documents on which it proposed to place reliance.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Thereafter the assessee might furnish their explanation thereon and might provide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additional evidence, in support of their claim.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8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Margara Industries Ltd. 2013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Can delay in filing appeal to CESTAT due to the mistake of the counsel of the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appellant, be condoned?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held that the Tribunal ought to have taken a lenient view in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this matter as the appellant was not going to gain anything by not filing the appeal and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reason for delay in filing appeal as given by the appellant was the mistake of its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counsel who had also filed his personal affidavit.</w:t>
            </w:r>
          </w:p>
        </w:tc>
      </w:tr>
      <w:tr w:rsidR="00F94D31" w:rsidRPr="00585EE6" w:rsidTr="00FB78A8">
        <w:trPr>
          <w:trHeight w:val="1655"/>
        </w:trPr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9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Rishiroop Polymers Pvt. Ltd.2013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Can a writ petition be filed against an order passed by the CESTAT under section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9C of the Customs Tariff Act, 1975?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Court, therefore, held that it would not be appropriate for it to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exercise the jurisdiction under Article 226 of the Constitution, since an alternate remedy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by way of an appeal was available in accordance with law. The High Court thus,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dismissed the petition leaving it open to the assessee to take recourse to the appellate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remedy.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lastRenderedPageBreak/>
              <w:t>10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  <w:iCs/>
              </w:rPr>
              <w:t>Dinesh Chhajer 2014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Can customs duty be demanded under section 28 and/or section 125(2) of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Customs Act, 1962 from a person dealing in smuggled goods when no such goods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"/>
                <w:bCs/>
              </w:rPr>
              <w:t>are seized from him?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held that Tribunal was justified in holding that no duty is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leviable against the assessee as he is neither the importer nor the owner of the goods or</w:t>
            </w:r>
          </w:p>
          <w:p w:rsidR="00F94D31" w:rsidRPr="00585EE6" w:rsidRDefault="00F94D31" w:rsidP="00585EE6">
            <w:pPr>
              <w:jc w:val="both"/>
            </w:pPr>
            <w:r w:rsidRPr="00585EE6">
              <w:rPr>
                <w:rFonts w:cs="Arial Narrow"/>
              </w:rPr>
              <w:t>was in possession of any goods.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11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Thakker Shipping P. Ltd. 2012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Can Tribunal condone the delay in filing of an application consequent to review by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the Committee of Chief Commissioners if it is satisfied that there was sufficient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cause for not presenting the application within the prescribed period?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ruled that the Tribunal was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competent to invoke section 129A(5) where an application under section 129D(4) had not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been made within the prescribed time and condone the delay in making such application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if it was satisfied that there was sufficient cause for not presenting it within that period.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12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Uniworth Textiles Ltd. 2013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Whether extended period of limitation for demand of customs duty can be invoked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in a case where the assessee had sought a clarification about exemption from a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wrong authority?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Supreme Court held that mere non-payment of duties could not be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equated with collusion or wilful misstatement or suppression of facts as then there would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be no form of non-payment which would amount to ordinary default. The Apex Court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opined that something more must be shown to construe the acts of the assessee as fit for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applicability of the proviso.</w:t>
            </w:r>
          </w:p>
        </w:tc>
      </w:tr>
      <w:tr w:rsidR="00F94D31" w:rsidRPr="00585EE6" w:rsidTr="00FB78A8">
        <w:trPr>
          <w:trHeight w:val="3293"/>
        </w:trPr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13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KSJ Metal Impex (P) Ltd. 2013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Whether interest is liable to be paid on delayed refund of special CVD arising in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</w:rPr>
              <w:t xml:space="preserve">pursuance of the exemption granted vide </w:t>
            </w:r>
            <w:r w:rsidRPr="00585EE6">
              <w:rPr>
                <w:rFonts w:cs="Arial"/>
                <w:bCs/>
                <w:iCs/>
              </w:rPr>
              <w:t>Notification No. 102/2007 Cus dated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  <w:iCs/>
              </w:rPr>
              <w:t>14.09.2007?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Court, therefore, held that :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"/>
                <w:bCs/>
              </w:rPr>
              <w:t xml:space="preserve">(i) </w:t>
            </w:r>
            <w:r w:rsidRPr="00585EE6">
              <w:rPr>
                <w:rFonts w:cs="Arial Narrow"/>
              </w:rPr>
              <w:t>It would be a misconception of the provisions of the Customs Act, 1962 to state that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notification issued under section 25 of the Customs Act, 1962 does not have any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specific provision for interest on delayed payment of refund.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"/>
                <w:bCs/>
              </w:rPr>
              <w:t xml:space="preserve">(ii) </w:t>
            </w:r>
            <w:r w:rsidRPr="00585EE6">
              <w:rPr>
                <w:rFonts w:cs="Arial Narrow"/>
              </w:rPr>
              <w:t>When section 27 of the Customs Act, 1962 provides for refund of duty and section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27A of the Customs Act, 1962 provides for interest on delayed refunds,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Department cannot override the said provisions by a Circular and deny the right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which is granted by the provisions of the Customs Act, 1962 and CETA.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"/>
                <w:bCs/>
              </w:rPr>
              <w:t xml:space="preserve">(iii) </w:t>
            </w:r>
            <w:r w:rsidRPr="00585EE6">
              <w:rPr>
                <w:rFonts w:cs="Arial Narrow"/>
              </w:rPr>
              <w:t xml:space="preserve">Paragraph 4.3 of the </w:t>
            </w:r>
            <w:r w:rsidRPr="00585EE6">
              <w:rPr>
                <w:rFonts w:cs="Arial"/>
                <w:iCs/>
              </w:rPr>
              <w:t xml:space="preserve">Circular No. 6/2008 Cus. dated 28.04.2008 </w:t>
            </w:r>
            <w:r w:rsidRPr="00585EE6">
              <w:rPr>
                <w:rFonts w:cs="Arial Narrow"/>
              </w:rPr>
              <w:t>being contrary to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statute has to be struck down as bad.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lastRenderedPageBreak/>
              <w:t>14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Caravel Logistics Pvt. Ltd. 2013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Can penalty for short-landing of goods be imposed on the steamer agent of a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vessel if he files the Import General Manifest, deals with the goods at different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stages of shipment and conducts all affairs in compliance with the provisions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the Customs Act, 1962?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held that conjoint reading of sections 2(31), 116 and 148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Customs Act, 1962 makes it clear that in case of short-landing of goods, if penalty is to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be imposed on person-in-charge of conveyance/vessel, it can also be imposed on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agent appointed by him. Hence, duly appointed steamer agent of a vessel, would be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liable to penalty. However, steamer agent, if innocent, could work out his remedy against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shipper for short-landing.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also clarified that in view of section 42 under which no conveyance can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leave without written order, there is an automatic penalty for not accounting of goods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which have been shown as loaded on vessel in terms of Import General Manifest. There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 xml:space="preserve">is no requirement of proving </w:t>
            </w:r>
            <w:r w:rsidRPr="00585EE6">
              <w:rPr>
                <w:rFonts w:cs="Arial"/>
                <w:iCs/>
              </w:rPr>
              <w:t xml:space="preserve">mens rea </w:t>
            </w:r>
            <w:r w:rsidRPr="00585EE6">
              <w:rPr>
                <w:rFonts w:cs="Arial Narrow"/>
              </w:rPr>
              <w:t>on part of person-in-charge of conveyance to fall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within the mischief of section 116 of the Customs Act.</w:t>
            </w:r>
          </w:p>
        </w:tc>
      </w:tr>
      <w:tr w:rsidR="00F94D31" w:rsidRPr="00585EE6" w:rsidTr="00FB78A8"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15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Akanksha Syntex (P) Ltd. 2014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Where goods have been ordered to be released provisionally under section 110A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the Customs Act, 1962, can release of goods be claimed under section 110(2) of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Customs Act, 1962?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remedy of provisional release is independent of remedy of claiming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unconditional release in the absence of issuance of any valid show cause notice during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period of limitation or extended limitation prescribed under section 110(2) of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Customs Act, 1962.</w:t>
            </w:r>
          </w:p>
        </w:tc>
      </w:tr>
      <w:tr w:rsidR="00F94D31" w:rsidRPr="00585EE6" w:rsidTr="00FB78A8">
        <w:trPr>
          <w:trHeight w:val="1223"/>
        </w:trPr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16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M. Ambalal &amp; Co. 2010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Whether the benefit of exemption meant for imported goods can also be given to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the smuggled goods?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It held that it would be contrary to the purpose of exemption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notifications to give the benefit meant for imported goods to smuggled goods.</w:t>
            </w:r>
          </w:p>
        </w:tc>
      </w:tr>
      <w:tr w:rsidR="00F94D31" w:rsidRPr="00585EE6" w:rsidTr="00FB78A8">
        <w:trPr>
          <w:trHeight w:val="3230"/>
        </w:trPr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17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Manish Lalit Kumar Bavishi 2011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Is it mandatory for the Revenue officers to make available the copies of the seized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documents to the person from whose custody such documents were seized?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held that from the language of section 110(4), it was apparent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that the Customs officers were mandatorily required to make available the copies asked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for. It was the party concerned who had the choice of either asking for the document or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seeking extract, and not the officer.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If any document was seized during the course of any action by an officer and relatable to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provisions of the Customs Act, that officer was bound to make available copies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those documents. The denial by the Revenue to make the documents available was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clearly an act without jurisdiction.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directed the Revenue to make available the copies of the documents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asked for by the assessee which were seized during the course of the seizure action.</w:t>
            </w:r>
          </w:p>
        </w:tc>
      </w:tr>
      <w:tr w:rsidR="00F94D31" w:rsidRPr="00585EE6" w:rsidTr="00FB78A8">
        <w:trPr>
          <w:trHeight w:val="2600"/>
        </w:trPr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lastRenderedPageBreak/>
              <w:t>18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Hemal K. Shah 2012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Whether the smuggled goods can be re-exported from the customs area without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formally getting them released from confiscation?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Government noted that the passenger had grossly mis-declared the goods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with intention to evade duty and to smuggle the goods into India. As per the provisions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section 80 of the Customs Act, 1962 when the baggage of the passenger contains article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which is dutiable or prohibited and in respect of which the declaration is made under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section 77, the proper officer on request of passenger can detain such article for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purpose of being returned to him on his leaving India. Since passenger neither made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true declaration nor requested for detention of goods for re-export, before customs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authorities at the time of his arrival at airport, the re-export of said goods could not be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allowed under section 80 of the Customs Act.</w:t>
            </w:r>
          </w:p>
        </w:tc>
      </w:tr>
      <w:tr w:rsidR="00F94D31" w:rsidRPr="00585EE6" w:rsidTr="00FB78A8">
        <w:trPr>
          <w:trHeight w:val="3473"/>
        </w:trPr>
        <w:tc>
          <w:tcPr>
            <w:tcW w:w="493" w:type="dxa"/>
          </w:tcPr>
          <w:p w:rsidR="00F94D31" w:rsidRPr="00585EE6" w:rsidRDefault="00F94D31" w:rsidP="00585EE6">
            <w:pPr>
              <w:jc w:val="both"/>
            </w:pPr>
            <w:r w:rsidRPr="00585EE6">
              <w:t>19</w:t>
            </w:r>
          </w:p>
        </w:tc>
        <w:tc>
          <w:tcPr>
            <w:tcW w:w="3245" w:type="dxa"/>
          </w:tcPr>
          <w:p w:rsidR="00F94D31" w:rsidRPr="00585EE6" w:rsidRDefault="00F94D31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Saurashtra Cement Ltd 2013</w:t>
            </w:r>
          </w:p>
        </w:tc>
        <w:tc>
          <w:tcPr>
            <w:tcW w:w="35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Is judicial review of the order of the Settlement Commission by the High Court or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Supreme Court under writ petition/special leave petition, permissible?</w:t>
            </w:r>
          </w:p>
        </w:tc>
        <w:tc>
          <w:tcPr>
            <w:tcW w:w="8385" w:type="dxa"/>
          </w:tcPr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While examining the scope of judicial review in relation to a decision of Settlement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Commission, the High Court noted that although the decision of Settlement Commission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is final, finality clause would not exclude the jurisdiction of the High Court under Article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226 of the Constitution (writ petition to a High Court) or that of the Supreme Court under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Articles 32 or 136 of the Constitution (writ petition or special leave petition to Supreme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Court). The Court would ordinarily interfere if the Settlement Commission has acted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without jurisdiction vested in it or its decision is wholly arbitrary or perverse or mala fide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or is against the principles of natural justice or when such decision is ultra vires the Act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or the same is based on irrelevant considerations.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Court, however, pronounced that the scope of court’s inquiry against the decision of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Settlement Commission is very narrow, i.e. judicial review is concerned with the</w:t>
            </w:r>
          </w:p>
          <w:p w:rsidR="00F94D31" w:rsidRPr="00585EE6" w:rsidRDefault="00F94D31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decision-making process and not with the decision of the Settlement Commission.</w:t>
            </w:r>
          </w:p>
        </w:tc>
      </w:tr>
      <w:tr w:rsidR="00585EE6" w:rsidRPr="00585EE6" w:rsidTr="00FB78A8">
        <w:trPr>
          <w:trHeight w:val="2060"/>
        </w:trPr>
        <w:tc>
          <w:tcPr>
            <w:tcW w:w="493" w:type="dxa"/>
          </w:tcPr>
          <w:p w:rsidR="00585EE6" w:rsidRPr="00585EE6" w:rsidRDefault="00585EE6" w:rsidP="00585EE6">
            <w:pPr>
              <w:jc w:val="both"/>
            </w:pPr>
            <w:r w:rsidRPr="00585EE6">
              <w:t>20</w:t>
            </w:r>
          </w:p>
        </w:tc>
        <w:tc>
          <w:tcPr>
            <w:tcW w:w="3245" w:type="dxa"/>
          </w:tcPr>
          <w:p w:rsidR="00585EE6" w:rsidRPr="00585EE6" w:rsidRDefault="00585EE6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Sanghvi Reconditioners Pvt. Ltd. 2010</w:t>
            </w:r>
          </w:p>
        </w:tc>
        <w:tc>
          <w:tcPr>
            <w:tcW w:w="3585" w:type="dxa"/>
          </w:tcPr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In case of a Settlement Commission's order, can the assessee be permitted to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accept what is favourable to them and reject what is not?</w:t>
            </w:r>
          </w:p>
        </w:tc>
        <w:tc>
          <w:tcPr>
            <w:tcW w:w="8385" w:type="dxa"/>
          </w:tcPr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Apex Court held that the application under section 127B of the Customs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Act, 1962 is maintainable only if the duty liability is disclosed. The disclosure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contemplated is in the nature of voluntary disclosure of concealed additional customs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duty. The Court further opined that having opted to get their customs duty liability settled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 Narrow"/>
              </w:rPr>
              <w:t xml:space="preserve">by the Settlement Commission, </w:t>
            </w:r>
            <w:r w:rsidRPr="00585EE6">
              <w:rPr>
                <w:rFonts w:cs="Arial"/>
                <w:bCs/>
              </w:rPr>
              <w:t>the appellant could not be permitted to dissect the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Settlement Commission's order with a view to accept what is favourable to them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"/>
                <w:bCs/>
              </w:rPr>
              <w:t>and reject what is not</w:t>
            </w:r>
            <w:r w:rsidRPr="00585EE6">
              <w:rPr>
                <w:rFonts w:cs="Arial Narrow"/>
              </w:rPr>
              <w:t>.</w:t>
            </w:r>
          </w:p>
        </w:tc>
      </w:tr>
      <w:tr w:rsidR="00585EE6" w:rsidRPr="00585EE6" w:rsidTr="00FB78A8">
        <w:trPr>
          <w:trHeight w:val="2780"/>
        </w:trPr>
        <w:tc>
          <w:tcPr>
            <w:tcW w:w="493" w:type="dxa"/>
          </w:tcPr>
          <w:p w:rsidR="00585EE6" w:rsidRPr="00585EE6" w:rsidRDefault="00585EE6" w:rsidP="00585EE6">
            <w:pPr>
              <w:jc w:val="both"/>
            </w:pPr>
            <w:r w:rsidRPr="00585EE6">
              <w:lastRenderedPageBreak/>
              <w:t>21</w:t>
            </w:r>
          </w:p>
        </w:tc>
        <w:tc>
          <w:tcPr>
            <w:tcW w:w="3245" w:type="dxa"/>
          </w:tcPr>
          <w:p w:rsidR="00585EE6" w:rsidRPr="00585EE6" w:rsidRDefault="00585EE6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Union of India 2010</w:t>
            </w:r>
          </w:p>
        </w:tc>
        <w:tc>
          <w:tcPr>
            <w:tcW w:w="3585" w:type="dxa"/>
          </w:tcPr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Does the Settlement Commission have jurisdiction to settle cases relating to the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recovery of drawback erroneously paid by the Revenue?</w:t>
            </w:r>
          </w:p>
        </w:tc>
        <w:tc>
          <w:tcPr>
            <w:tcW w:w="8385" w:type="dxa"/>
          </w:tcPr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Court, thus, concluded that the duty drawback or claim for duty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drawback is nothing but a claim for refund of duty as per the statutory scheme framed by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Government of India or in exercise of statutory powers under the provisions of the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 Narrow"/>
              </w:rPr>
              <w:t xml:space="preserve">Act. Thus, the High Court held that the </w:t>
            </w:r>
            <w:r w:rsidRPr="00585EE6">
              <w:rPr>
                <w:rFonts w:cs="Arial"/>
                <w:bCs/>
              </w:rPr>
              <w:t>Settlement Commission has jurisdiction to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deal with the question relating to the recovery of drawback erroneously paid by the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"/>
                <w:bCs/>
              </w:rPr>
              <w:t>Revenue</w:t>
            </w:r>
            <w:r w:rsidRPr="00585EE6">
              <w:rPr>
                <w:rFonts w:cs="Arial Narrow"/>
              </w:rPr>
              <w:t>.</w:t>
            </w:r>
          </w:p>
        </w:tc>
      </w:tr>
      <w:tr w:rsidR="00585EE6" w:rsidRPr="00585EE6" w:rsidTr="00FB78A8">
        <w:trPr>
          <w:trHeight w:val="2690"/>
        </w:trPr>
        <w:tc>
          <w:tcPr>
            <w:tcW w:w="493" w:type="dxa"/>
          </w:tcPr>
          <w:p w:rsidR="00585EE6" w:rsidRPr="00585EE6" w:rsidRDefault="00585EE6" w:rsidP="00585EE6">
            <w:pPr>
              <w:jc w:val="both"/>
            </w:pPr>
            <w:r w:rsidRPr="00585EE6">
              <w:t>22</w:t>
            </w:r>
          </w:p>
        </w:tc>
        <w:tc>
          <w:tcPr>
            <w:tcW w:w="3245" w:type="dxa"/>
          </w:tcPr>
          <w:p w:rsidR="00585EE6" w:rsidRPr="00585EE6" w:rsidRDefault="00585EE6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Vishnu M Harlalka 2013</w:t>
            </w:r>
          </w:p>
        </w:tc>
        <w:tc>
          <w:tcPr>
            <w:tcW w:w="3585" w:type="dxa"/>
          </w:tcPr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Whether any interest is payable on delayed refund of sale proceeds of auction of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seized goods after adjustment of expenses and charges in terms of section 150 of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the Customs Act, 1962?</w:t>
            </w:r>
          </w:p>
        </w:tc>
        <w:tc>
          <w:tcPr>
            <w:tcW w:w="8385" w:type="dxa"/>
          </w:tcPr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High Court held that Department cannot plead that the Customs Act,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1962 provides for the payment of interest only in respect of refund of duty and interest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and hence, the assessee would not be entitled to interest on the balance of the sale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proceeds which were directed to be paid by the Settlement Commission. The High Court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clarified that acceptance of such a submission would mean that despite an order of the competent authority directing the Department to grant a refund, the Department can wait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for an inordinately long period to grant the refund. The High Court directed the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Department to pay interest from the date of approval of proposal for sanctioning the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refund.</w:t>
            </w:r>
          </w:p>
        </w:tc>
      </w:tr>
      <w:tr w:rsidR="00585EE6" w:rsidRPr="00585EE6" w:rsidTr="00FB78A8">
        <w:trPr>
          <w:trHeight w:val="2240"/>
        </w:trPr>
        <w:tc>
          <w:tcPr>
            <w:tcW w:w="493" w:type="dxa"/>
          </w:tcPr>
          <w:p w:rsidR="00585EE6" w:rsidRPr="00585EE6" w:rsidRDefault="00585EE6" w:rsidP="00585EE6">
            <w:pPr>
              <w:jc w:val="both"/>
            </w:pPr>
            <w:r w:rsidRPr="00585EE6">
              <w:t>23</w:t>
            </w:r>
          </w:p>
        </w:tc>
        <w:tc>
          <w:tcPr>
            <w:tcW w:w="3245" w:type="dxa"/>
          </w:tcPr>
          <w:p w:rsidR="00585EE6" w:rsidRPr="00585EE6" w:rsidRDefault="00585EE6" w:rsidP="00585EE6">
            <w:pPr>
              <w:jc w:val="both"/>
              <w:rPr>
                <w:rFonts w:cs="Arial"/>
                <w:bCs/>
                <w:iCs/>
              </w:rPr>
            </w:pPr>
            <w:r w:rsidRPr="00585EE6">
              <w:rPr>
                <w:rFonts w:cs="Arial"/>
                <w:bCs/>
                <w:iCs/>
              </w:rPr>
              <w:t>Anita Grover 2013</w:t>
            </w:r>
          </w:p>
        </w:tc>
        <w:tc>
          <w:tcPr>
            <w:tcW w:w="3585" w:type="dxa"/>
          </w:tcPr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Can a former director of a company be held liable for the recovery of the customs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585EE6">
              <w:rPr>
                <w:rFonts w:cs="Arial"/>
                <w:bCs/>
              </w:rPr>
              <w:t>dues of such company?</w:t>
            </w:r>
          </w:p>
        </w:tc>
        <w:tc>
          <w:tcPr>
            <w:tcW w:w="8385" w:type="dxa"/>
          </w:tcPr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The Court held that since the company was not being wound up, the juristic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personality the company and its former director would certainly be separate and the dues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recoverable from the former could not, in the absence of a statutory provision, be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recovered from the latter. There was no provision in the Customs Act, 1962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corresponding to section 179 of the Income-tax Act, 1961 or section 18 of the Central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Sales Tax, 1956 (refer note below) which might enable the Revenue authorities to</w:t>
            </w:r>
          </w:p>
          <w:p w:rsidR="00585EE6" w:rsidRPr="00585EE6" w:rsidRDefault="00585EE6" w:rsidP="00585EE6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585EE6">
              <w:rPr>
                <w:rFonts w:cs="Arial Narrow"/>
              </w:rPr>
              <w:t>proceed against directors of companies who were not the defaulters.</w:t>
            </w:r>
          </w:p>
        </w:tc>
      </w:tr>
    </w:tbl>
    <w:p w:rsidR="009E2B8D" w:rsidRPr="00585EE6" w:rsidRDefault="009E2B8D" w:rsidP="00585EE6">
      <w:pPr>
        <w:jc w:val="both"/>
      </w:pPr>
    </w:p>
    <w:sectPr w:rsidR="009E2B8D" w:rsidRPr="00585EE6" w:rsidSect="00FB78A8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1080" w:right="1440" w:bottom="1440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7A1" w:rsidRDefault="008D37A1" w:rsidP="00585EE6">
      <w:pPr>
        <w:spacing w:after="0" w:line="240" w:lineRule="auto"/>
      </w:pPr>
      <w:r>
        <w:separator/>
      </w:r>
    </w:p>
  </w:endnote>
  <w:endnote w:type="continuationSeparator" w:id="1">
    <w:p w:rsidR="008D37A1" w:rsidRDefault="008D37A1" w:rsidP="0058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EE6" w:rsidRDefault="00063C49">
    <w:pPr>
      <w:pStyle w:val="Footer"/>
    </w:pPr>
    <w:r>
      <w:rPr>
        <w:noProof/>
      </w:rPr>
      <w:pict>
        <v:group id="_x0000_s2060" style="position:absolute;margin-left:0;margin-top:0;width:532.9pt;height:53pt;z-index:251664384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1" type="#_x0000_t32" style="position:absolute;left:15;top:14415;width:10171;height:1057" o:connectortype="straight" strokecolor="#a7bfde [1620]"/>
          <v:oval id="_x0000_s2062" style="position:absolute;left:9657;top:14459;width:1016;height:1016" fillcolor="#a7bfde [1620]" stroked="f"/>
          <v:oval id="_x0000_s2063" style="position:absolute;left:9733;top:14568;width:908;height:904" fillcolor="#d3dfee [820]" stroked="f"/>
          <v:oval id="_x0000_s2064" style="position:absolute;left:9802;top:14688;width:783;height:784;v-text-anchor:middle" fillcolor="#7ba0cd [2420]" stroked="f">
            <v:textbox style="mso-next-textbox:#_x0000_s2064">
              <w:txbxContent>
                <w:p w:rsidR="00585EE6" w:rsidRDefault="00063C49">
                  <w:pPr>
                    <w:pStyle w:val="Header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FB78A8" w:rsidRPr="00FB78A8">
                      <w:rPr>
                        <w:noProof/>
                        <w:color w:val="FFFFFF" w:themeColor="background1"/>
                      </w:rPr>
                      <w:t>2</w:t>
                    </w:r>
                  </w:fldSimple>
                </w:p>
              </w:txbxContent>
            </v:textbox>
          </v:oval>
          <w10:wrap anchorx="page" anchory="page"/>
        </v:group>
      </w:pict>
    </w:r>
    <w:r w:rsidR="00585EE6">
      <w:t>CUSTOMS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EE6" w:rsidRDefault="00063C49">
    <w:pPr>
      <w:pStyle w:val="Footer"/>
    </w:pPr>
    <w:r>
      <w:rPr>
        <w:noProof/>
      </w:rPr>
      <w:pict>
        <v:group id="_x0000_s2055" style="position:absolute;margin-left:0;margin-top:0;width:532.9pt;height:53pt;z-index:251662336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6" type="#_x0000_t32" style="position:absolute;left:15;top:14415;width:10171;height:1057" o:connectortype="straight" strokecolor="#a7bfde [1620]"/>
          <v:oval id="_x0000_s2057" style="position:absolute;left:9657;top:14459;width:1016;height:1016" fillcolor="#a7bfde [1620]" stroked="f"/>
          <v:oval id="_x0000_s2058" style="position:absolute;left:9733;top:14568;width:908;height:904" fillcolor="#d3dfee [820]" stroked="f"/>
          <v:oval id="_x0000_s2059" style="position:absolute;left:9802;top:14688;width:783;height:784;v-text-anchor:middle" fillcolor="#7ba0cd [2420]" stroked="f">
            <v:textbox style="mso-next-textbox:#_x0000_s2059">
              <w:txbxContent>
                <w:p w:rsidR="00585EE6" w:rsidRDefault="00063C49">
                  <w:pPr>
                    <w:pStyle w:val="Header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FB78A8" w:rsidRPr="00FB78A8">
                      <w:rPr>
                        <w:noProof/>
                        <w:color w:val="FFFFFF" w:themeColor="background1"/>
                      </w:rPr>
                      <w:t>1</w:t>
                    </w:r>
                  </w:fldSimple>
                </w:p>
              </w:txbxContent>
            </v:textbox>
          </v:oval>
          <w10:wrap anchorx="page" anchory="page"/>
        </v:group>
      </w:pict>
    </w:r>
    <w:r w:rsidR="00585EE6">
      <w:t>CUSTOMS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7A1" w:rsidRDefault="008D37A1" w:rsidP="00585EE6">
      <w:pPr>
        <w:spacing w:after="0" w:line="240" w:lineRule="auto"/>
      </w:pPr>
      <w:r>
        <w:separator/>
      </w:r>
    </w:p>
  </w:footnote>
  <w:footnote w:type="continuationSeparator" w:id="1">
    <w:p w:rsidR="008D37A1" w:rsidRDefault="008D37A1" w:rsidP="00585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EE6" w:rsidRDefault="00585EE6">
    <w:pPr>
      <w:pStyle w:val="Header"/>
    </w:pPr>
  </w:p>
  <w:p w:rsidR="00585EE6" w:rsidRDefault="00585EE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77738743"/>
      <w:placeholder>
        <w:docPart w:val="AAACC910AAD6436BB8697732CD228B8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93F52" w:rsidRPr="00693F52" w:rsidRDefault="00693F5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693F52">
          <w:rPr>
            <w:rFonts w:asciiTheme="majorHAnsi" w:eastAsiaTheme="majorEastAsia" w:hAnsiTheme="majorHAnsi" w:cstheme="majorBidi"/>
            <w:b/>
            <w:sz w:val="32"/>
            <w:szCs w:val="32"/>
          </w:rPr>
          <w:t>IDT CASE LAWS</w:t>
        </w:r>
      </w:p>
    </w:sdtContent>
  </w:sdt>
  <w:p w:rsidR="00585EE6" w:rsidRPr="00693F52" w:rsidRDefault="00585EE6">
    <w:pPr>
      <w:pStyle w:val="Head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  <o:rules v:ext="edit">
        <o:r id="V:Rule3" type="connector" idref="#_x0000_s2056"/>
        <o:r id="V:Rule4" type="connector" idref="#_x0000_s206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94D31"/>
    <w:rsid w:val="00004C24"/>
    <w:rsid w:val="00063C49"/>
    <w:rsid w:val="000A686D"/>
    <w:rsid w:val="000B37A3"/>
    <w:rsid w:val="0012265C"/>
    <w:rsid w:val="00271BB5"/>
    <w:rsid w:val="00585EE6"/>
    <w:rsid w:val="00607E75"/>
    <w:rsid w:val="00693F52"/>
    <w:rsid w:val="008D37A1"/>
    <w:rsid w:val="009759ED"/>
    <w:rsid w:val="009E2B8D"/>
    <w:rsid w:val="00AF5E58"/>
    <w:rsid w:val="00E10950"/>
    <w:rsid w:val="00EF5900"/>
    <w:rsid w:val="00F07DFF"/>
    <w:rsid w:val="00F87452"/>
    <w:rsid w:val="00F94D31"/>
    <w:rsid w:val="00FB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5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EE6"/>
  </w:style>
  <w:style w:type="paragraph" w:styleId="Footer">
    <w:name w:val="footer"/>
    <w:basedOn w:val="Normal"/>
    <w:link w:val="FooterChar"/>
    <w:uiPriority w:val="99"/>
    <w:semiHidden/>
    <w:unhideWhenUsed/>
    <w:rsid w:val="00585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5EE6"/>
  </w:style>
  <w:style w:type="paragraph" w:styleId="BalloonText">
    <w:name w:val="Balloon Text"/>
    <w:basedOn w:val="Normal"/>
    <w:link w:val="BalloonTextChar"/>
    <w:uiPriority w:val="99"/>
    <w:semiHidden/>
    <w:unhideWhenUsed/>
    <w:rsid w:val="0058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EE6"/>
    <w:rPr>
      <w:rFonts w:ascii="Tahoma" w:hAnsi="Tahoma" w:cs="Tahoma"/>
      <w:sz w:val="16"/>
      <w:szCs w:val="16"/>
    </w:rPr>
  </w:style>
  <w:style w:type="paragraph" w:customStyle="1" w:styleId="3A5B8D0E64CA4985BBFCEFDF165F36CC">
    <w:name w:val="3A5B8D0E64CA4985BBFCEFDF165F36CC"/>
    <w:rsid w:val="00693F52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ACC910AAD6436BB8697732CD228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D563F-E923-4976-962F-FBB3456C1897}"/>
      </w:docPartPr>
      <w:docPartBody>
        <w:p w:rsidR="00456AAF" w:rsidRDefault="00716B56" w:rsidP="00716B56">
          <w:pPr>
            <w:pStyle w:val="AAACC910AAD6436BB8697732CD228B8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A0922"/>
    <w:rsid w:val="002D72B5"/>
    <w:rsid w:val="00456AAF"/>
    <w:rsid w:val="004A0922"/>
    <w:rsid w:val="00716B56"/>
    <w:rsid w:val="00931E37"/>
    <w:rsid w:val="00A60CDC"/>
    <w:rsid w:val="00E9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1B78DF5C7742B582529F027CF56963">
    <w:name w:val="6C1B78DF5C7742B582529F027CF56963"/>
    <w:rsid w:val="004A0922"/>
  </w:style>
  <w:style w:type="paragraph" w:customStyle="1" w:styleId="445294994DBE456F8C3CAED668577E61">
    <w:name w:val="445294994DBE456F8C3CAED668577E61"/>
    <w:rsid w:val="004A0922"/>
  </w:style>
  <w:style w:type="paragraph" w:customStyle="1" w:styleId="F4D6D80A638241D1AAAF051F16DE459D">
    <w:name w:val="F4D6D80A638241D1AAAF051F16DE459D"/>
    <w:rsid w:val="004A0922"/>
  </w:style>
  <w:style w:type="paragraph" w:customStyle="1" w:styleId="4E874CC8D9C54C378046D54E2C5AD6BF">
    <w:name w:val="4E874CC8D9C54C378046D54E2C5AD6BF"/>
    <w:rsid w:val="00716B56"/>
  </w:style>
  <w:style w:type="paragraph" w:customStyle="1" w:styleId="AAACC910AAD6436BB8697732CD228B8C">
    <w:name w:val="AAACC910AAD6436BB8697732CD228B8C"/>
    <w:rsid w:val="00716B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IDT CASE LAWS</dc:title>
  <dc:subject/>
  <dc:creator>nsc</dc:creator>
  <cp:keywords/>
  <dc:description/>
  <cp:lastModifiedBy>nsc</cp:lastModifiedBy>
  <cp:revision>6</cp:revision>
  <dcterms:created xsi:type="dcterms:W3CDTF">2015-07-25T06:47:00Z</dcterms:created>
  <dcterms:modified xsi:type="dcterms:W3CDTF">2015-08-08T10:55:00Z</dcterms:modified>
</cp:coreProperties>
</file>