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480" w:type="dxa"/>
        <w:tblInd w:w="-1062" w:type="dxa"/>
        <w:tblLayout w:type="fixed"/>
        <w:tblLook w:val="04A0"/>
      </w:tblPr>
      <w:tblGrid>
        <w:gridCol w:w="453"/>
        <w:gridCol w:w="3057"/>
        <w:gridCol w:w="3563"/>
        <w:gridCol w:w="8407"/>
      </w:tblGrid>
      <w:tr w:rsidR="001055A9" w:rsidRPr="00765326" w:rsidTr="00D4516D">
        <w:trPr>
          <w:trHeight w:val="98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1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  <w:iCs/>
              </w:rPr>
              <w:t>Balrampur Chini Mills Ltd. 2014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bagasse which is a marketable product but not a manufactured product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>can be subjected to excise duty?</w:t>
            </w:r>
          </w:p>
        </w:tc>
        <w:tc>
          <w:tcPr>
            <w:tcW w:w="8407" w:type="dxa"/>
          </w:tcPr>
          <w:p w:rsidR="00A30DA7" w:rsidRPr="00765326" w:rsidRDefault="00A30DA7" w:rsidP="00D4516D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concluded that though bagasse is an agricultural waste of</w:t>
            </w:r>
          </w:p>
          <w:p w:rsidR="00A30DA7" w:rsidRPr="00765326" w:rsidRDefault="00A30DA7" w:rsidP="00D4516D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sugarcane, it is a marketable product. However, duty cannot be imposed thereon simply</w:t>
            </w:r>
          </w:p>
          <w:p w:rsidR="00A30DA7" w:rsidRPr="00765326" w:rsidRDefault="00A30DA7" w:rsidP="00D4516D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by virtue of the explanation added under section 2(d) of the Central Excise Act, 1944 as it</w:t>
            </w:r>
          </w:p>
          <w:p w:rsidR="00A30DA7" w:rsidRPr="00765326" w:rsidRDefault="00A30DA7" w:rsidP="00D4516D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does not involve any manufacturing activity. The High Court quashed the CBEC’s</w:t>
            </w:r>
          </w:p>
          <w:p w:rsidR="00A30DA7" w:rsidRPr="00765326" w:rsidRDefault="00A30DA7" w:rsidP="00D4516D">
            <w:pPr>
              <w:jc w:val="both"/>
            </w:pPr>
            <w:r w:rsidRPr="00765326">
              <w:rPr>
                <w:rFonts w:cs="Arial Narrow"/>
              </w:rPr>
              <w:t>Circular dated 28-10-2009.</w:t>
            </w:r>
          </w:p>
        </w:tc>
      </w:tr>
      <w:tr w:rsidR="001055A9" w:rsidRPr="00765326" w:rsidTr="00D4516D">
        <w:trPr>
          <w:trHeight w:val="1430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2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  <w:iCs/>
              </w:rPr>
              <w:t>Osnar Chemical Pvt. Ltd. 2012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improvement in quality of base bitumen by adding and mixing polymers and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>additives to it, amount to manufacture?</w:t>
            </w:r>
          </w:p>
        </w:tc>
        <w:tc>
          <w:tcPr>
            <w:tcW w:w="8407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In the light of the above discussion, the Supreme Court held that since the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said process merely resulted in the improvement of quality of bitumen and no distinct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commodity emerged, and the process carried out by the assessee had nowhere been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 Narrow"/>
              </w:rPr>
              <w:t xml:space="preserve">specified in the Section notes or Chapter notes of the First Schedule, the </w:t>
            </w:r>
            <w:r w:rsidRPr="00765326">
              <w:rPr>
                <w:rFonts w:cs="Arial"/>
                <w:bCs/>
              </w:rPr>
              <w:t>process of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>mixing polymers and additives with bitumen did not amount to manufacture</w:t>
            </w:r>
            <w:r w:rsidRPr="00765326">
              <w:rPr>
                <w:rFonts w:cs="Arial Narrow"/>
              </w:rPr>
              <w:t>.</w:t>
            </w:r>
          </w:p>
        </w:tc>
      </w:tr>
      <w:tr w:rsidR="001055A9" w:rsidRPr="00765326" w:rsidTr="00D4516D">
        <w:trPr>
          <w:trHeight w:val="98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3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  <w:iCs/>
              </w:rPr>
              <w:t>Grasim Industries Ltd. 2011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Does the process of generation of metal scrap or waste during the repair of worn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>out machineries/parts of cement manufacturing plant amount to manufacture?</w:t>
            </w:r>
          </w:p>
        </w:tc>
        <w:tc>
          <w:tcPr>
            <w:tcW w:w="8407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Supreme Court held that the generation of metal scrap or waste during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repair of the worn out machineries/parts of cement manufacturing plant did not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 Narrow"/>
              </w:rPr>
              <w:t>amount to manufacture.</w:t>
            </w:r>
          </w:p>
        </w:tc>
      </w:tr>
      <w:tr w:rsidR="001055A9" w:rsidRPr="00765326" w:rsidTr="00D4516D">
        <w:trPr>
          <w:trHeight w:val="98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4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  <w:iCs/>
              </w:rPr>
              <w:t>Medley Pharmaceuticals Ltd. 2011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Are the physician samples excisable goods despite them being statutorily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>prohibited from being sold?</w:t>
            </w:r>
          </w:p>
        </w:tc>
        <w:tc>
          <w:tcPr>
            <w:tcW w:w="8407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Court inferred that merely because a product was statutorily prohibited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from being sold, would not mean that the product was not capable of being sold. Since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physician sample was capable of being sold in open market, the physician samples were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 Narrow"/>
              </w:rPr>
              <w:t>excisable goods and were liable to excise duty.</w:t>
            </w:r>
          </w:p>
        </w:tc>
      </w:tr>
      <w:tr w:rsidR="001055A9" w:rsidRPr="00765326" w:rsidTr="00D4516D">
        <w:trPr>
          <w:trHeight w:val="98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5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  <w:iCs/>
              </w:rPr>
              <w:t>Usha Rectifier Corpn. (I) Ltd. 2011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assembling of the testing equipments for testing the final product in the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>factory amounts to manufacture?</w:t>
            </w:r>
          </w:p>
        </w:tc>
        <w:tc>
          <w:tcPr>
            <w:tcW w:w="8407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 Narrow"/>
              </w:rPr>
              <w:t xml:space="preserve">In the light of the aforesaid observations, the Apex Court held that </w:t>
            </w:r>
            <w:r w:rsidRPr="00765326">
              <w:rPr>
                <w:rFonts w:cs="Arial"/>
                <w:bCs/>
              </w:rPr>
              <w:t>duty was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>payable on such testing equipments used for testing the final product</w:t>
            </w:r>
          </w:p>
        </w:tc>
      </w:tr>
      <w:tr w:rsidR="001055A9" w:rsidRPr="00765326" w:rsidTr="00D4516D">
        <w:trPr>
          <w:trHeight w:val="98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</w:pPr>
            <w:r w:rsidRPr="00765326">
              <w:t>6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  <w:iCs/>
              </w:rPr>
              <w:t>Nicholas Piramal India Ltd. 2010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>Can a product with short shelf-life be considered as marketable?</w:t>
            </w:r>
          </w:p>
        </w:tc>
        <w:tc>
          <w:tcPr>
            <w:tcW w:w="8407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Supreme Court ruled that short shelf-life could not be equated with no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 xml:space="preserve">shelf-life and would not </w:t>
            </w:r>
            <w:r w:rsidRPr="00765326">
              <w:rPr>
                <w:rFonts w:cs="Arial"/>
                <w:iCs/>
              </w:rPr>
              <w:t xml:space="preserve">ipso facto </w:t>
            </w:r>
            <w:r w:rsidRPr="00765326">
              <w:rPr>
                <w:rFonts w:cs="Arial Narrow"/>
              </w:rPr>
              <w:t>mean that it could not be marketed. A shelf-life of 2 to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3 days was sufficiently long enough for a product to be commercially marketable.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Shelf-life of a product would not be a relevant factor to test the marketability of a product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unless it was shown that the product had absolutely no shelf-life or the shelf-life of the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 Narrow"/>
              </w:rPr>
              <w:t>product was such that it was not capable of being brought or sold during that shelf-life.</w:t>
            </w:r>
          </w:p>
        </w:tc>
      </w:tr>
      <w:tr w:rsidR="001055A9" w:rsidRPr="00765326" w:rsidTr="00D4516D">
        <w:trPr>
          <w:trHeight w:val="953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</w:pPr>
            <w:r w:rsidRPr="00765326">
              <w:t>7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  <w:iCs/>
              </w:rPr>
              <w:t>Solid &amp; Correct Engineering Works and Ors 2010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the machine which is not assimilated in permanent structure would be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 xml:space="preserve">considered to be moveable so as to </w:t>
            </w:r>
            <w:r w:rsidRPr="00765326">
              <w:rPr>
                <w:rFonts w:cs="Arial"/>
                <w:bCs/>
              </w:rPr>
              <w:lastRenderedPageBreak/>
              <w:t>be dutiable under the Central Excise Act?</w:t>
            </w:r>
          </w:p>
        </w:tc>
        <w:tc>
          <w:tcPr>
            <w:tcW w:w="8407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The Court observed that as per the assessee, the machine was fixed by nuts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and bolts to a foundation not because the intention was to permanently attach it to the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earth, but because a foundation was necessary to provide a wobble free operation to the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machine. It opined that an attachment without necessary intent of making the same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permanent cannot constitute permanent fixing, embedding or attachment in the sense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that would make the machine a part and parcel of the earth permanently.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Hence, the Supreme Court held that the plants in question were not immovable property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so as to be immune from the levy of excise duty. Consequently, duty would be levied on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 Narrow"/>
              </w:rPr>
              <w:t>them.</w:t>
            </w:r>
          </w:p>
        </w:tc>
      </w:tr>
      <w:tr w:rsidR="001055A9" w:rsidRPr="00765326" w:rsidTr="00D4516D">
        <w:trPr>
          <w:trHeight w:val="1970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</w:pPr>
            <w:r w:rsidRPr="00765326">
              <w:lastRenderedPageBreak/>
              <w:t>8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  <w:iCs/>
              </w:rPr>
              <w:t>Tarpaulin International 2010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Does the process of preparation of tarpaulin made-ups after cutting and stitching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"/>
                <w:bCs/>
              </w:rPr>
              <w:t>the tarpaulin fabric and fixing eye-lets in it, amount to manufacture?</w:t>
            </w:r>
          </w:p>
        </w:tc>
        <w:tc>
          <w:tcPr>
            <w:tcW w:w="8407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 Narrow"/>
              </w:rPr>
              <w:t xml:space="preserve">The Apex Court opined that </w:t>
            </w:r>
            <w:r w:rsidRPr="00765326">
              <w:rPr>
                <w:rFonts w:cs="Arial"/>
                <w:bCs/>
              </w:rPr>
              <w:t>stitching of tarpaulin sheets and making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"/>
                <w:bCs/>
              </w:rPr>
              <w:t>eyelets did not change basic characteristic of the raw material and end product</w:t>
            </w:r>
            <w:r w:rsidRPr="00765326">
              <w:rPr>
                <w:rFonts w:cs="Arial Narrow"/>
              </w:rPr>
              <w:t>.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process did not bring into existence a new and distinct product with total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transformation in the original commodity. The original material used i.e., the tarpaulin,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was still called tarpaulin made-ups even after undergoing the said process. Hence, it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could not be said that the process was a manufacturing process. Therefore, there could</w:t>
            </w:r>
          </w:p>
          <w:p w:rsidR="00A30DA7" w:rsidRPr="00765326" w:rsidRDefault="00A30DA7" w:rsidP="004A50C7">
            <w:pPr>
              <w:jc w:val="both"/>
            </w:pPr>
            <w:r w:rsidRPr="00765326">
              <w:rPr>
                <w:rFonts w:cs="Arial Narrow"/>
              </w:rPr>
              <w:t>be no levy of central excise duty on the tarpaulin made-ups.</w:t>
            </w:r>
          </w:p>
        </w:tc>
      </w:tr>
      <w:tr w:rsidR="00A30DA7" w:rsidRPr="00765326" w:rsidTr="00D4516D">
        <w:trPr>
          <w:trHeight w:val="1872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</w:pPr>
            <w:r w:rsidRPr="00765326">
              <w:t>9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GTC Industries Ltd. 2011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Does the process of cutting and embossing aluminium foil for packing the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cigarettes amount to manufacture?</w:t>
            </w:r>
          </w:p>
        </w:tc>
        <w:tc>
          <w:tcPr>
            <w:tcW w:w="8407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pronounced that cutting and embossing did not transform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aluminium foil into distinct and identifiable commodity. It did not change the nature and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substance of foil. The said process did not render any marketable value to the foil, but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only made it usable for packing. Cut to shape/embossed aluminium foils used for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packing cigarettes could not be considered as distinct marketable commodity and hence,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it was not liable to excise duty.</w:t>
            </w:r>
          </w:p>
        </w:tc>
      </w:tr>
      <w:tr w:rsidR="00A30DA7" w:rsidRPr="00765326" w:rsidTr="00D4516D">
        <w:trPr>
          <w:trHeight w:val="1727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</w:pPr>
            <w:r w:rsidRPr="00765326">
              <w:t>10</w:t>
            </w:r>
          </w:p>
        </w:tc>
        <w:tc>
          <w:tcPr>
            <w:tcW w:w="3057" w:type="dxa"/>
          </w:tcPr>
          <w:p w:rsidR="00A30DA7" w:rsidRPr="00765326" w:rsidRDefault="00A30DA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Sony Music Entertainment (I) Pvt. Ltd. 2010</w:t>
            </w:r>
          </w:p>
        </w:tc>
        <w:tc>
          <w:tcPr>
            <w:tcW w:w="3563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Does the activity of packing of imported compact discs in a jewel box along with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inlay card amount to manufacture?</w:t>
            </w:r>
          </w:p>
        </w:tc>
        <w:tc>
          <w:tcPr>
            <w:tcW w:w="8407" w:type="dxa"/>
          </w:tcPr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observed that none of the activity that the assessee undertook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involved any process on the compact discs that were imported. It held that the Tribunal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 Narrow"/>
              </w:rPr>
              <w:t xml:space="preserve">rightly concluded that </w:t>
            </w:r>
            <w:r w:rsidRPr="00765326">
              <w:rPr>
                <w:rFonts w:cs="Arial"/>
                <w:bCs/>
              </w:rPr>
              <w:t>the activities carried out by the respondent did not amount to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manufacture since the compact disc had been complete and finished when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"/>
                <w:bCs/>
              </w:rPr>
              <w:t>imported by the assessee</w:t>
            </w:r>
            <w:r w:rsidRPr="00765326">
              <w:rPr>
                <w:rFonts w:cs="Arial Narrow"/>
              </w:rPr>
              <w:t>. Thus, the question of law was answered in favour of</w:t>
            </w:r>
          </w:p>
          <w:p w:rsidR="00A30DA7" w:rsidRPr="00765326" w:rsidRDefault="00A30DA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assessee in favour of assessee and against Revenue.</w:t>
            </w:r>
          </w:p>
        </w:tc>
      </w:tr>
      <w:tr w:rsidR="00A30DA7" w:rsidRPr="00765326" w:rsidTr="00D4516D">
        <w:trPr>
          <w:trHeight w:val="183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</w:pPr>
            <w:r w:rsidRPr="00765326">
              <w:t>11</w:t>
            </w:r>
          </w:p>
        </w:tc>
        <w:tc>
          <w:tcPr>
            <w:tcW w:w="3057" w:type="dxa"/>
          </w:tcPr>
          <w:p w:rsidR="00A30DA7" w:rsidRPr="00765326" w:rsidRDefault="001055A9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Ciens Laboratories 2013</w:t>
            </w:r>
          </w:p>
        </w:tc>
        <w:tc>
          <w:tcPr>
            <w:tcW w:w="3563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How will a cream which is available across the counters as also on prescription of</w:t>
            </w:r>
          </w:p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dermatologists for treating dry skin conditions, be classified if it has subsidiary</w:t>
            </w:r>
          </w:p>
          <w:p w:rsidR="00A30DA7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pharmaceutical contents - as medicament or as cosmetics?</w:t>
            </w:r>
          </w:p>
        </w:tc>
        <w:tc>
          <w:tcPr>
            <w:tcW w:w="8407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Supreme Court held that owing to the pharmaceutical constituents</w:t>
            </w:r>
          </w:p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present in the cream ‘Moisturex’ and its use for the cure of certain skin diseases, the</w:t>
            </w:r>
          </w:p>
          <w:p w:rsidR="00A30DA7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same would be classifiable as a medicament under Heading 30.03.</w:t>
            </w:r>
          </w:p>
        </w:tc>
      </w:tr>
      <w:tr w:rsidR="00A30DA7" w:rsidRPr="00765326" w:rsidTr="00D4516D">
        <w:trPr>
          <w:trHeight w:val="173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</w:pPr>
            <w:r w:rsidRPr="00765326">
              <w:t>12</w:t>
            </w:r>
          </w:p>
        </w:tc>
        <w:tc>
          <w:tcPr>
            <w:tcW w:w="3057" w:type="dxa"/>
          </w:tcPr>
          <w:p w:rsidR="00A30DA7" w:rsidRPr="00765326" w:rsidRDefault="001055A9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Minwool Rock Fibres Ltd. 2012</w:t>
            </w:r>
          </w:p>
        </w:tc>
        <w:tc>
          <w:tcPr>
            <w:tcW w:w="3563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 xml:space="preserve">Whether a heading classifying goods </w:t>
            </w:r>
            <w:r w:rsidRPr="00765326">
              <w:rPr>
                <w:rFonts w:cs="Arial"/>
                <w:bCs/>
              </w:rPr>
              <w:lastRenderedPageBreak/>
              <w:t>according to their composition is preferred</w:t>
            </w:r>
          </w:p>
          <w:p w:rsidR="00A30DA7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over a specific heading?</w:t>
            </w:r>
          </w:p>
        </w:tc>
        <w:tc>
          <w:tcPr>
            <w:tcW w:w="8407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Therefore, the Court opined that the goods in issue were appropriately</w:t>
            </w:r>
          </w:p>
          <w:p w:rsidR="00A30DA7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classifiable under Sub-heading 6807.10 of the Tariff.</w:t>
            </w:r>
          </w:p>
        </w:tc>
      </w:tr>
      <w:tr w:rsidR="00A30DA7" w:rsidRPr="00765326" w:rsidTr="00D4516D">
        <w:trPr>
          <w:trHeight w:val="183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</w:pPr>
            <w:r w:rsidRPr="00765326">
              <w:lastRenderedPageBreak/>
              <w:t>1</w:t>
            </w:r>
            <w:r w:rsidR="001055A9" w:rsidRPr="00765326">
              <w:t>3</w:t>
            </w:r>
          </w:p>
        </w:tc>
        <w:tc>
          <w:tcPr>
            <w:tcW w:w="3057" w:type="dxa"/>
          </w:tcPr>
          <w:p w:rsidR="00A30DA7" w:rsidRPr="00765326" w:rsidRDefault="001055A9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Wockhardt Life Sciences Ltd. 2012</w:t>
            </w:r>
          </w:p>
        </w:tc>
        <w:tc>
          <w:tcPr>
            <w:tcW w:w="3563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antiseptic cleansing solution used for cleaning/ degerming or scrubbing</w:t>
            </w:r>
          </w:p>
          <w:p w:rsidR="00A30DA7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the skin of the patient before the operation can be classified as a ‘medicament’?</w:t>
            </w:r>
          </w:p>
        </w:tc>
        <w:tc>
          <w:tcPr>
            <w:tcW w:w="8407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Apex Court held that the product in question can be safely classified as a</w:t>
            </w:r>
          </w:p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“medicament” which would fall under Chapter Heading 3003, a specific entry and not</w:t>
            </w:r>
          </w:p>
          <w:p w:rsidR="00A30DA7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under Chapter Sub-Heading 3402.90, a residuary entry.</w:t>
            </w:r>
          </w:p>
        </w:tc>
      </w:tr>
      <w:tr w:rsidR="00A30DA7" w:rsidRPr="00765326" w:rsidTr="00D4516D">
        <w:trPr>
          <w:trHeight w:val="183"/>
        </w:trPr>
        <w:tc>
          <w:tcPr>
            <w:tcW w:w="453" w:type="dxa"/>
          </w:tcPr>
          <w:p w:rsidR="00A30DA7" w:rsidRPr="00765326" w:rsidRDefault="00A30DA7" w:rsidP="004A50C7">
            <w:pPr>
              <w:jc w:val="both"/>
            </w:pPr>
            <w:r w:rsidRPr="00765326">
              <w:t>14</w:t>
            </w:r>
          </w:p>
        </w:tc>
        <w:tc>
          <w:tcPr>
            <w:tcW w:w="3057" w:type="dxa"/>
          </w:tcPr>
          <w:p w:rsidR="00A30DA7" w:rsidRPr="00765326" w:rsidRDefault="001055A9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Connaught Plaza Restaurant (Pvt) Ltd. 2012</w:t>
            </w:r>
          </w:p>
        </w:tc>
        <w:tc>
          <w:tcPr>
            <w:tcW w:w="3563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the ‘soft serve’ served at McDonalds India be classified as “ice cream” for the</w:t>
            </w:r>
          </w:p>
          <w:p w:rsidR="00A30DA7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purpose of levying excise duty?</w:t>
            </w:r>
          </w:p>
        </w:tc>
        <w:tc>
          <w:tcPr>
            <w:tcW w:w="8407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In the light of the aforesaid discussion, the Apex Court held that ‘soft serve’</w:t>
            </w:r>
          </w:p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was classifiable under Heading 21.05 as “ice cream” and not under Heading 04.04 as</w:t>
            </w:r>
          </w:p>
          <w:p w:rsidR="00A30DA7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“other dairy produce”.</w:t>
            </w:r>
          </w:p>
        </w:tc>
      </w:tr>
      <w:tr w:rsidR="001055A9" w:rsidRPr="00765326" w:rsidTr="00D4516D">
        <w:trPr>
          <w:trHeight w:val="183"/>
        </w:trPr>
        <w:tc>
          <w:tcPr>
            <w:tcW w:w="453" w:type="dxa"/>
          </w:tcPr>
          <w:p w:rsidR="001055A9" w:rsidRPr="00765326" w:rsidRDefault="001055A9" w:rsidP="004A50C7">
            <w:pPr>
              <w:jc w:val="both"/>
            </w:pPr>
            <w:r w:rsidRPr="00765326">
              <w:t>15</w:t>
            </w:r>
          </w:p>
        </w:tc>
        <w:tc>
          <w:tcPr>
            <w:tcW w:w="3057" w:type="dxa"/>
          </w:tcPr>
          <w:p w:rsidR="001055A9" w:rsidRPr="00765326" w:rsidRDefault="001055A9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Super Synotex (India) Ltd. 2014</w:t>
            </w:r>
          </w:p>
        </w:tc>
        <w:tc>
          <w:tcPr>
            <w:tcW w:w="3563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Is the amount of sales tax/VAT collected by the assessee and retained with him in</w:t>
            </w:r>
          </w:p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accordance with any State Sales Tax Incentive Scheme, includible in the</w:t>
            </w:r>
          </w:p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assessable value for payment of excise duty?</w:t>
            </w:r>
          </w:p>
        </w:tc>
        <w:tc>
          <w:tcPr>
            <w:tcW w:w="8407" w:type="dxa"/>
          </w:tcPr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Apex Court held that such retained amount has to be treated as the price</w:t>
            </w:r>
          </w:p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of the goods under the basic fundamental conception of "transaction value" as</w:t>
            </w:r>
          </w:p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substituted with effect from 1.7.2000 and therefore, the assessee is bound to pay excise</w:t>
            </w:r>
          </w:p>
          <w:p w:rsidR="001055A9" w:rsidRPr="00765326" w:rsidRDefault="001055A9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duty on the said sum.</w:t>
            </w:r>
          </w:p>
        </w:tc>
      </w:tr>
      <w:tr w:rsidR="001055A9" w:rsidRPr="00765326" w:rsidTr="00D4516D">
        <w:trPr>
          <w:trHeight w:val="183"/>
        </w:trPr>
        <w:tc>
          <w:tcPr>
            <w:tcW w:w="453" w:type="dxa"/>
          </w:tcPr>
          <w:p w:rsidR="001055A9" w:rsidRPr="00765326" w:rsidRDefault="00AF64D1" w:rsidP="004A50C7">
            <w:pPr>
              <w:jc w:val="both"/>
            </w:pPr>
            <w:r w:rsidRPr="00765326">
              <w:t>16</w:t>
            </w:r>
          </w:p>
        </w:tc>
        <w:tc>
          <w:tcPr>
            <w:tcW w:w="3057" w:type="dxa"/>
          </w:tcPr>
          <w:p w:rsidR="001055A9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Tata Motors Ltd. 2012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the pre-delivery inspection (PDI) and free after sales services charges be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included in the transaction value when they are not charged by the assessee to the</w:t>
            </w:r>
          </w:p>
          <w:p w:rsidR="001055A9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buyer?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In the light of the above discussion, the High Court held that Clause No. 7 of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Circular dated 1</w:t>
            </w:r>
            <w:r w:rsidRPr="00765326">
              <w:rPr>
                <w:rFonts w:cs="Arial Narrow"/>
                <w:sz w:val="14"/>
                <w:szCs w:val="14"/>
              </w:rPr>
              <w:t xml:space="preserve">st </w:t>
            </w:r>
            <w:r w:rsidRPr="00765326">
              <w:rPr>
                <w:rFonts w:cs="Arial Narrow"/>
              </w:rPr>
              <w:t>July, 2002 and Circular dated 12</w:t>
            </w:r>
            <w:r w:rsidRPr="00765326">
              <w:rPr>
                <w:rFonts w:cs="Arial Narrow"/>
                <w:sz w:val="14"/>
                <w:szCs w:val="14"/>
              </w:rPr>
              <w:t xml:space="preserve">th </w:t>
            </w:r>
            <w:r w:rsidRPr="00765326">
              <w:rPr>
                <w:rFonts w:cs="Arial Narrow"/>
              </w:rPr>
              <w:t>December, 2002 (where it affirms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earlier circular dated 1</w:t>
            </w:r>
            <w:r w:rsidRPr="00765326">
              <w:rPr>
                <w:rFonts w:cs="Arial Narrow"/>
                <w:sz w:val="14"/>
                <w:szCs w:val="14"/>
              </w:rPr>
              <w:t xml:space="preserve">st </w:t>
            </w:r>
            <w:r w:rsidRPr="00765326">
              <w:rPr>
                <w:rFonts w:cs="Arial Narrow"/>
              </w:rPr>
              <w:t>July, 2002) were not in conformity with the provisions of section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 Narrow"/>
              </w:rPr>
              <w:t xml:space="preserve">4(1)(a) read with section 4(3)(d) of the Central Excise Act, 1944. Further, </w:t>
            </w:r>
            <w:r w:rsidRPr="00765326">
              <w:rPr>
                <w:rFonts w:cs="Arial"/>
                <w:bCs/>
              </w:rPr>
              <w:t>as per section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4(3)(d), the PDI and free after sales services charges could be included in the</w:t>
            </w:r>
          </w:p>
          <w:p w:rsidR="001055A9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"/>
                <w:bCs/>
              </w:rPr>
              <w:t>transaction value only when they were charged by the assessee to the buyer</w:t>
            </w:r>
            <w:r w:rsidRPr="00765326">
              <w:rPr>
                <w:rFonts w:cs="Arial Narrow"/>
              </w:rPr>
              <w:t>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17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Prag Bosimi Synthetics Ltd. 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CENVAT credit of duties, other than National Calamity Contingent Duty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(NCCD), be used to pay NCCD?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held that merely because CENVAT credit in respect of NCCD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can be utilized only for payment of NCCD, it does not lead to the conclusion that credit of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any other duty cannot be utilized for payment of NCCD.</w:t>
            </w:r>
          </w:p>
        </w:tc>
      </w:tr>
      <w:tr w:rsidR="00AF64D1" w:rsidRPr="00765326" w:rsidTr="00D4516D">
        <w:trPr>
          <w:trHeight w:val="917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18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KCP Ltd. 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CENVAT credit be availed on machineries purchased for being used in setting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lastRenderedPageBreak/>
              <w:t>up a sugar plant in foreign country when (i) the same are not used in the factory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premises and (ii) no duty is paid on final product viz., the sugar plant?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The Supreme Court held that CENVAT credit could not be allowed to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assessee as no duty was paid on sugar plant set up in a foreign country. Further, since the bought-out machinery was not used in the assessee’s factory premises,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necessary condition for availing CENVAT credit on capital goods could not be fulfilled.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lastRenderedPageBreak/>
              <w:t>19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Satish Industries 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wrongful availment of 100% CENVAT credit on capital goods in the year of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purchase be upheld if wrongly availed credit of 50% is not utilized in the said year?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held that if 50% CENVAT credit on capital goods pertaining to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subsequent financial year which had been wrongly availed in the first year had not been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not utilized till the commencement of the subsequent financial year, no prejudice was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caused to the Revenue and thus, the same could be upheld.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20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Flex Engineering Ltd. 2012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CENVAT credit of the testing material can be allowed when the testing is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critical to ensure the marketability of the product?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Court was, therefore, of the opinion that the manufacturing process in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present case got completed on testing of the said machines. Hence, the testing material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used for testing the packing machines were inputs used in relation to the manufacture of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final product and would be eligible for CENVAT credit.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21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Tata Advanced Materials Ltd. 2011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Is assessee required to reverse the CENVAT credit availed on capital goods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destroyed by fire when insurance company reimburses value of such capital goods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inclusive of excise duty?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held that merely because the insurance company paid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assessee the value of goods including the excise duty paid, that would not render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availment of the CENVAT credit wrong or irregular. Excise Department cannot demand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reversal of credit or payment of the said amount.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22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Ashok Kumar H. Fulwadhya2010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penalty can be imposed on the directors of the company for the wrong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CENVAT credit availed by the company?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Court held that the petitioners-directors of the company could not be said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to be manufacturer availing CENVAT credit and penalty cannot be imposed on them for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wrong CENVAT credit availed by the company.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23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Stelko Strips Ltd. 2010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CENVAT credit be taken on the basis of private challans?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held that MODVAT credit could be taken on the strength of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private challans as the same were not found to be fake and there was a proper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certification that duty had been paid.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24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Cadila Healthcare Ltd. 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(i) technical testing and analysis services availed by the assessee for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lastRenderedPageBreak/>
              <w:t>testing of clinical samples prior to commencement of commercial production and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(ii) services of commission agent are eligible input services for claiming CENVAT?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The High Court held that technical testing and analysis services availed for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testing of clinical samples prior to commencement of commercial production were directly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related to the manufacture of the final product and hence, were input services eligible for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CENVAT credit.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With respect to the services provided by foreign commission agents, the High Court held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that since the agents were directly concerned with sales rather than sales promotion,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services provided by them were not covered in main or inclusive part of definition of input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service as provided in rule 2(l) of the CENVAT Credit Rules, 2004.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lastRenderedPageBreak/>
              <w:t>25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Sintex Industries Ltd. 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Will two units of a manufacturer surrounded by a common boundary wall be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considered as one factory for the purpose of CENVAT credit, if they have separate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central excise registrations?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held that credit could be availed on eligible inputs utilized in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generation of electricity only to the extent the same were used to produce electricity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within the factory registered for that purpose (textile division). However, credit on inputs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utilized to produce electricity which was supplied to a factory registered as a different unit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(plastic division) would not be allowed. The High Court rejected the contention of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assessee that separate registration of two units situated within a common boundary wall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would not make them two different factories.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26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UM Cables Limited2013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export rebate claim be denied merely for non-production of original and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duplicate copies of ARE-1 when evidence for export of goods is available?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Court, therefore, held that the procedure cannot be raised to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level of a mandatory requirement. Rule 18 itself makes a distinction between conditions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and limitations subject to which a rebate can be granted and the procedure governing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grant of a rebate. It was held by the High Court that while the conditions and limitations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for the grant of rebate are mandatory, matters of procedure are directory.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 xml:space="preserve">The High Court ruled that non-production of ARE-1 forms </w:t>
            </w:r>
            <w:r w:rsidRPr="00765326">
              <w:rPr>
                <w:rFonts w:cs="Arial"/>
                <w:iCs/>
              </w:rPr>
              <w:t xml:space="preserve">ipso facto </w:t>
            </w:r>
            <w:r w:rsidRPr="00765326">
              <w:rPr>
                <w:rFonts w:cs="Arial Narrow"/>
              </w:rPr>
              <w:t>cannot invalidate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rebate claim. In such a case, exporter can demonstrate by cogent evidence that goods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were exported and duty paid and satisfy the requirements of rule 18 of Central Excise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 xml:space="preserve">Rules, 2002 read with </w:t>
            </w:r>
            <w:r w:rsidRPr="00765326">
              <w:rPr>
                <w:rFonts w:cs="Arial"/>
                <w:iCs/>
              </w:rPr>
              <w:t>Notification No. 19/2004 CE (NT)</w:t>
            </w:r>
            <w:r w:rsidRPr="00765326">
              <w:rPr>
                <w:rFonts w:cs="Arial Narrow"/>
              </w:rPr>
              <w:t>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27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Rajasthan Textile Mills2013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In case of export of goods under rule 18 of the Central Excise Rules, 2002, is it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possible to claim rebate of duty paid on excisable goods as well rebate of duty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paid on materials used in the manufacture or processing of such goods?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Under rule 18 of the Central Excise Rules, 2002, grant of rebate of duty paid is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available either on excisable goods or on materials used in the manufacture or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processing of such goods i.e. on raw material. Thus, it is open to claim the benefit of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rebate either on manufactured/finished goods or on raw material, but not on both.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28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Delphi Automotive Systems Ltd. 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penalty under section 11AC of the Central Excise Act, 1944 be imposed in a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lastRenderedPageBreak/>
              <w:t>case where there are divergent judicial pronouncements on an issue and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assessee chooses to follow one of those pronouncements?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 xml:space="preserve">The High Court held that </w:t>
            </w:r>
            <w:r w:rsidRPr="00765326">
              <w:rPr>
                <w:rFonts w:cs="Arial"/>
                <w:iCs/>
              </w:rPr>
              <w:t xml:space="preserve">mens rea </w:t>
            </w:r>
            <w:r w:rsidRPr="00765326">
              <w:rPr>
                <w:rFonts w:cs="Arial Narrow"/>
              </w:rPr>
              <w:t>(guilty mind) is an essential part for levy of penalty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under section 11AC of the Central Excise Act, 1944. Where a provision of statute is not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clear and there are divergent judicial pronouncements, it cannot be said that there is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"/>
                <w:iCs/>
              </w:rPr>
              <w:lastRenderedPageBreak/>
              <w:t xml:space="preserve">mens rea </w:t>
            </w:r>
            <w:r w:rsidRPr="00765326">
              <w:rPr>
                <w:rFonts w:cs="Arial Narrow"/>
              </w:rPr>
              <w:t>on the part of the assessee if he chooses to follow his course of action in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light of one of the judicial pronouncements.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lastRenderedPageBreak/>
              <w:t>29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Hans Steel Rolling Mill2011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time-limit under section 11A of the Central Excise Act, 1944 is applicable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to recovery of amounts due under compounded levy scheme?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Hence, the Supreme Court held that the time-limit under section 11A of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Central Excise Act, 1944 is not applicable to recovery of dues under compounded levy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scheme.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30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Jay Kumar Lohani2012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In a case where the assessee has been issued a show cause notice (SCN)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regarding confiscation, is it necessary that only when such SCN is adjudicated,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the SCN regarding recovery of dues and penalty be issued?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held that there was no legal provision requiring authorities to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first adjudicate the notice issued regarding confiscation and, only thereafter, issue show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cause notice for recovery of dues and penalty.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31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Castrol India Ltd. 2012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Appellate Authorities or Courts permit the assessee to pay reduced penalty of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25% beyond the time prescribed under section 11AC?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In the light of the aforesaid discussion, the High Court held that Tribunal could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not permit the assessee to pay 25% penalty beyond the time prescribed under the first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and second proviso to erstwhile section 11AC [now section 11AC(1)(c)].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32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Balaji Trading Co. 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In a case where the manufacturer clandestinely removes the goods and stores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them with a firm for further sales, can penalty under rule 25 of the Central Excise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Rules, 2002 be imposed on such firm?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Department aggrieved by the said order filed an appeal with High Court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wherein it contended that clause (c) of rule 25(1) of the Central Excise Rules, 2002 would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be applicable in the instant case. However, High Court concurred with the view of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Tribunal and concluded that rule 25(1)(c) would have no application in the present case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because said clause would also apply only in respect of four categories of persons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mentioned in rule 25(1) of said rules.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33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Nanumal Glass Works2012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a decision pronounced in the open court in the presence of the advocate of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lastRenderedPageBreak/>
              <w:t>the assessee, be deemed to be the service of the order to the assessee?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The High Court held that when a decision is pronounced in the open court in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presence of the advocate of the assessee, who is the authorized agent of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assessee within the meaning of section 37C, the date of pronouncement of order would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be deemed to be the date of service of order.</w:t>
            </w:r>
          </w:p>
        </w:tc>
      </w:tr>
      <w:tr w:rsidR="00AF64D1" w:rsidRPr="00765326" w:rsidTr="00D4516D">
        <w:trPr>
          <w:trHeight w:val="1187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lastRenderedPageBreak/>
              <w:t>34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ICMC Corporation Ltd. 2014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filing of refund claim under section 11B of Central Excise Act, 1944 is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 xml:space="preserve">required in case of </w:t>
            </w:r>
            <w:r w:rsidRPr="00765326">
              <w:rPr>
                <w:rFonts w:cs="Arial"/>
                <w:bCs/>
                <w:iCs/>
              </w:rPr>
              <w:t xml:space="preserve">suo motu </w:t>
            </w:r>
            <w:r w:rsidRPr="00765326">
              <w:rPr>
                <w:rFonts w:cs="Arial"/>
                <w:bCs/>
              </w:rPr>
              <w:t>availment of CENVAT credit which was reversed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earlier (i.e., the debit in the CENVAT Account is not made towards any duty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payment)?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held that this process involves only an account entry reversal and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factually there is no outflow of funds from the assessee by way of payment of duty.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Thus, filing of refund claim under section 11B of the Central Excise Act, 1944 is not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required. Further, it held that on a technical adjustment made, the question of unjust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enrichment as a concept does not arise.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35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Superintending Engineer TNEB 2014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Does the principle of unjust enrichment apply to State Undertakings?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followed the decision of the Apex Court and held that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concept of unjust enrichment is not applicable as far as State Undertakings are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concerned and to the State.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36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Khanapur Taluka Co-op. Shipping Mills Ltd.2013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In a case where an appeal against order-in-original of the adjudicating authority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has been dismissed by the appellate authorities as time-barred, can a writ petition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be filed to High Court against the order-in-original?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765326">
              <w:rPr>
                <w:rFonts w:cs="Arial Narrow"/>
              </w:rPr>
              <w:t xml:space="preserve">The High Court referred to the case of </w:t>
            </w:r>
            <w:r w:rsidRPr="00765326">
              <w:rPr>
                <w:rFonts w:cs="Arial"/>
                <w:iCs/>
              </w:rPr>
              <w:t>Raj Chemicals v. UOI 2013 (287) ELT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"/>
                <w:iCs/>
              </w:rPr>
              <w:t xml:space="preserve">145 (Bom.) </w:t>
            </w:r>
            <w:r w:rsidRPr="00765326">
              <w:rPr>
                <w:rFonts w:cs="Arial Narrow"/>
              </w:rPr>
              <w:t>wherein it held that where the appeal filed against the order-in-original was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dismissed as time-barred, the High Court in exercise of writ jurisdiction could neither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direct the appellate authority to condone the delay nor interfere with the order passed by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adjudicating authority. Consequently, it refused to entertain the writ petition in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instant case.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37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Texcellence Overseas2013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the High Court condone the delay - beyond the statutory period of three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months prescribed under section 35 of the Central Excise Act, 1944 - in filing an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appeal before the Commissioner (Appeals)?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opined that since the total length of delay was very small and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case had extremely good ground on merits to sustain, its non interference at that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stage would cause gross injustice to the petitioner. Thus, the High Court, by invoking its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extraordinary jurisdiction, quashed the order which held that refund was erroneously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granted. The High Court held that such powers are required to be exercised very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sparingly and in extraordinary circumstances in appropriate cases, where otherwise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Court would fail in its duty if such powers are not invoked.</w:t>
            </w:r>
          </w:p>
        </w:tc>
      </w:tr>
      <w:tr w:rsidR="00AF64D1" w:rsidRPr="00765326" w:rsidTr="00D4516D">
        <w:trPr>
          <w:trHeight w:val="183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t>38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Habib Agro Industries2013</w:t>
            </w:r>
          </w:p>
        </w:tc>
        <w:tc>
          <w:tcPr>
            <w:tcW w:w="3563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delay in filing appeal to CESTAT for the reason that the authorised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 xml:space="preserve">representative dealing with the case </w:t>
            </w:r>
            <w:r w:rsidRPr="00765326">
              <w:rPr>
                <w:rFonts w:cs="Arial"/>
                <w:bCs/>
              </w:rPr>
              <w:lastRenderedPageBreak/>
              <w:t>went on a foreign trip and on his return his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mother expired, be condoned?</w:t>
            </w:r>
          </w:p>
        </w:tc>
        <w:tc>
          <w:tcPr>
            <w:tcW w:w="8407" w:type="dxa"/>
          </w:tcPr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The High Court observed that there did not appear to be any deliberate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latches or neglect on the part of the authorised representative to file the appeal. It held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that the reason for delay in filing appeal to CESTAT, that the person dealing with the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case went on a foreign trip and on his return his mother expired, could not be considered</w:t>
            </w:r>
          </w:p>
          <w:p w:rsidR="00AF64D1" w:rsidRPr="00765326" w:rsidRDefault="00AF64D1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as unreasonable for condonation of delay.</w:t>
            </w:r>
          </w:p>
        </w:tc>
      </w:tr>
      <w:tr w:rsidR="00AF64D1" w:rsidRPr="00765326" w:rsidTr="00D4516D">
        <w:trPr>
          <w:trHeight w:val="332"/>
        </w:trPr>
        <w:tc>
          <w:tcPr>
            <w:tcW w:w="453" w:type="dxa"/>
          </w:tcPr>
          <w:p w:rsidR="00AF64D1" w:rsidRPr="00765326" w:rsidRDefault="00AF64D1" w:rsidP="004A50C7">
            <w:pPr>
              <w:jc w:val="both"/>
            </w:pPr>
            <w:r w:rsidRPr="00765326">
              <w:lastRenderedPageBreak/>
              <w:t>39</w:t>
            </w:r>
          </w:p>
        </w:tc>
        <w:tc>
          <w:tcPr>
            <w:tcW w:w="3057" w:type="dxa"/>
          </w:tcPr>
          <w:p w:rsidR="00AF64D1" w:rsidRPr="00765326" w:rsidRDefault="00AF64D1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Tikitar Industries, 2012</w:t>
            </w:r>
          </w:p>
        </w:tc>
        <w:tc>
          <w:tcPr>
            <w:tcW w:w="3563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If Revenue accepts judgment of the Commissioner (Appeals) on an issue for one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period, can it be precluded to make an appeal on the same issue for another</w:t>
            </w:r>
          </w:p>
          <w:p w:rsidR="00AF64D1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period?</w:t>
            </w:r>
          </w:p>
        </w:tc>
        <w:tc>
          <w:tcPr>
            <w:tcW w:w="8407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Supreme Court held that since the Revenue had not questioned the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correctness or otherwise of the findings on the conclusion reached by the first appellate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authority, it might not be open for the Revenue to contend this issue further by issuing</w:t>
            </w:r>
          </w:p>
          <w:p w:rsidR="00AF64D1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impugned show cause notices on the same issue for further periods.</w:t>
            </w:r>
          </w:p>
        </w:tc>
      </w:tr>
      <w:tr w:rsidR="004A50C7" w:rsidRPr="00765326" w:rsidTr="00D4516D">
        <w:trPr>
          <w:trHeight w:val="183"/>
        </w:trPr>
        <w:tc>
          <w:tcPr>
            <w:tcW w:w="453" w:type="dxa"/>
          </w:tcPr>
          <w:p w:rsidR="004A50C7" w:rsidRPr="00765326" w:rsidRDefault="004A50C7" w:rsidP="004A50C7">
            <w:pPr>
              <w:jc w:val="both"/>
            </w:pPr>
            <w:r w:rsidRPr="00765326">
              <w:t>40</w:t>
            </w:r>
          </w:p>
        </w:tc>
        <w:tc>
          <w:tcPr>
            <w:tcW w:w="3057" w:type="dxa"/>
          </w:tcPr>
          <w:p w:rsidR="004A50C7" w:rsidRPr="00765326" w:rsidRDefault="004A50C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RDC Concrete (India) Pvt. Ltd. 2011</w:t>
            </w:r>
          </w:p>
        </w:tc>
        <w:tc>
          <w:tcPr>
            <w:tcW w:w="3563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re-appreciation of evidence by CESTAT be considered to be rectification of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mistake apparent on record under section 35C(2) of the Central Excise Act, 1944?</w:t>
            </w:r>
          </w:p>
        </w:tc>
        <w:tc>
          <w:tcPr>
            <w:tcW w:w="8407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Apex Court held that CESTAT had reconsidered its legal view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as it concluded differently by accepting the arguments which it had rejected earlier.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Hence, the Court opined that CESTAT exceeded its powers under section 35C(2) of the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Act. In pursuance of a rectification application, it cannot re-appreciate the evidence and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reconsider its legal view taken earlier.</w:t>
            </w:r>
          </w:p>
        </w:tc>
      </w:tr>
      <w:tr w:rsidR="004A50C7" w:rsidRPr="00765326" w:rsidTr="00D4516D">
        <w:trPr>
          <w:trHeight w:val="183"/>
        </w:trPr>
        <w:tc>
          <w:tcPr>
            <w:tcW w:w="453" w:type="dxa"/>
          </w:tcPr>
          <w:p w:rsidR="004A50C7" w:rsidRPr="00765326" w:rsidRDefault="004A50C7" w:rsidP="004A50C7">
            <w:pPr>
              <w:jc w:val="both"/>
            </w:pPr>
            <w:r w:rsidRPr="00765326">
              <w:t>41</w:t>
            </w:r>
          </w:p>
        </w:tc>
        <w:tc>
          <w:tcPr>
            <w:tcW w:w="3057" w:type="dxa"/>
          </w:tcPr>
          <w:p w:rsidR="004A50C7" w:rsidRPr="00765326" w:rsidRDefault="004A50C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Xenon 2013</w:t>
            </w:r>
          </w:p>
        </w:tc>
        <w:tc>
          <w:tcPr>
            <w:tcW w:w="3563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Where clearances of a dubious company are clubbed with clearances of the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original company, whether penalty can be imposed on such dubious company if all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the clearances have been made by the original company?</w:t>
            </w:r>
          </w:p>
        </w:tc>
        <w:tc>
          <w:tcPr>
            <w:tcW w:w="8407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 held that when it had been established that dubious company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did not undertake any transactions, penalty could not be levied on the same for the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transactions undertaken by the original company. The High Court emphasized that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penalty could not be imposed upon the company who did not undertake any transaction.</w:t>
            </w:r>
          </w:p>
        </w:tc>
      </w:tr>
      <w:tr w:rsidR="004A50C7" w:rsidRPr="00765326" w:rsidTr="00D4516D">
        <w:trPr>
          <w:trHeight w:val="2060"/>
        </w:trPr>
        <w:tc>
          <w:tcPr>
            <w:tcW w:w="453" w:type="dxa"/>
          </w:tcPr>
          <w:p w:rsidR="004A50C7" w:rsidRPr="00765326" w:rsidRDefault="004A50C7" w:rsidP="004A50C7">
            <w:pPr>
              <w:jc w:val="both"/>
            </w:pPr>
            <w:r w:rsidRPr="00765326">
              <w:t>42</w:t>
            </w:r>
          </w:p>
        </w:tc>
        <w:tc>
          <w:tcPr>
            <w:tcW w:w="3057" w:type="dxa"/>
          </w:tcPr>
          <w:p w:rsidR="004A50C7" w:rsidRPr="00765326" w:rsidRDefault="004A50C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Elex Knitting Machinery Co. 2010</w:t>
            </w:r>
          </w:p>
        </w:tc>
        <w:tc>
          <w:tcPr>
            <w:tcW w:w="3563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Can the brand name of another firm in which the assessee is a partner be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considered as the brand name belonging to the assessee for the purpose of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claiming SSI exemption?</w:t>
            </w:r>
          </w:p>
        </w:tc>
        <w:tc>
          <w:tcPr>
            <w:tcW w:w="8407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Tribunal held that since the assessee was a partner in the firm of whose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brand name it was using, he was the co-owner of such brand name. Hence, he could not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be said to have used the brand name of another person, in the manufacture and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clearance of goods in his individual capacity. Thus, assessee was eligible for benefit of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SSI exemption in the given case.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said decision of the Tribunal was affirmed by the High Court in the instant case.</w:t>
            </w:r>
          </w:p>
        </w:tc>
      </w:tr>
      <w:tr w:rsidR="004A50C7" w:rsidRPr="00765326" w:rsidTr="00D4516D">
        <w:trPr>
          <w:trHeight w:val="183"/>
        </w:trPr>
        <w:tc>
          <w:tcPr>
            <w:tcW w:w="453" w:type="dxa"/>
          </w:tcPr>
          <w:p w:rsidR="004A50C7" w:rsidRPr="00765326" w:rsidRDefault="004A50C7" w:rsidP="004A50C7">
            <w:pPr>
              <w:jc w:val="both"/>
            </w:pPr>
            <w:r w:rsidRPr="00765326">
              <w:t>43</w:t>
            </w:r>
          </w:p>
        </w:tc>
        <w:tc>
          <w:tcPr>
            <w:tcW w:w="3057" w:type="dxa"/>
          </w:tcPr>
          <w:p w:rsidR="004A50C7" w:rsidRPr="00765326" w:rsidRDefault="004A50C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Deora Engineering Works 2010</w:t>
            </w:r>
          </w:p>
        </w:tc>
        <w:tc>
          <w:tcPr>
            <w:tcW w:w="3563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the clearances of two firms with common brand name, common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 xml:space="preserve">management, accounts etc. and </w:t>
            </w:r>
            <w:r w:rsidRPr="00765326">
              <w:rPr>
                <w:rFonts w:cs="Arial"/>
                <w:bCs/>
              </w:rPr>
              <w:lastRenderedPageBreak/>
              <w:t>goods being manufactured in the same factory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premises, can be clubbed for the purposes of SSI exemption?</w:t>
            </w:r>
          </w:p>
        </w:tc>
        <w:tc>
          <w:tcPr>
            <w:tcW w:w="8407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The High Court held that indisputably, in the instant case, the partners of both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 Narrow"/>
              </w:rPr>
              <w:t xml:space="preserve">the firms were common and belonged to same family. </w:t>
            </w:r>
            <w:r w:rsidRPr="00765326">
              <w:rPr>
                <w:rFonts w:cs="Arial"/>
                <w:bCs/>
              </w:rPr>
              <w:t>They were manufacturing and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"/>
                <w:bCs/>
              </w:rPr>
              <w:t xml:space="preserve">clearing the goods by the common brand name, manufactured in the same factory </w:t>
            </w:r>
            <w:r w:rsidRPr="00765326">
              <w:rPr>
                <w:rFonts w:cs="Arial"/>
                <w:bCs/>
              </w:rPr>
              <w:lastRenderedPageBreak/>
              <w:t xml:space="preserve">premises, with common management and accounts etc. </w:t>
            </w:r>
            <w:r w:rsidRPr="00765326">
              <w:rPr>
                <w:rFonts w:cs="Arial Narrow"/>
              </w:rPr>
              <w:t>Therefore, High Court was of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 Narrow"/>
              </w:rPr>
              <w:t xml:space="preserve">the considered view that </w:t>
            </w:r>
            <w:r w:rsidRPr="00765326">
              <w:rPr>
                <w:rFonts w:cs="Arial"/>
                <w:bCs/>
              </w:rPr>
              <w:t>the clearance of the common goods under the same brand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"/>
                <w:bCs/>
              </w:rPr>
              <w:t>name manufactured by both the firms had been rightly clubbed</w:t>
            </w:r>
            <w:r w:rsidRPr="00765326">
              <w:rPr>
                <w:rFonts w:cs="Arial Narrow"/>
              </w:rPr>
              <w:t>.</w:t>
            </w:r>
          </w:p>
        </w:tc>
      </w:tr>
      <w:tr w:rsidR="004A50C7" w:rsidRPr="00765326" w:rsidTr="00D4516D">
        <w:trPr>
          <w:trHeight w:val="183"/>
        </w:trPr>
        <w:tc>
          <w:tcPr>
            <w:tcW w:w="453" w:type="dxa"/>
          </w:tcPr>
          <w:p w:rsidR="004A50C7" w:rsidRPr="00765326" w:rsidRDefault="004A50C7" w:rsidP="004A50C7">
            <w:pPr>
              <w:jc w:val="both"/>
            </w:pPr>
            <w:r w:rsidRPr="00765326">
              <w:lastRenderedPageBreak/>
              <w:t>44</w:t>
            </w:r>
          </w:p>
        </w:tc>
        <w:tc>
          <w:tcPr>
            <w:tcW w:w="3057" w:type="dxa"/>
          </w:tcPr>
          <w:p w:rsidR="004A50C7" w:rsidRPr="00765326" w:rsidRDefault="004A50C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Australian Foods India (P) Ltd 2013</w:t>
            </w:r>
          </w:p>
        </w:tc>
        <w:tc>
          <w:tcPr>
            <w:tcW w:w="3563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the manufacture and sale of specified goods, not physically bearing a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brand name, from branded sale outlets would disentitle an assessee to avail the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benefit of small scale exemption?</w:t>
            </w:r>
          </w:p>
        </w:tc>
        <w:tc>
          <w:tcPr>
            <w:tcW w:w="8407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Supreme Court held that it is not necessary for goods to be stamped with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 trade or brand name to be considered as branded goods for the purpose of SSI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exemption. A scrutiny of the surrounding circumstances is not only permissible, but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necessary to decipher the same; the most important of these factors being the specific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outlet from which the good is sold. However, such factors would carry different hues in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different scenarios. There can be no single formula to determine if a good is branded or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not; such determination would vary from case to case.</w:t>
            </w:r>
          </w:p>
        </w:tc>
      </w:tr>
      <w:tr w:rsidR="004A50C7" w:rsidRPr="00765326" w:rsidTr="00D4516D">
        <w:trPr>
          <w:trHeight w:val="2807"/>
        </w:trPr>
        <w:tc>
          <w:tcPr>
            <w:tcW w:w="453" w:type="dxa"/>
          </w:tcPr>
          <w:p w:rsidR="004A50C7" w:rsidRPr="00765326" w:rsidRDefault="004A50C7" w:rsidP="004A50C7">
            <w:pPr>
              <w:jc w:val="both"/>
            </w:pPr>
            <w:r w:rsidRPr="00765326">
              <w:t>45</w:t>
            </w:r>
          </w:p>
        </w:tc>
        <w:tc>
          <w:tcPr>
            <w:tcW w:w="3057" w:type="dxa"/>
          </w:tcPr>
          <w:p w:rsidR="004A50C7" w:rsidRPr="00765326" w:rsidRDefault="004A50C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S &amp; S Power Switch Gear Ltd.2013</w:t>
            </w:r>
          </w:p>
        </w:tc>
        <w:tc>
          <w:tcPr>
            <w:tcW w:w="3563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Where a circular issued under section 37B of the Central Excise Act, 1944 clarifies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 classification issue, can a demand alleging misclassification be raised under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section 11A of the Act for a period prior to the date of the said circular?</w:t>
            </w:r>
          </w:p>
        </w:tc>
        <w:tc>
          <w:tcPr>
            <w:tcW w:w="8407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High Court, thus, held that once reclassification Notification/Circular is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issued, the Revenue cannot invoke section 11A of the Act to make demand for a period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prior to the date of said classification notification/circular.</w:t>
            </w:r>
          </w:p>
        </w:tc>
      </w:tr>
      <w:tr w:rsidR="004A50C7" w:rsidRPr="00765326" w:rsidTr="00D4516D">
        <w:trPr>
          <w:trHeight w:val="3158"/>
        </w:trPr>
        <w:tc>
          <w:tcPr>
            <w:tcW w:w="453" w:type="dxa"/>
          </w:tcPr>
          <w:p w:rsidR="004A50C7" w:rsidRPr="00765326" w:rsidRDefault="004A50C7" w:rsidP="004A50C7">
            <w:pPr>
              <w:jc w:val="both"/>
            </w:pPr>
            <w:r w:rsidRPr="00765326">
              <w:t>46</w:t>
            </w:r>
          </w:p>
        </w:tc>
        <w:tc>
          <w:tcPr>
            <w:tcW w:w="3057" w:type="dxa"/>
          </w:tcPr>
          <w:p w:rsidR="004A50C7" w:rsidRPr="00765326" w:rsidRDefault="004A50C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Vadilal Gases Limited v Union of India 2014</w:t>
            </w:r>
          </w:p>
        </w:tc>
        <w:tc>
          <w:tcPr>
            <w:tcW w:w="3563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(i) Where a settlement application filed under section 32E(1) of the Central Excise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Act, 1944 (herein after referred to as ‘Act’) is not accompanied with the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additional amount of excise duty along with interest due, can Settlement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Commission pass a final order under section 32F(1) rejecting the application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and abating the proceedings before it ?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lastRenderedPageBreak/>
              <w:t>(ii) In the above case, whether a second application filed under section 32E(1),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after payment of additional excise duty along with interest, would be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maintainable?</w:t>
            </w:r>
          </w:p>
        </w:tc>
        <w:tc>
          <w:tcPr>
            <w:tcW w:w="8407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lastRenderedPageBreak/>
              <w:t>High Court held that since the earlier application was dismissed on technical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defect for non-compliance of the provisions of clause (d) of the proviso to section 32E(1)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of the Act and the same was not considered and decided on merits, the second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application filed after depositing the additional excise duty and interest would be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maintainable.</w:t>
            </w:r>
          </w:p>
        </w:tc>
      </w:tr>
      <w:tr w:rsidR="004A50C7" w:rsidRPr="00765326" w:rsidTr="00D4516D">
        <w:trPr>
          <w:trHeight w:val="2528"/>
        </w:trPr>
        <w:tc>
          <w:tcPr>
            <w:tcW w:w="453" w:type="dxa"/>
          </w:tcPr>
          <w:p w:rsidR="004A50C7" w:rsidRPr="00765326" w:rsidRDefault="004A50C7" w:rsidP="004A50C7">
            <w:pPr>
              <w:jc w:val="both"/>
            </w:pPr>
            <w:r w:rsidRPr="00765326">
              <w:lastRenderedPageBreak/>
              <w:t>47</w:t>
            </w:r>
          </w:p>
        </w:tc>
        <w:tc>
          <w:tcPr>
            <w:tcW w:w="3057" w:type="dxa"/>
          </w:tcPr>
          <w:p w:rsidR="004A50C7" w:rsidRPr="00765326" w:rsidRDefault="004A50C7" w:rsidP="004A50C7">
            <w:pPr>
              <w:jc w:val="both"/>
              <w:rPr>
                <w:rFonts w:cs="Arial"/>
                <w:bCs/>
                <w:iCs/>
              </w:rPr>
            </w:pPr>
            <w:r w:rsidRPr="00765326">
              <w:rPr>
                <w:rFonts w:cs="Arial"/>
                <w:bCs/>
                <w:iCs/>
              </w:rPr>
              <w:t>Icon Industries2011</w:t>
            </w:r>
          </w:p>
        </w:tc>
        <w:tc>
          <w:tcPr>
            <w:tcW w:w="3563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Whether a consolidated return filed by the assessee after obtaining registration,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but for the period prior to obtaining registration, could be treated as a return under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</w:rPr>
            </w:pPr>
            <w:r w:rsidRPr="00765326">
              <w:rPr>
                <w:rFonts w:cs="Arial"/>
                <w:bCs/>
              </w:rPr>
              <w:t>clause (a) of first proviso to section 32E(1)?</w:t>
            </w:r>
          </w:p>
        </w:tc>
        <w:tc>
          <w:tcPr>
            <w:tcW w:w="8407" w:type="dxa"/>
          </w:tcPr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Considering the above discussion, the High Court rejected the submission of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petitioner that filing of consolidated return covering all the past periods would serve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the purpose. Hence, it held that the order passed by the Settlement Commission was</w:t>
            </w:r>
          </w:p>
          <w:p w:rsidR="004A50C7" w:rsidRPr="00765326" w:rsidRDefault="004A50C7" w:rsidP="004A50C7">
            <w:pPr>
              <w:autoSpaceDE w:val="0"/>
              <w:autoSpaceDN w:val="0"/>
              <w:adjustRightInd w:val="0"/>
              <w:jc w:val="both"/>
              <w:rPr>
                <w:rFonts w:cs="Arial Narrow"/>
              </w:rPr>
            </w:pPr>
            <w:r w:rsidRPr="00765326">
              <w:rPr>
                <w:rFonts w:cs="Arial Narrow"/>
              </w:rPr>
              <w:t>absolutely justifiable.</w:t>
            </w:r>
          </w:p>
        </w:tc>
      </w:tr>
    </w:tbl>
    <w:p w:rsidR="00E42A38" w:rsidRPr="00765326" w:rsidRDefault="00E42A38" w:rsidP="004A50C7">
      <w:pPr>
        <w:jc w:val="both"/>
      </w:pPr>
    </w:p>
    <w:sectPr w:rsidR="00E42A38" w:rsidRPr="00765326" w:rsidSect="00D4516D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350" w:right="1260" w:bottom="1440" w:left="1350" w:header="432" w:footer="28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B3C" w:rsidRDefault="00E37B3C" w:rsidP="004A50C7">
      <w:pPr>
        <w:spacing w:after="0" w:line="240" w:lineRule="auto"/>
      </w:pPr>
      <w:r>
        <w:separator/>
      </w:r>
    </w:p>
  </w:endnote>
  <w:endnote w:type="continuationSeparator" w:id="1">
    <w:p w:rsidR="00E37B3C" w:rsidRDefault="00E37B3C" w:rsidP="004A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9FD" w:rsidRPr="00FA19FD" w:rsidRDefault="004B4D3C" w:rsidP="00FA19FD">
    <w:pPr>
      <w:pStyle w:val="Footer"/>
    </w:pPr>
    <w:r>
      <w:rPr>
        <w:noProof/>
      </w:rPr>
      <w:pict>
        <v:group id="_x0000_s2065" style="position:absolute;margin-left:0;margin-top:0;width:532.9pt;height:53pt;z-index:251662336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6" type="#_x0000_t32" style="position:absolute;left:15;top:14415;width:10171;height:1057" o:connectortype="straight" strokecolor="#a7bfde [1620]"/>
          <v:oval id="_x0000_s2067" style="position:absolute;left:9657;top:14459;width:1016;height:1016" fillcolor="#a7bfde [1620]" stroked="f"/>
          <v:oval id="_x0000_s2068" style="position:absolute;left:9733;top:14568;width:908;height:904" fillcolor="#d3dfee [820]" stroked="f"/>
          <v:oval id="_x0000_s2069" style="position:absolute;left:9802;top:14688;width:783;height:784;v-text-anchor:middle" fillcolor="#7ba0cd [2420]" stroked="f">
            <v:textbox style="mso-next-textbox:#_x0000_s2069">
              <w:txbxContent>
                <w:p w:rsidR="00FA19FD" w:rsidRDefault="004B4D3C">
                  <w:pPr>
                    <w:pStyle w:val="Header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D4516D" w:rsidRPr="00D4516D">
                      <w:rPr>
                        <w:noProof/>
                        <w:color w:val="FFFFFF" w:themeColor="background1"/>
                      </w:rPr>
                      <w:t>9</w:t>
                    </w:r>
                  </w:fldSimple>
                </w:p>
              </w:txbxContent>
            </v:textbox>
          </v:oval>
          <w10:wrap anchorx="page" anchory="page"/>
        </v:group>
      </w:pict>
    </w:r>
    <w:r w:rsidR="00FA19FD">
      <w:t>EXCISE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CEE" w:rsidRDefault="004B4D3C">
    <w:pPr>
      <w:pStyle w:val="Footer"/>
    </w:pPr>
    <w:r>
      <w:rPr>
        <w:noProof/>
      </w:rPr>
      <w:pict>
        <v:group id="_x0000_s2076" style="position:absolute;margin-left:0;margin-top:0;width:532.9pt;height:53pt;z-index:251666432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7" type="#_x0000_t32" style="position:absolute;left:15;top:14415;width:10171;height:1057" o:connectortype="straight" strokecolor="#a7bfde [1620]"/>
          <v:oval id="_x0000_s2078" style="position:absolute;left:9657;top:14459;width:1016;height:1016" fillcolor="#a7bfde [1620]" stroked="f"/>
          <v:oval id="_x0000_s2079" style="position:absolute;left:9733;top:14568;width:908;height:904" fillcolor="#d3dfee [820]" stroked="f"/>
          <v:oval id="_x0000_s2080" style="position:absolute;left:9802;top:14688;width:783;height:784;v-text-anchor:middle" fillcolor="#7ba0cd [2420]" stroked="f">
            <v:textbox style="mso-next-textbox:#_x0000_s2080">
              <w:txbxContent>
                <w:p w:rsidR="00CF2CEE" w:rsidRDefault="004B4D3C">
                  <w:pPr>
                    <w:pStyle w:val="Header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D4516D" w:rsidRPr="00D4516D">
                      <w:rPr>
                        <w:noProof/>
                        <w:color w:val="FFFFFF" w:themeColor="background1"/>
                      </w:rPr>
                      <w:t>1</w:t>
                    </w:r>
                  </w:fldSimple>
                </w:p>
              </w:txbxContent>
            </v:textbox>
          </v:oval>
          <w10:wrap anchorx="page" anchory="page"/>
        </v:group>
      </w:pict>
    </w:r>
    <w:r w:rsidR="00CF2CEE">
      <w:t>EXCISE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B3C" w:rsidRDefault="00E37B3C" w:rsidP="004A50C7">
      <w:pPr>
        <w:spacing w:after="0" w:line="240" w:lineRule="auto"/>
      </w:pPr>
      <w:r>
        <w:separator/>
      </w:r>
    </w:p>
  </w:footnote>
  <w:footnote w:type="continuationSeparator" w:id="1">
    <w:p w:rsidR="00E37B3C" w:rsidRDefault="00E37B3C" w:rsidP="004A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CEE" w:rsidRDefault="00CF2CEE" w:rsidP="00CF2CEE">
    <w:pPr>
      <w:pStyle w:val="Header"/>
      <w:jc w:val="center"/>
    </w:pPr>
  </w:p>
  <w:p w:rsidR="00CF2CEE" w:rsidRPr="00765326" w:rsidRDefault="00CF2CEE" w:rsidP="00CF2CEE">
    <w:pPr>
      <w:pStyle w:val="Header"/>
      <w:jc w:val="center"/>
      <w:rPr>
        <w:b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2958861"/>
      <w:placeholder>
        <w:docPart w:val="4577201EBA7B412F8987EF212AD227A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63500" w:rsidRPr="00E63500" w:rsidRDefault="00E6350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E63500">
          <w:rPr>
            <w:rFonts w:asciiTheme="majorHAnsi" w:eastAsiaTheme="majorEastAsia" w:hAnsiTheme="majorHAnsi" w:cstheme="majorBidi"/>
            <w:b/>
            <w:sz w:val="32"/>
            <w:szCs w:val="32"/>
          </w:rPr>
          <w:t>IDT CASE LAWS</w:t>
        </w:r>
      </w:p>
    </w:sdtContent>
  </w:sdt>
  <w:p w:rsidR="00CF2CEE" w:rsidRPr="00E63500" w:rsidRDefault="00CF2CEE" w:rsidP="00CF2CEE">
    <w:pPr>
      <w:pStyle w:val="Header"/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  <o:rules v:ext="edit">
        <o:r id="V:Rule3" type="connector" idref="#_x0000_s2066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24E4B"/>
    <w:rsid w:val="000C441E"/>
    <w:rsid w:val="001055A9"/>
    <w:rsid w:val="002C2571"/>
    <w:rsid w:val="003D0446"/>
    <w:rsid w:val="004660DC"/>
    <w:rsid w:val="004A50C7"/>
    <w:rsid w:val="004B4D3C"/>
    <w:rsid w:val="006749A9"/>
    <w:rsid w:val="00765326"/>
    <w:rsid w:val="007F15A2"/>
    <w:rsid w:val="009266AA"/>
    <w:rsid w:val="00A30DA7"/>
    <w:rsid w:val="00AF64D1"/>
    <w:rsid w:val="00B91A25"/>
    <w:rsid w:val="00CF2CEE"/>
    <w:rsid w:val="00D4516D"/>
    <w:rsid w:val="00E24E4B"/>
    <w:rsid w:val="00E37B3C"/>
    <w:rsid w:val="00E42A38"/>
    <w:rsid w:val="00E63500"/>
    <w:rsid w:val="00ED1EA2"/>
    <w:rsid w:val="00F85EE3"/>
    <w:rsid w:val="00FA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5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0C7"/>
  </w:style>
  <w:style w:type="paragraph" w:styleId="Footer">
    <w:name w:val="footer"/>
    <w:basedOn w:val="Normal"/>
    <w:link w:val="FooterChar"/>
    <w:uiPriority w:val="99"/>
    <w:semiHidden/>
    <w:unhideWhenUsed/>
    <w:rsid w:val="004A5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50C7"/>
  </w:style>
  <w:style w:type="paragraph" w:styleId="BalloonText">
    <w:name w:val="Balloon Text"/>
    <w:basedOn w:val="Normal"/>
    <w:link w:val="BalloonTextChar"/>
    <w:uiPriority w:val="99"/>
    <w:semiHidden/>
    <w:unhideWhenUsed/>
    <w:rsid w:val="0067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77201EBA7B412F8987EF212AD22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ABFE0-904D-4CF1-8787-392E54C98515}"/>
      </w:docPartPr>
      <w:docPartBody>
        <w:p w:rsidR="003B3AA0" w:rsidRDefault="00501D9F" w:rsidP="00501D9F">
          <w:pPr>
            <w:pStyle w:val="4577201EBA7B412F8987EF212AD227A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26AD9"/>
    <w:rsid w:val="003B3AA0"/>
    <w:rsid w:val="00426AD9"/>
    <w:rsid w:val="00501D9F"/>
    <w:rsid w:val="005B4A60"/>
    <w:rsid w:val="00814914"/>
    <w:rsid w:val="00BD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9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9C4B7D1EF64FF4A6CDBA5E1DF05FA9">
    <w:name w:val="C39C4B7D1EF64FF4A6CDBA5E1DF05FA9"/>
    <w:rsid w:val="00426AD9"/>
  </w:style>
  <w:style w:type="paragraph" w:customStyle="1" w:styleId="E45E295E6E994F879ECC54D44F3C60E3">
    <w:name w:val="E45E295E6E994F879ECC54D44F3C60E3"/>
    <w:rsid w:val="00426AD9"/>
  </w:style>
  <w:style w:type="paragraph" w:customStyle="1" w:styleId="39F62D655A8745F4A3BC61D3F4131F8F">
    <w:name w:val="39F62D655A8745F4A3BC61D3F4131F8F"/>
    <w:rsid w:val="00426AD9"/>
  </w:style>
  <w:style w:type="paragraph" w:customStyle="1" w:styleId="1290BCB4E0064186A550A6002FED3C97">
    <w:name w:val="1290BCB4E0064186A550A6002FED3C97"/>
    <w:rsid w:val="00426AD9"/>
  </w:style>
  <w:style w:type="paragraph" w:customStyle="1" w:styleId="006B959D4CE54996AA8DC46612565B17">
    <w:name w:val="006B959D4CE54996AA8DC46612565B17"/>
    <w:rsid w:val="00426AD9"/>
  </w:style>
  <w:style w:type="paragraph" w:customStyle="1" w:styleId="4577201EBA7B412F8987EF212AD227A9">
    <w:name w:val="4577201EBA7B412F8987EF212AD227A9"/>
    <w:rsid w:val="00501D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2015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3923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IDT CASE LAWS</dc:title>
  <dc:subject/>
  <dc:creator>nsc</dc:creator>
  <cp:keywords/>
  <dc:description/>
  <cp:lastModifiedBy>nsc</cp:lastModifiedBy>
  <cp:revision>5</cp:revision>
  <dcterms:created xsi:type="dcterms:W3CDTF">2015-07-25T04:49:00Z</dcterms:created>
  <dcterms:modified xsi:type="dcterms:W3CDTF">2015-08-08T10:47:00Z</dcterms:modified>
</cp:coreProperties>
</file>