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6775" w:rsidRDefault="00B660F6" w:rsidP="00B660F6">
      <w:r>
        <w:t>Significant Notifications and Circulars of central excise issued between 1st May, 2015 and 31st October, 2015</w:t>
      </w:r>
    </w:p>
    <w:p w:rsidR="00B660F6" w:rsidRDefault="00B660F6" w:rsidP="00B660F6"/>
    <w:p w:rsidR="00B660F6" w:rsidRDefault="00B660F6" w:rsidP="00B660F6"/>
    <w:p w:rsidR="00B660F6" w:rsidRPr="001A464F" w:rsidRDefault="00B660F6" w:rsidP="00B660F6">
      <w:pPr>
        <w:rPr>
          <w:b/>
        </w:rPr>
      </w:pPr>
      <w:r w:rsidRPr="001A464F">
        <w:rPr>
          <w:b/>
        </w:rPr>
        <w:t xml:space="preserve">Central Excise </w:t>
      </w:r>
    </w:p>
    <w:p w:rsidR="00B660F6" w:rsidRDefault="00B660F6" w:rsidP="00B660F6"/>
    <w:p w:rsidR="00B660F6" w:rsidRPr="00B660F6" w:rsidRDefault="00B660F6" w:rsidP="00B660F6">
      <w:pPr>
        <w:pStyle w:val="ListParagraph"/>
        <w:numPr>
          <w:ilvl w:val="0"/>
          <w:numId w:val="19"/>
        </w:numPr>
        <w:rPr>
          <w:b/>
        </w:rPr>
      </w:pPr>
      <w:r w:rsidRPr="00B660F6">
        <w:rPr>
          <w:b/>
        </w:rPr>
        <w:t xml:space="preserve">No refund of CENVAT credit under rule 5B to service providers providing manpower supply/ security services </w:t>
      </w:r>
    </w:p>
    <w:p w:rsidR="00B660F6" w:rsidRDefault="00B660F6" w:rsidP="00B660F6">
      <w:pPr>
        <w:pStyle w:val="ListParagraph"/>
      </w:pPr>
    </w:p>
    <w:p w:rsidR="00B660F6" w:rsidRDefault="00B660F6" w:rsidP="00B660F6">
      <w:pPr>
        <w:pStyle w:val="ListParagraph"/>
      </w:pPr>
      <w:r>
        <w:t xml:space="preserve">Rule 5B of the CENVAT Credit Rules, 2004 provides that service providers, rendering notified reverse charge services, being unable to </w:t>
      </w:r>
      <w:proofErr w:type="spellStart"/>
      <w:r>
        <w:t>utilise</w:t>
      </w:r>
      <w:proofErr w:type="spellEnd"/>
      <w:r>
        <w:t xml:space="preserve"> the CENVAT credit availed on inputs and input services for payment of service tax on such output services, shall be allowed refund of such un-</w:t>
      </w:r>
      <w:proofErr w:type="spellStart"/>
      <w:r>
        <w:t>utilised</w:t>
      </w:r>
      <w:proofErr w:type="spellEnd"/>
      <w:r>
        <w:t xml:space="preserve"> CENVAT credit. In this regard, earlier following partial reverse charge services were notified: </w:t>
      </w:r>
    </w:p>
    <w:p w:rsidR="00B660F6" w:rsidRDefault="00B660F6" w:rsidP="00B660F6">
      <w:pPr>
        <w:pStyle w:val="ListParagraph"/>
      </w:pPr>
    </w:p>
    <w:p w:rsidR="00B660F6" w:rsidRDefault="00B660F6" w:rsidP="00B660F6">
      <w:pPr>
        <w:pStyle w:val="ListParagraph"/>
        <w:numPr>
          <w:ilvl w:val="0"/>
          <w:numId w:val="20"/>
        </w:numPr>
      </w:pPr>
      <w:r>
        <w:t xml:space="preserve">renting of a motor vehicle designed to carry passengers on non-abated value, to any person who is not engaged in a similar business; </w:t>
      </w:r>
    </w:p>
    <w:p w:rsidR="00B660F6" w:rsidRDefault="00B660F6" w:rsidP="00B660F6">
      <w:pPr>
        <w:pStyle w:val="ListParagraph"/>
        <w:numPr>
          <w:ilvl w:val="0"/>
          <w:numId w:val="20"/>
        </w:numPr>
      </w:pPr>
      <w:r>
        <w:t xml:space="preserve">supply of manpower for any purpose or security services; or (iii) </w:t>
      </w:r>
    </w:p>
    <w:p w:rsidR="00B660F6" w:rsidRDefault="00B660F6" w:rsidP="00B660F6">
      <w:pPr>
        <w:pStyle w:val="ListParagraph"/>
        <w:numPr>
          <w:ilvl w:val="0"/>
          <w:numId w:val="20"/>
        </w:numPr>
      </w:pPr>
      <w:r>
        <w:t>service portion in the execution of a works contract Since with effect from 01.04.2015, service tax with respect to supply of manpower for any purpose or security services is payable on the basis full reverse charge, service providers of said services will no longer be eligible for refund of CENVAT credit availed on inputs and input services for payment of service tax on such output services. Further, application in Form A for claiming refund has also been suitably modifi</w:t>
      </w:r>
      <w:r w:rsidR="000028C2">
        <w:t>ed. Th</w:t>
      </w:r>
      <w:r>
        <w:t>e aforesaid amendment is effecti</w:t>
      </w:r>
      <w:r w:rsidR="000028C2">
        <w:t>ve from April 01, 2015. [Notifi</w:t>
      </w:r>
      <w:r>
        <w:t>cation No. 15/2015 CE (NT) dated 19.05.2015]</w:t>
      </w:r>
    </w:p>
    <w:p w:rsidR="000028C2" w:rsidRDefault="000028C2" w:rsidP="000028C2">
      <w:pPr>
        <w:pStyle w:val="ListParagraph"/>
        <w:ind w:left="1440"/>
      </w:pPr>
    </w:p>
    <w:p w:rsidR="000028C2" w:rsidRPr="000028C2" w:rsidRDefault="000028C2" w:rsidP="000028C2">
      <w:pPr>
        <w:pStyle w:val="ListParagraph"/>
        <w:numPr>
          <w:ilvl w:val="0"/>
          <w:numId w:val="19"/>
        </w:numPr>
        <w:rPr>
          <w:b/>
        </w:rPr>
      </w:pPr>
      <w:r w:rsidRPr="000028C2">
        <w:rPr>
          <w:b/>
        </w:rPr>
        <w:t xml:space="preserve">Reversal of credit under rule 6 not required in case of ethanol produced from molasses generated from cane crushed in the sugar season 2015-16 [Clause (ix) inserted to rule 6(6) of the CENVAT Credit Rules, 2004] </w:t>
      </w:r>
    </w:p>
    <w:p w:rsidR="000028C2" w:rsidRDefault="000028C2" w:rsidP="000028C2">
      <w:pPr>
        <w:pStyle w:val="ListParagraph"/>
      </w:pPr>
    </w:p>
    <w:p w:rsidR="000028C2" w:rsidRDefault="000028C2" w:rsidP="000028C2">
      <w:pPr>
        <w:pStyle w:val="ListParagraph"/>
      </w:pPr>
      <w:r>
        <w:t xml:space="preserve">The provisions of sub-rules (1), (2), (3) and (4) of rule 6 would not apply to ethanol produced from molasses generated from cane crushed in the sugar season 2015-16 i.e. 1st October, 2015 onwards, for supply to the public sector oil marketing companies, namely, Indian Oil Corporation Ltd., Hindustan Petroleum Corporation Ltd. or Bharat Petroleum Corporation Ltd., for the purposes of blending with petrol, under Notification No.12/2012 CE dated 17.03.2012. </w:t>
      </w:r>
    </w:p>
    <w:p w:rsidR="000028C2" w:rsidRDefault="000028C2" w:rsidP="000028C2">
      <w:pPr>
        <w:pStyle w:val="ListParagraph"/>
      </w:pPr>
    </w:p>
    <w:p w:rsidR="000028C2" w:rsidRDefault="000028C2" w:rsidP="000028C2">
      <w:pPr>
        <w:pStyle w:val="ListParagraph"/>
      </w:pPr>
      <w:r>
        <w:t xml:space="preserve">In case of such removal, though ethanol is removed without payment of duty, CENVAT credit on inputs/capital goods/input services used in the manufacture of ethanol can be availed. Further, where common inputs/input services are used to manufacture ethanol and other dutiable final product, reversal of credit or payment of amount on removal of ethanol will not be required. </w:t>
      </w:r>
    </w:p>
    <w:p w:rsidR="000028C2" w:rsidRDefault="000028C2" w:rsidP="000028C2">
      <w:pPr>
        <w:pStyle w:val="ListParagraph"/>
      </w:pPr>
    </w:p>
    <w:p w:rsidR="000028C2" w:rsidRDefault="000028C2" w:rsidP="000028C2">
      <w:pPr>
        <w:pStyle w:val="ListParagraph"/>
      </w:pPr>
      <w:r>
        <w:t>[Notification No. 21/2015 CE (NT) dated 07.10.2015]</w:t>
      </w:r>
    </w:p>
    <w:p w:rsidR="000E02AC" w:rsidRDefault="000E02AC" w:rsidP="000028C2">
      <w:pPr>
        <w:pStyle w:val="ListParagraph"/>
      </w:pPr>
    </w:p>
    <w:p w:rsidR="00BD610A" w:rsidRPr="00BD610A" w:rsidRDefault="00BD610A" w:rsidP="000E02AC">
      <w:pPr>
        <w:pStyle w:val="ListParagraph"/>
        <w:numPr>
          <w:ilvl w:val="0"/>
          <w:numId w:val="19"/>
        </w:numPr>
        <w:rPr>
          <w:b/>
        </w:rPr>
      </w:pPr>
      <w:r w:rsidRPr="00BD610A">
        <w:rPr>
          <w:b/>
        </w:rPr>
        <w:t xml:space="preserve">Output service providers allowed to utilize credit of education </w:t>
      </w:r>
      <w:proofErr w:type="spellStart"/>
      <w:r w:rsidRPr="00BD610A">
        <w:rPr>
          <w:b/>
        </w:rPr>
        <w:t>cess</w:t>
      </w:r>
      <w:proofErr w:type="spellEnd"/>
      <w:r w:rsidRPr="00BD610A">
        <w:rPr>
          <w:b/>
        </w:rPr>
        <w:t xml:space="preserve"> (EC) and secondary and higher education </w:t>
      </w:r>
      <w:proofErr w:type="spellStart"/>
      <w:r w:rsidRPr="00BD610A">
        <w:rPr>
          <w:b/>
        </w:rPr>
        <w:t>cess</w:t>
      </w:r>
      <w:proofErr w:type="spellEnd"/>
      <w:r w:rsidRPr="00BD610A">
        <w:rPr>
          <w:b/>
        </w:rPr>
        <w:t xml:space="preserve"> (SHEC) for payment of service tax on any output service [Sixth, seventh and eighth provisos inserted to rule 3(7)(b) of the CENVAT Credit Rules, 2004] </w:t>
      </w:r>
    </w:p>
    <w:p w:rsidR="00BD610A" w:rsidRDefault="00BD610A" w:rsidP="00BD610A">
      <w:pPr>
        <w:pStyle w:val="ListParagraph"/>
      </w:pPr>
    </w:p>
    <w:p w:rsidR="0057455A" w:rsidRDefault="00BD610A" w:rsidP="00BD610A">
      <w:pPr>
        <w:pStyle w:val="ListParagraph"/>
      </w:pPr>
      <w:r>
        <w:lastRenderedPageBreak/>
        <w:t xml:space="preserve">Prior to 01.03.2015, education </w:t>
      </w:r>
      <w:proofErr w:type="spellStart"/>
      <w:r>
        <w:t>cess</w:t>
      </w:r>
      <w:proofErr w:type="spellEnd"/>
      <w:r>
        <w:t xml:space="preserve"> (EC) and secondary and higher education </w:t>
      </w:r>
      <w:proofErr w:type="spellStart"/>
      <w:r>
        <w:t>cess</w:t>
      </w:r>
      <w:proofErr w:type="spellEnd"/>
      <w:r>
        <w:t xml:space="preserve"> (SHEC) paid on excisable goods could be availed as CENVAT credit. Further, EC and SHEC paid on taxable services could also be availed as CENVAT credit till 31.05.2015. Credit of EC on excisable goods or taxable services could not be </w:t>
      </w:r>
      <w:proofErr w:type="spellStart"/>
      <w:r>
        <w:t>utilised</w:t>
      </w:r>
      <w:proofErr w:type="spellEnd"/>
      <w:r>
        <w:t xml:space="preserve"> for payment of any other duty except EC payable on excisable goods or taxable services. Similarly, credit of SHEC on excisable goods or taxable services could not be </w:t>
      </w:r>
      <w:proofErr w:type="spellStart"/>
      <w:r>
        <w:t>utilised</w:t>
      </w:r>
      <w:proofErr w:type="spellEnd"/>
      <w:r>
        <w:t xml:space="preserve"> for payment of any other duty except SHEC payable on excisable </w:t>
      </w:r>
      <w:proofErr w:type="gramStart"/>
      <w:r>
        <w:t>goods</w:t>
      </w:r>
      <w:proofErr w:type="gramEnd"/>
      <w:r>
        <w:t xml:space="preserve"> or taxable services. However, pursuant to EC and SHEC </w:t>
      </w:r>
      <w:proofErr w:type="spellStart"/>
      <w:r>
        <w:t>leviable</w:t>
      </w:r>
      <w:proofErr w:type="spellEnd"/>
      <w:r>
        <w:t xml:space="preserve"> on all taxable services ce</w:t>
      </w:r>
      <w:r w:rsidR="0057455A">
        <w:t>asing to have effect (with eff</w:t>
      </w:r>
      <w:r>
        <w:t xml:space="preserve">ect from 01.06.2015), an output service provider has been allowed to </w:t>
      </w:r>
      <w:proofErr w:type="spellStart"/>
      <w:r>
        <w:t>utilise</w:t>
      </w:r>
      <w:proofErr w:type="spellEnd"/>
      <w:r>
        <w:t xml:space="preserve"> the following credits of EC and SHEC for the payment of service tax on any output service: </w:t>
      </w:r>
    </w:p>
    <w:p w:rsidR="0057455A" w:rsidRDefault="0057455A" w:rsidP="00BD610A">
      <w:pPr>
        <w:pStyle w:val="ListParagraph"/>
      </w:pPr>
    </w:p>
    <w:p w:rsidR="0057455A" w:rsidRDefault="00BD610A" w:rsidP="0057455A">
      <w:pPr>
        <w:pStyle w:val="ListParagraph"/>
        <w:numPr>
          <w:ilvl w:val="0"/>
          <w:numId w:val="21"/>
        </w:numPr>
      </w:pPr>
      <w:r>
        <w:t>credit of EC and SHEC paid on inputs/ capital goods received in the premises of the output service provid</w:t>
      </w:r>
      <w:r w:rsidR="0057455A">
        <w:t>er on or after 01.06.2015;</w:t>
      </w:r>
    </w:p>
    <w:p w:rsidR="00F40159" w:rsidRDefault="00F40159" w:rsidP="00F40159">
      <w:pPr>
        <w:pStyle w:val="ListParagraph"/>
        <w:ind w:left="1440"/>
      </w:pPr>
    </w:p>
    <w:p w:rsidR="0057455A" w:rsidRDefault="00BD610A" w:rsidP="0057455A">
      <w:pPr>
        <w:pStyle w:val="ListParagraph"/>
        <w:numPr>
          <w:ilvl w:val="0"/>
          <w:numId w:val="21"/>
        </w:numPr>
      </w:pPr>
      <w:r>
        <w:t xml:space="preserve">credit of balance 50% EC and SHEC paid on capital goods received in the premises of the output service provider in the financial year 2014-15; and </w:t>
      </w:r>
    </w:p>
    <w:p w:rsidR="00F40159" w:rsidRDefault="00F40159" w:rsidP="00F40159">
      <w:pPr>
        <w:pStyle w:val="ListParagraph"/>
      </w:pPr>
    </w:p>
    <w:p w:rsidR="00F40159" w:rsidRDefault="00F40159" w:rsidP="00F40159">
      <w:pPr>
        <w:pStyle w:val="ListParagraph"/>
        <w:ind w:left="1440"/>
      </w:pPr>
    </w:p>
    <w:p w:rsidR="0057455A" w:rsidRDefault="00BD610A" w:rsidP="0057455A">
      <w:pPr>
        <w:pStyle w:val="ListParagraph"/>
        <w:numPr>
          <w:ilvl w:val="0"/>
          <w:numId w:val="21"/>
        </w:numPr>
      </w:pPr>
      <w:proofErr w:type="gramStart"/>
      <w:r>
        <w:t>credit</w:t>
      </w:r>
      <w:proofErr w:type="gramEnd"/>
      <w:r>
        <w:t xml:space="preserve"> of EC and SHEC paid on input service in respect of w</w:t>
      </w:r>
      <w:r w:rsidR="0057455A">
        <w:t xml:space="preserve">hich the invoice, bill, </w:t>
      </w:r>
      <w:proofErr w:type="spellStart"/>
      <w:r w:rsidR="0057455A">
        <w:t>challan</w:t>
      </w:r>
      <w:proofErr w:type="spellEnd"/>
      <w:r w:rsidR="0057455A">
        <w:t xml:space="preserve"> </w:t>
      </w:r>
      <w:r>
        <w:t xml:space="preserve">or Service Tax Certificate for Transportation of Goods by Rail (referred to in rule 9), as the case may be, is received by the output service provider on/ after 01.06.2015. </w:t>
      </w:r>
    </w:p>
    <w:p w:rsidR="0057455A" w:rsidRDefault="0057455A" w:rsidP="0057455A">
      <w:pPr>
        <w:pStyle w:val="ListParagraph"/>
        <w:ind w:left="1440"/>
      </w:pPr>
    </w:p>
    <w:p w:rsidR="000E02AC" w:rsidRDefault="00BD610A" w:rsidP="0057455A">
      <w:pPr>
        <w:pStyle w:val="ListParagraph"/>
        <w:ind w:left="1440"/>
      </w:pPr>
      <w:r>
        <w:t>[Notification No. 22/2015 CE (NT) dated 29.10.2015]</w:t>
      </w:r>
    </w:p>
    <w:p w:rsidR="00B77395" w:rsidRDefault="00B77395" w:rsidP="0057455A">
      <w:pPr>
        <w:pStyle w:val="ListParagraph"/>
        <w:ind w:left="1440"/>
      </w:pPr>
    </w:p>
    <w:p w:rsidR="00B77395" w:rsidRPr="00B77395" w:rsidRDefault="00B77395" w:rsidP="00B77395">
      <w:pPr>
        <w:pStyle w:val="ListParagraph"/>
        <w:numPr>
          <w:ilvl w:val="0"/>
          <w:numId w:val="19"/>
        </w:numPr>
        <w:rPr>
          <w:b/>
        </w:rPr>
      </w:pPr>
      <w:proofErr w:type="spellStart"/>
      <w:r w:rsidRPr="00B77395">
        <w:rPr>
          <w:b/>
        </w:rPr>
        <w:t>Centralised</w:t>
      </w:r>
      <w:proofErr w:type="spellEnd"/>
      <w:r w:rsidRPr="00B77395">
        <w:rPr>
          <w:b/>
        </w:rPr>
        <w:t xml:space="preserve"> registration allowed to manufacturers of </w:t>
      </w:r>
      <w:proofErr w:type="spellStart"/>
      <w:r w:rsidRPr="00B77395">
        <w:rPr>
          <w:b/>
        </w:rPr>
        <w:t>aluminium</w:t>
      </w:r>
      <w:proofErr w:type="spellEnd"/>
      <w:r w:rsidRPr="00B77395">
        <w:rPr>
          <w:b/>
        </w:rPr>
        <w:t xml:space="preserve"> roofing panels subject to fulfillment of specified conditions </w:t>
      </w:r>
    </w:p>
    <w:p w:rsidR="00B77395" w:rsidRDefault="00B77395" w:rsidP="00B77395">
      <w:pPr>
        <w:pStyle w:val="ListParagraph"/>
      </w:pPr>
    </w:p>
    <w:p w:rsidR="00B77395" w:rsidRDefault="00B77395" w:rsidP="00B77395">
      <w:pPr>
        <w:pStyle w:val="ListParagraph"/>
      </w:pPr>
      <w:r>
        <w:t xml:space="preserve">Every manufacturing unit engaged in the manufacture of </w:t>
      </w:r>
      <w:proofErr w:type="spellStart"/>
      <w:r>
        <w:t>aluminium</w:t>
      </w:r>
      <w:proofErr w:type="spellEnd"/>
      <w:r>
        <w:t xml:space="preserve"> roofing panels* has been exempted from obtaining the central excise registration, subject to fulfillment of the following conditions: </w:t>
      </w:r>
    </w:p>
    <w:p w:rsidR="00B77395" w:rsidRDefault="00B77395" w:rsidP="00B77395">
      <w:pPr>
        <w:pStyle w:val="ListParagraph"/>
      </w:pPr>
    </w:p>
    <w:p w:rsidR="00B77395" w:rsidRDefault="00B77395" w:rsidP="00B77395">
      <w:pPr>
        <w:pStyle w:val="ListParagraph"/>
        <w:numPr>
          <w:ilvl w:val="0"/>
          <w:numId w:val="22"/>
        </w:numPr>
      </w:pPr>
      <w:r>
        <w:t xml:space="preserve">such roofing panels are consumed at the site of manufacture for execution of the project and </w:t>
      </w:r>
    </w:p>
    <w:p w:rsidR="00B77395" w:rsidRDefault="00B77395" w:rsidP="00B77395">
      <w:pPr>
        <w:pStyle w:val="ListParagraph"/>
        <w:numPr>
          <w:ilvl w:val="0"/>
          <w:numId w:val="22"/>
        </w:numPr>
      </w:pPr>
      <w:proofErr w:type="gramStart"/>
      <w:r>
        <w:t>manufacturer</w:t>
      </w:r>
      <w:proofErr w:type="gramEnd"/>
      <w:r>
        <w:t xml:space="preserve"> of such goods has a </w:t>
      </w:r>
      <w:proofErr w:type="spellStart"/>
      <w:r>
        <w:t>centralised</w:t>
      </w:r>
      <w:proofErr w:type="spellEnd"/>
      <w:r>
        <w:t xml:space="preserve"> billing or accounting system in respect of such goods manufactured by different manufacturing units and he opts for registering only the premises or office from where such </w:t>
      </w:r>
      <w:proofErr w:type="spellStart"/>
      <w:r>
        <w:t>centralised</w:t>
      </w:r>
      <w:proofErr w:type="spellEnd"/>
      <w:r>
        <w:t xml:space="preserve"> billing or accounting is done. </w:t>
      </w:r>
    </w:p>
    <w:p w:rsidR="00B77395" w:rsidRDefault="00B77395" w:rsidP="00B77395">
      <w:pPr>
        <w:pStyle w:val="ListParagraph"/>
        <w:ind w:left="1440"/>
      </w:pPr>
    </w:p>
    <w:p w:rsidR="00B77395" w:rsidRDefault="00B77395" w:rsidP="00B77395">
      <w:pPr>
        <w:pStyle w:val="ListParagraph"/>
        <w:ind w:left="1440"/>
      </w:pPr>
      <w:r>
        <w:t xml:space="preserve">*falling under tariff item 7610 90 10 of the First Schedule to the Central Excise Tariff Act, 1985 </w:t>
      </w:r>
    </w:p>
    <w:p w:rsidR="00B77395" w:rsidRDefault="00B77395" w:rsidP="00B77395">
      <w:pPr>
        <w:pStyle w:val="ListParagraph"/>
        <w:ind w:left="1440"/>
      </w:pPr>
    </w:p>
    <w:p w:rsidR="00B77395" w:rsidRDefault="00B77395" w:rsidP="00B77395">
      <w:pPr>
        <w:pStyle w:val="ListParagraph"/>
        <w:ind w:left="1440"/>
      </w:pPr>
      <w:r>
        <w:t>[Notification No. 17/2015 CE (NT) dated 08.06.2015]</w:t>
      </w:r>
    </w:p>
    <w:p w:rsidR="00B63F14" w:rsidRDefault="00B63F14" w:rsidP="00B77395">
      <w:pPr>
        <w:pStyle w:val="ListParagraph"/>
        <w:ind w:left="1440"/>
      </w:pPr>
    </w:p>
    <w:p w:rsidR="00B63F14" w:rsidRDefault="00B63F14" w:rsidP="00B63F14">
      <w:pPr>
        <w:pStyle w:val="ListParagraph"/>
        <w:numPr>
          <w:ilvl w:val="0"/>
          <w:numId w:val="19"/>
        </w:numPr>
        <w:rPr>
          <w:b/>
        </w:rPr>
      </w:pPr>
      <w:r w:rsidRPr="00B63F14">
        <w:rPr>
          <w:b/>
        </w:rPr>
        <w:t>Conditions, safeguards and procedure for preserving digitally signed records and issuing digitally signed invoices prescribed</w:t>
      </w:r>
    </w:p>
    <w:p w:rsidR="00B63F14" w:rsidRDefault="00B63F14" w:rsidP="00B63F14">
      <w:pPr>
        <w:pStyle w:val="ListParagraph"/>
        <w:rPr>
          <w:b/>
        </w:rPr>
      </w:pPr>
    </w:p>
    <w:p w:rsidR="00B63F14" w:rsidRDefault="00B63F14" w:rsidP="00B63F14">
      <w:pPr>
        <w:pStyle w:val="ListParagraph"/>
      </w:pPr>
      <w:r>
        <w:t xml:space="preserve">Rule 10(4) and rule 11(8) of the Central Excise Rules, 2002 provide for authentication of every page of excise records preserved in electronic form and of invoices respectively, by means of digital signatures. Further, rule 10(5) and rule 11(9) have authorized CBEC to notify the </w:t>
      </w:r>
      <w:r>
        <w:lastRenderedPageBreak/>
        <w:t xml:space="preserve">conditions, safeguards and procedure to be followed by an </w:t>
      </w:r>
      <w:proofErr w:type="spellStart"/>
      <w:r>
        <w:t>assessee</w:t>
      </w:r>
      <w:proofErr w:type="spellEnd"/>
      <w:r>
        <w:t xml:space="preserve"> for preserving digitally signed records and issuing digitally signed invoices.</w:t>
      </w:r>
    </w:p>
    <w:p w:rsidR="00B63F14" w:rsidRDefault="00B63F14" w:rsidP="00B63F14">
      <w:pPr>
        <w:pStyle w:val="ListParagraph"/>
      </w:pPr>
    </w:p>
    <w:p w:rsidR="00B63F14" w:rsidRDefault="00B63F14" w:rsidP="00B63F14">
      <w:pPr>
        <w:pStyle w:val="ListParagraph"/>
      </w:pPr>
      <w:r>
        <w:t>In this regard, the following conditions, safeguards and procedure have been prescribed vide Notification No. 18/2015 CE (NT) dated 06.07.2015:</w:t>
      </w:r>
    </w:p>
    <w:p w:rsidR="00B63F14" w:rsidRDefault="00B63F14" w:rsidP="00B63F14">
      <w:pPr>
        <w:pStyle w:val="ListParagraph"/>
      </w:pPr>
    </w:p>
    <w:p w:rsidR="00B63F14" w:rsidRDefault="00B63F14" w:rsidP="00B63F14">
      <w:pPr>
        <w:pStyle w:val="ListParagraph"/>
        <w:numPr>
          <w:ilvl w:val="0"/>
          <w:numId w:val="23"/>
        </w:numPr>
      </w:pPr>
      <w:r>
        <w:t xml:space="preserve">Every </w:t>
      </w:r>
      <w:proofErr w:type="spellStart"/>
      <w:r>
        <w:t>assessee</w:t>
      </w:r>
      <w:proofErr w:type="spellEnd"/>
      <w:r>
        <w:t xml:space="preserve"> proposing to use digital signature shall use Class 2* or Clas</w:t>
      </w:r>
      <w:r w:rsidR="00D57492">
        <w:t>s 3** Digital Signature Certifi</w:t>
      </w:r>
      <w:r>
        <w:t>cate duly issued by the Certifying Autho</w:t>
      </w:r>
      <w:r w:rsidR="00D57492">
        <w:t>rity in India. *Class 2 Certifi</w:t>
      </w:r>
      <w:r>
        <w:t>cate: Th</w:t>
      </w:r>
      <w:r w:rsidR="00D57492">
        <w:t>ese certifi</w:t>
      </w:r>
      <w:r>
        <w:t>cates are issued for both business personnel and private individuals use and are available for download after verifying a person’s identity a</w:t>
      </w:r>
      <w:r w:rsidR="00D57492">
        <w:t>gainst a trusted and pre-verifi</w:t>
      </w:r>
      <w:r>
        <w:t>ed database. **Clas</w:t>
      </w:r>
      <w:r w:rsidR="00D57492">
        <w:t>s 3 Certifi</w:t>
      </w:r>
      <w:r w:rsidR="00A65513">
        <w:t>cate: This certifi</w:t>
      </w:r>
      <w:r>
        <w:t>cate is issued to individuals as well as organizations. Since these are high assurance certificates, primarily intended for e-commerce applications, they shall be issued to individuals only on their personal (physical) appearance before the Certifying Authorities.</w:t>
      </w:r>
    </w:p>
    <w:p w:rsidR="00B63F14" w:rsidRDefault="00B63F14" w:rsidP="00B63F14">
      <w:pPr>
        <w:pStyle w:val="ListParagraph"/>
        <w:numPr>
          <w:ilvl w:val="0"/>
          <w:numId w:val="23"/>
        </w:numPr>
      </w:pPr>
      <w:r>
        <w:t xml:space="preserve">Every </w:t>
      </w:r>
      <w:proofErr w:type="spellStart"/>
      <w:r>
        <w:t>assessee</w:t>
      </w:r>
      <w:proofErr w:type="spellEnd"/>
      <w:r>
        <w:t xml:space="preserve"> proposing to use digital signatures shall intimate the following details to the jurisdictional Deputy/ Assistant Commissioner of Central Excise, at least 15 days in advance:</w:t>
      </w:r>
    </w:p>
    <w:p w:rsidR="008D270B" w:rsidRDefault="008D270B" w:rsidP="008D270B">
      <w:pPr>
        <w:pStyle w:val="ListParagraph"/>
        <w:ind w:left="1080"/>
      </w:pPr>
    </w:p>
    <w:p w:rsidR="00A65513" w:rsidRDefault="00A65513" w:rsidP="00A65513">
      <w:pPr>
        <w:pStyle w:val="ListParagraph"/>
        <w:numPr>
          <w:ilvl w:val="0"/>
          <w:numId w:val="24"/>
        </w:numPr>
      </w:pPr>
      <w:r>
        <w:t>name, e-mail id, offi</w:t>
      </w:r>
      <w:r w:rsidR="008D270B">
        <w:t xml:space="preserve">ce address and designation of the person </w:t>
      </w:r>
      <w:proofErr w:type="spellStart"/>
      <w:r w:rsidR="008D270B">
        <w:t>authorised</w:t>
      </w:r>
      <w:proofErr w:type="spellEnd"/>
      <w:r w:rsidR="008D270B">
        <w:t xml:space="preserve"> to use the digital signature certificate;  </w:t>
      </w:r>
    </w:p>
    <w:p w:rsidR="00A65513" w:rsidRDefault="008D270B" w:rsidP="00A65513">
      <w:pPr>
        <w:pStyle w:val="ListParagraph"/>
        <w:numPr>
          <w:ilvl w:val="0"/>
          <w:numId w:val="24"/>
        </w:numPr>
      </w:pPr>
      <w:r>
        <w:t xml:space="preserve">name of the Certifying Authority;  </w:t>
      </w:r>
    </w:p>
    <w:p w:rsidR="008D270B" w:rsidRDefault="008D270B" w:rsidP="00A65513">
      <w:pPr>
        <w:pStyle w:val="ListParagraph"/>
        <w:numPr>
          <w:ilvl w:val="0"/>
          <w:numId w:val="24"/>
        </w:numPr>
      </w:pPr>
      <w:r>
        <w:t>date of issue of digital certificate and validity</w:t>
      </w:r>
      <w:r>
        <w:sym w:font="Symbol" w:char="F0AE"/>
      </w:r>
      <w:r>
        <w:t xml:space="preserve"> of the digital signa</w:t>
      </w:r>
      <w:r w:rsidR="00A65513">
        <w:t>ture with a copy of the certifi</w:t>
      </w:r>
      <w:r>
        <w:t>cate issued by the Certifying Authority along with the complete address of the said Authority</w:t>
      </w:r>
    </w:p>
    <w:p w:rsidR="00191263" w:rsidRDefault="00191263" w:rsidP="00191263">
      <w:pPr>
        <w:pStyle w:val="ListParagraph"/>
        <w:ind w:left="1800"/>
      </w:pPr>
    </w:p>
    <w:p w:rsidR="00060F43" w:rsidRDefault="00060F43" w:rsidP="00191263">
      <w:pPr>
        <w:pStyle w:val="ListParagraph"/>
        <w:ind w:left="1800"/>
      </w:pPr>
      <w:r>
        <w:t xml:space="preserve">However, in case of any change in aforesaid details, complete details shall be submitted afresh within 15 days of such change. In case of </w:t>
      </w:r>
      <w:proofErr w:type="spellStart"/>
      <w:r>
        <w:t>assessees</w:t>
      </w:r>
      <w:proofErr w:type="spellEnd"/>
      <w:r>
        <w:t xml:space="preserve"> already using digital signature, aforesaid details should be intimated within 15 days of issue of this notification.</w:t>
      </w:r>
    </w:p>
    <w:p w:rsidR="00060F43" w:rsidRDefault="00060F43" w:rsidP="00191263">
      <w:pPr>
        <w:pStyle w:val="ListParagraph"/>
        <w:ind w:left="1800"/>
      </w:pPr>
    </w:p>
    <w:p w:rsidR="00060F43" w:rsidRDefault="00060F43" w:rsidP="00060F43">
      <w:pPr>
        <w:pStyle w:val="ListParagraph"/>
        <w:numPr>
          <w:ilvl w:val="0"/>
          <w:numId w:val="23"/>
        </w:numPr>
      </w:pPr>
      <w:r>
        <w:t xml:space="preserve"> Every </w:t>
      </w:r>
      <w:proofErr w:type="spellStart"/>
      <w:r>
        <w:t>assessee</w:t>
      </w:r>
      <w:proofErr w:type="spellEnd"/>
      <w:r>
        <w:t xml:space="preserve"> who opts to maintain records in electronic form:</w:t>
      </w:r>
    </w:p>
    <w:p w:rsidR="00060F43" w:rsidRDefault="00060F43" w:rsidP="00060F43">
      <w:pPr>
        <w:pStyle w:val="ListParagraph"/>
        <w:numPr>
          <w:ilvl w:val="0"/>
          <w:numId w:val="25"/>
        </w:numPr>
      </w:pPr>
      <w:r>
        <w:t xml:space="preserve"> </w:t>
      </w:r>
      <w:proofErr w:type="gramStart"/>
      <w:r>
        <w:t>and</w:t>
      </w:r>
      <w:proofErr w:type="gramEnd"/>
      <w:r>
        <w:t xml:space="preserve"> has more than one factory/ service tax registration shall maintain separate electronic records for each factory/ service tax registration. </w:t>
      </w:r>
    </w:p>
    <w:p w:rsidR="00060F43" w:rsidRDefault="00060F43" w:rsidP="00060F43">
      <w:pPr>
        <w:pStyle w:val="ListParagraph"/>
        <w:numPr>
          <w:ilvl w:val="0"/>
          <w:numId w:val="25"/>
        </w:numPr>
      </w:pPr>
      <w:r>
        <w:t xml:space="preserve">shall on request (in a letter or e-mail) by a Central Excise Officer, produce the specified records in electronic form and invoices through e-mail or on a specified storage device in an electronically readable format for verification of the authenticity of the document. </w:t>
      </w:r>
    </w:p>
    <w:p w:rsidR="00191263" w:rsidRDefault="00060F43" w:rsidP="00060F43">
      <w:pPr>
        <w:pStyle w:val="ListParagraph"/>
        <w:numPr>
          <w:ilvl w:val="0"/>
          <w:numId w:val="25"/>
        </w:numPr>
      </w:pPr>
      <w:r>
        <w:t>shall ensure that appropriate backup of records in electronic form is maintained and preserved for a period of 5 years immediately after the financial year to which such records pertain.</w:t>
      </w:r>
    </w:p>
    <w:p w:rsidR="00772809" w:rsidRDefault="00772809" w:rsidP="00772809">
      <w:pPr>
        <w:pStyle w:val="ListParagraph"/>
        <w:ind w:left="2520"/>
      </w:pPr>
    </w:p>
    <w:p w:rsidR="00772809" w:rsidRDefault="00772809" w:rsidP="00772809">
      <w:pPr>
        <w:pStyle w:val="ListParagraph"/>
        <w:numPr>
          <w:ilvl w:val="0"/>
          <w:numId w:val="23"/>
        </w:numPr>
      </w:pPr>
      <w:r>
        <w:t xml:space="preserve"> A Central Excise Officer, during an enquiry, investigation or audit, may direct an </w:t>
      </w:r>
      <w:proofErr w:type="spellStart"/>
      <w:r>
        <w:t>assessee</w:t>
      </w:r>
      <w:proofErr w:type="spellEnd"/>
      <w:r>
        <w:t xml:space="preserve"> to furnish printouts of the records in electronic form and invoices and may resume printouts of such records and invoices after verifying the correctness of the same in electronic format; and after the print outs of such records in electronic form have been signed by the </w:t>
      </w:r>
      <w:proofErr w:type="spellStart"/>
      <w:r>
        <w:t>assessee</w:t>
      </w:r>
      <w:proofErr w:type="spellEnd"/>
      <w:r>
        <w:t xml:space="preserve"> or any other person </w:t>
      </w:r>
      <w:proofErr w:type="spellStart"/>
      <w:r>
        <w:t>authorised</w:t>
      </w:r>
      <w:proofErr w:type="spellEnd"/>
      <w:r>
        <w:t xml:space="preserve"> by the </w:t>
      </w:r>
      <w:proofErr w:type="spellStart"/>
      <w:r>
        <w:t>assessee</w:t>
      </w:r>
      <w:proofErr w:type="spellEnd"/>
      <w:r>
        <w:t xml:space="preserve"> in this regard, if so requested by such Central Excise Officer.</w:t>
      </w:r>
    </w:p>
    <w:p w:rsidR="00191263" w:rsidRDefault="00191263" w:rsidP="00191263">
      <w:pPr>
        <w:pStyle w:val="ListParagraph"/>
        <w:ind w:left="1800"/>
      </w:pPr>
    </w:p>
    <w:p w:rsidR="005C2209" w:rsidRDefault="005C2209" w:rsidP="00191263">
      <w:pPr>
        <w:pStyle w:val="ListParagraph"/>
        <w:ind w:left="1800"/>
      </w:pPr>
    </w:p>
    <w:p w:rsidR="005C2209" w:rsidRPr="005C2209" w:rsidRDefault="005C2209" w:rsidP="00191263">
      <w:pPr>
        <w:pStyle w:val="ListParagraph"/>
        <w:ind w:left="1800"/>
        <w:rPr>
          <w:b/>
        </w:rPr>
      </w:pPr>
      <w:r>
        <w:rPr>
          <w:b/>
        </w:rPr>
        <w:lastRenderedPageBreak/>
        <w:t>Note: Th</w:t>
      </w:r>
      <w:r w:rsidRPr="005C2209">
        <w:rPr>
          <w:b/>
        </w:rPr>
        <w:t>e above conditions will also apply in case of preservation of service tax records in electronic form and authentication of service tax invoices by digital signatures. Further, all importers and exporters using services of Customs Brokers for formalities under Customs Act, 1962, shipping lines and air line</w:t>
      </w:r>
      <w:r>
        <w:rPr>
          <w:b/>
        </w:rPr>
        <w:t>s have also been required to fi</w:t>
      </w:r>
      <w:r w:rsidRPr="005C2209">
        <w:rPr>
          <w:b/>
        </w:rPr>
        <w:t xml:space="preserve">le customs documents </w:t>
      </w:r>
      <w:r>
        <w:rPr>
          <w:b/>
        </w:rPr>
        <w:t>under digital signature certifi</w:t>
      </w:r>
      <w:r w:rsidRPr="005C2209">
        <w:rPr>
          <w:b/>
        </w:rPr>
        <w:t>cates mandatorily with eff</w:t>
      </w:r>
      <w:r>
        <w:rPr>
          <w:b/>
        </w:rPr>
        <w:t>ect from 01.01.2016. Th</w:t>
      </w:r>
      <w:r w:rsidRPr="005C2209">
        <w:rPr>
          <w:b/>
        </w:rPr>
        <w:t>e impo</w:t>
      </w:r>
      <w:r>
        <w:rPr>
          <w:b/>
        </w:rPr>
        <w:t>rters/ exporters desirous of fi</w:t>
      </w:r>
      <w:r w:rsidRPr="005C2209">
        <w:rPr>
          <w:b/>
        </w:rPr>
        <w:t>ling Bill of Entry or Shipping Bill individually ma</w:t>
      </w:r>
      <w:r>
        <w:rPr>
          <w:b/>
        </w:rPr>
        <w:t>y however have the option of fi</w:t>
      </w:r>
      <w:r w:rsidRPr="005C2209">
        <w:rPr>
          <w:b/>
        </w:rPr>
        <w:t xml:space="preserve">ling declarations/ documents without using digital signature [Circular No. 26/2015 </w:t>
      </w:r>
      <w:proofErr w:type="spellStart"/>
      <w:r w:rsidRPr="005C2209">
        <w:rPr>
          <w:b/>
        </w:rPr>
        <w:t>Cus</w:t>
      </w:r>
      <w:proofErr w:type="spellEnd"/>
      <w:r w:rsidRPr="005C2209">
        <w:rPr>
          <w:b/>
        </w:rPr>
        <w:t>. dated 23.10.2015].</w:t>
      </w:r>
    </w:p>
    <w:p w:rsidR="005C2209" w:rsidRDefault="005C2209" w:rsidP="00191263">
      <w:pPr>
        <w:pStyle w:val="ListParagraph"/>
        <w:ind w:left="1800"/>
      </w:pPr>
    </w:p>
    <w:p w:rsidR="00191263" w:rsidRDefault="000F510D" w:rsidP="00191263">
      <w:pPr>
        <w:pStyle w:val="ListParagraph"/>
        <w:numPr>
          <w:ilvl w:val="0"/>
          <w:numId w:val="19"/>
        </w:numPr>
        <w:rPr>
          <w:b/>
        </w:rPr>
      </w:pPr>
      <w:r w:rsidRPr="000F510D">
        <w:rPr>
          <w:b/>
        </w:rPr>
        <w:t>Exemption from sealing in a package/ container to export of bulk cargo [for e.g. coal, iron-ore, alumina concentrate, heavy</w:t>
      </w:r>
      <w:r>
        <w:rPr>
          <w:b/>
        </w:rPr>
        <w:t xml:space="preserve"> machinery etc.] which is diffi</w:t>
      </w:r>
      <w:r w:rsidRPr="000F510D">
        <w:rPr>
          <w:b/>
        </w:rPr>
        <w:t>cult to seal in packages/container</w:t>
      </w:r>
    </w:p>
    <w:p w:rsidR="000F510D" w:rsidRDefault="000F510D" w:rsidP="000F510D">
      <w:pPr>
        <w:pStyle w:val="ListParagraph"/>
        <w:rPr>
          <w:b/>
        </w:rPr>
      </w:pPr>
    </w:p>
    <w:p w:rsidR="000F510D" w:rsidRDefault="0016765F" w:rsidP="000F510D">
      <w:pPr>
        <w:pStyle w:val="ListParagraph"/>
      </w:pPr>
      <w:r>
        <w:t>The conditions and procedure relating to export (under bond) without payment of duty to all countries except Bhutan are contained in Notification No. 42/2001 CE (NT) dated 26.06.2001 issued under rule 19 of the Central Excise Rules, 2002. The said notification stipulates that before clearing the export consignments from the factory/ warehouse/ any other approved premises, goods needs to be sealed-either by Central Excise Officer after examination of such goods or by the exporter himself under self-sealing and self certification. However, bulk cargo e.g. coal, iron-ore, alumina concentrate, heavy machinery etc. are difficult to seal in packages or container. Consequently, Notification No. 23 /2015 CE (NT) dated 30.10.2015 has been issued which provides that where the nature of goods is such that the goods cannot be sealed in a package or a container such as coal or ore, etc., exemption from sealing of package or container may be granted by the Principal Chief Commissioner/ Chief Commissioner of Central Excise subject to safeguard as may be specified by him in the permission.</w:t>
      </w:r>
    </w:p>
    <w:p w:rsidR="0016765F" w:rsidRDefault="0016765F" w:rsidP="000F510D">
      <w:pPr>
        <w:pStyle w:val="ListParagraph"/>
      </w:pPr>
    </w:p>
    <w:p w:rsidR="0016765F" w:rsidRDefault="0016765F" w:rsidP="000F510D">
      <w:pPr>
        <w:pStyle w:val="ListParagraph"/>
      </w:pPr>
      <w:r>
        <w:t xml:space="preserve">The safeguards shall, inter-alia, include the following:- </w:t>
      </w:r>
    </w:p>
    <w:p w:rsidR="0016765F" w:rsidRDefault="0016765F" w:rsidP="0016765F">
      <w:pPr>
        <w:pStyle w:val="ListParagraph"/>
        <w:numPr>
          <w:ilvl w:val="0"/>
          <w:numId w:val="26"/>
        </w:numPr>
      </w:pPr>
      <w:r>
        <w:t xml:space="preserve">method of verification of quantity and quality of goods including testing of goods where necessary at the place of removal or </w:t>
      </w:r>
      <w:proofErr w:type="spellStart"/>
      <w:r>
        <w:t>despatch</w:t>
      </w:r>
      <w:proofErr w:type="spellEnd"/>
      <w:r>
        <w:t xml:space="preserve"> and at the port of export or SEZ, where the goods are received; </w:t>
      </w:r>
    </w:p>
    <w:p w:rsidR="0016765F" w:rsidRPr="0016765F" w:rsidRDefault="0016765F" w:rsidP="0016765F">
      <w:pPr>
        <w:pStyle w:val="ListParagraph"/>
        <w:numPr>
          <w:ilvl w:val="0"/>
          <w:numId w:val="26"/>
        </w:numPr>
        <w:rPr>
          <w:b/>
        </w:rPr>
      </w:pPr>
      <w:r>
        <w:t xml:space="preserve">no remission of duty shall be allowed for loss of goods within transit; </w:t>
      </w:r>
    </w:p>
    <w:p w:rsidR="005A4F71" w:rsidRPr="005A4F71" w:rsidRDefault="0016765F" w:rsidP="0016765F">
      <w:pPr>
        <w:pStyle w:val="ListParagraph"/>
        <w:numPr>
          <w:ilvl w:val="0"/>
          <w:numId w:val="26"/>
        </w:numPr>
        <w:rPr>
          <w:b/>
        </w:rPr>
      </w:pPr>
      <w:r>
        <w:t>permission shall be given on case to case</w:t>
      </w:r>
      <w:r w:rsidR="005A4F71">
        <w:t xml:space="preserve"> basis for a specified period not exceeding 1 year at a time and may be withdrawn in case of misuse; and </w:t>
      </w:r>
    </w:p>
    <w:p w:rsidR="0016765F" w:rsidRPr="0016765F" w:rsidRDefault="005A4F71" w:rsidP="0016765F">
      <w:pPr>
        <w:pStyle w:val="ListParagraph"/>
        <w:numPr>
          <w:ilvl w:val="0"/>
          <w:numId w:val="26"/>
        </w:numPr>
        <w:rPr>
          <w:b/>
        </w:rPr>
      </w:pPr>
      <w:proofErr w:type="gramStart"/>
      <w:r>
        <w:t>any</w:t>
      </w:r>
      <w:proofErr w:type="gramEnd"/>
      <w:r>
        <w:t xml:space="preserve"> additional safeguards as may be specified.</w:t>
      </w:r>
    </w:p>
    <w:p w:rsidR="0016765F" w:rsidRDefault="0016765F" w:rsidP="0016765F">
      <w:pPr>
        <w:pStyle w:val="ListParagraph"/>
        <w:ind w:left="1440"/>
        <w:rPr>
          <w:b/>
        </w:rPr>
      </w:pPr>
    </w:p>
    <w:p w:rsidR="007E0744" w:rsidRDefault="007E0744" w:rsidP="0016765F">
      <w:pPr>
        <w:pStyle w:val="ListParagraph"/>
        <w:ind w:left="1440"/>
        <w:rPr>
          <w:b/>
        </w:rPr>
      </w:pPr>
    </w:p>
    <w:p w:rsidR="007E0744" w:rsidRDefault="007E0744" w:rsidP="007E0744">
      <w:pPr>
        <w:pStyle w:val="ListParagraph"/>
        <w:numPr>
          <w:ilvl w:val="0"/>
          <w:numId w:val="19"/>
        </w:numPr>
        <w:rPr>
          <w:b/>
        </w:rPr>
      </w:pPr>
      <w:r w:rsidRPr="007E0744">
        <w:rPr>
          <w:b/>
        </w:rPr>
        <w:t xml:space="preserve">Withdrawal of circular classifying coconut oil packed in small size containers </w:t>
      </w:r>
      <w:proofErr w:type="spellStart"/>
      <w:r w:rsidRPr="007E0744">
        <w:rPr>
          <w:b/>
        </w:rPr>
        <w:t>upto</w:t>
      </w:r>
      <w:proofErr w:type="spellEnd"/>
      <w:r w:rsidRPr="007E0744">
        <w:rPr>
          <w:b/>
        </w:rPr>
        <w:t xml:space="preserve"> 200 ml as Hair oil</w:t>
      </w:r>
    </w:p>
    <w:p w:rsidR="007E0744" w:rsidRDefault="007E0744" w:rsidP="007E0744">
      <w:pPr>
        <w:pStyle w:val="ListParagraph"/>
      </w:pPr>
    </w:p>
    <w:p w:rsidR="007E0744" w:rsidRDefault="007E0744" w:rsidP="007E0744">
      <w:pPr>
        <w:pStyle w:val="ListParagraph"/>
      </w:pPr>
      <w:r>
        <w:t xml:space="preserve">Earlier, Circular No. 890/10/2009 dated 3.6.2009 had clarified that coconut oil packed in small container of sizes up to 200 ml was classifiable under Central Excise Tariff Heading 3305 as Hair oil. </w:t>
      </w:r>
    </w:p>
    <w:p w:rsidR="007E0744" w:rsidRDefault="007E0744" w:rsidP="007E0744">
      <w:pPr>
        <w:pStyle w:val="ListParagraph"/>
      </w:pPr>
    </w:p>
    <w:p w:rsidR="007E0744" w:rsidRDefault="007E0744" w:rsidP="007E0744">
      <w:pPr>
        <w:pStyle w:val="ListParagraph"/>
      </w:pPr>
      <w:r>
        <w:t xml:space="preserve">However, in the case of Raj Oil Mills Ltd. v. CCE 2014 (314) ELT 541 (Tri.-Mumbai) [maintained by SC], it has been held that edible coconut oil in retail packing of 200 ml or less is classifiable under Chapter 15 covering animal or vegetable fats and oils and not under Chapter 33 covering Cosmetics and Toilet Preparation. </w:t>
      </w:r>
    </w:p>
    <w:p w:rsidR="007E0744" w:rsidRDefault="007E0744" w:rsidP="007E0744">
      <w:pPr>
        <w:pStyle w:val="ListParagraph"/>
      </w:pPr>
    </w:p>
    <w:p w:rsidR="007E0744" w:rsidRDefault="007E0744" w:rsidP="007E0744">
      <w:pPr>
        <w:pStyle w:val="ListParagraph"/>
      </w:pPr>
      <w:r>
        <w:lastRenderedPageBreak/>
        <w:t>Further, in the case of Capital Technologies Ltd. &amp; Ors v. CCE 2015 (321) ELT 479 (Tri</w:t>
      </w:r>
      <w:proofErr w:type="gramStart"/>
      <w:r>
        <w:t>.-</w:t>
      </w:r>
      <w:proofErr w:type="gramEnd"/>
      <w:r>
        <w:t xml:space="preserve"> Bang.) [</w:t>
      </w:r>
      <w:proofErr w:type="gramStart"/>
      <w:r>
        <w:t>maintained</w:t>
      </w:r>
      <w:proofErr w:type="gramEnd"/>
      <w:r>
        <w:t xml:space="preserve"> by SC] also, it was held that the edible coconut oil packed in retail packs of 50 ml, 100 ml, 200 ml and 500 ml would be classifiable as coconut oil under heading 1513 and not as Hair oil under heading 3305. </w:t>
      </w:r>
    </w:p>
    <w:p w:rsidR="007E0744" w:rsidRDefault="007E0744" w:rsidP="007E0744">
      <w:pPr>
        <w:pStyle w:val="ListParagraph"/>
      </w:pPr>
    </w:p>
    <w:p w:rsidR="007E0744" w:rsidRDefault="007E0744" w:rsidP="007E0744">
      <w:pPr>
        <w:pStyle w:val="ListParagraph"/>
      </w:pPr>
    </w:p>
    <w:p w:rsidR="007E0744" w:rsidRDefault="007E0744" w:rsidP="007E0744">
      <w:pPr>
        <w:pStyle w:val="ListParagraph"/>
      </w:pPr>
      <w:r>
        <w:t>Thus, in view of the said judicial pronouncements, aforesaid circular has been withdrawn vide Circular No.1007/14/2015 CE dated 12.10.2015. The issue of classification would be decided considering the facts of the case read with the judicial pronouncements.</w:t>
      </w:r>
    </w:p>
    <w:p w:rsidR="007E0744" w:rsidRPr="004E4B1A" w:rsidRDefault="007E0744" w:rsidP="007E0744">
      <w:pPr>
        <w:pStyle w:val="ListParagraph"/>
        <w:rPr>
          <w:b/>
        </w:rPr>
      </w:pPr>
    </w:p>
    <w:p w:rsidR="007E0744" w:rsidRDefault="004E4B1A" w:rsidP="004E4B1A">
      <w:pPr>
        <w:pStyle w:val="ListParagraph"/>
        <w:numPr>
          <w:ilvl w:val="0"/>
          <w:numId w:val="19"/>
        </w:numPr>
        <w:rPr>
          <w:b/>
        </w:rPr>
      </w:pPr>
      <w:r w:rsidRPr="004E4B1A">
        <w:rPr>
          <w:b/>
        </w:rPr>
        <w:t>Amount payable under rule 6(3)(</w:t>
      </w:r>
      <w:proofErr w:type="spellStart"/>
      <w:r w:rsidRPr="004E4B1A">
        <w:rPr>
          <w:b/>
        </w:rPr>
        <w:t>i</w:t>
      </w:r>
      <w:proofErr w:type="spellEnd"/>
      <w:r w:rsidRPr="004E4B1A">
        <w:rPr>
          <w:b/>
        </w:rPr>
        <w:t>) of CENVAT Credit Rules, 2004 enhanced from 6% to 7% of the value of exempted services</w:t>
      </w:r>
    </w:p>
    <w:p w:rsidR="004E4B1A" w:rsidRDefault="004E4B1A" w:rsidP="004E4B1A">
      <w:pPr>
        <w:pStyle w:val="ListParagraph"/>
        <w:rPr>
          <w:b/>
        </w:rPr>
      </w:pPr>
    </w:p>
    <w:p w:rsidR="004E4B1A" w:rsidRDefault="004E4B1A" w:rsidP="004E4B1A">
      <w:pPr>
        <w:pStyle w:val="ListParagraph"/>
      </w:pPr>
      <w:r>
        <w:t>Earlier, in case an output service provider provides output service chargeable to tax as well as exempted services, he had an option to avail CENVAT credit in respect of any inputs/ input services without maintaining separate accounts provided he has paid an amount equal to 6% of the value of exempted services [Rule 6(3</w:t>
      </w:r>
      <w:proofErr w:type="gramStart"/>
      <w:r>
        <w:t>)(</w:t>
      </w:r>
      <w:proofErr w:type="spellStart"/>
      <w:proofErr w:type="gramEnd"/>
      <w:r>
        <w:t>i</w:t>
      </w:r>
      <w:proofErr w:type="spellEnd"/>
      <w:r>
        <w:t xml:space="preserve">) of the CENVAT Credit Rules, 2004]. </w:t>
      </w:r>
    </w:p>
    <w:p w:rsidR="004E4B1A" w:rsidRDefault="004E4B1A" w:rsidP="004E4B1A">
      <w:pPr>
        <w:pStyle w:val="ListParagraph"/>
      </w:pPr>
    </w:p>
    <w:p w:rsidR="004E4B1A" w:rsidRDefault="004E4B1A" w:rsidP="004E4B1A">
      <w:pPr>
        <w:pStyle w:val="ListParagraph"/>
      </w:pPr>
      <w:r>
        <w:t>With effect from 01.06.2015, pursuant to increase in the rate of service tax from 12% to 14%, aforesaid rate has been enhanced from 6% to 7%. Further, if any part of the value of a taxable service has been exempted on the condition that no CENVAT credit of inputs and input services, used for providing such taxable service, shall be taken, amount specified in rule 6(3</w:t>
      </w:r>
      <w:proofErr w:type="gramStart"/>
      <w:r>
        <w:t>)(</w:t>
      </w:r>
      <w:proofErr w:type="spellStart"/>
      <w:proofErr w:type="gramEnd"/>
      <w:r>
        <w:t>i</w:t>
      </w:r>
      <w:proofErr w:type="spellEnd"/>
      <w:r>
        <w:t xml:space="preserve">) has also been enhanced to 7% of the value so exempted. </w:t>
      </w:r>
    </w:p>
    <w:p w:rsidR="004E4B1A" w:rsidRDefault="004E4B1A" w:rsidP="004E4B1A">
      <w:pPr>
        <w:pStyle w:val="ListParagraph"/>
      </w:pPr>
    </w:p>
    <w:p w:rsidR="004E4B1A" w:rsidRDefault="004E4B1A" w:rsidP="004E4B1A">
      <w:pPr>
        <w:pStyle w:val="ListParagraph"/>
      </w:pPr>
      <w:r>
        <w:t>[Notification No. 14/2015 CE (NT) dated 19.05.2015]</w:t>
      </w:r>
    </w:p>
    <w:p w:rsidR="00FD111F" w:rsidRDefault="00FD111F" w:rsidP="004E4B1A">
      <w:pPr>
        <w:pStyle w:val="ListParagraph"/>
      </w:pPr>
    </w:p>
    <w:p w:rsidR="00FD111F" w:rsidRDefault="00FD111F" w:rsidP="00FD111F">
      <w:pPr>
        <w:pStyle w:val="ListParagraph"/>
        <w:numPr>
          <w:ilvl w:val="0"/>
          <w:numId w:val="19"/>
        </w:numPr>
        <w:rPr>
          <w:b/>
        </w:rPr>
      </w:pPr>
      <w:r w:rsidRPr="00FD111F">
        <w:rPr>
          <w:b/>
        </w:rPr>
        <w:t>Board Circulars contrary to Supreme Court and High Court judgments (wh</w:t>
      </w:r>
      <w:r>
        <w:rPr>
          <w:b/>
        </w:rPr>
        <w:t>ere Board has decided not to fi</w:t>
      </w:r>
      <w:r w:rsidRPr="00FD111F">
        <w:rPr>
          <w:b/>
        </w:rPr>
        <w:t>le an appeal on merit) n</w:t>
      </w:r>
      <w:r>
        <w:rPr>
          <w:b/>
        </w:rPr>
        <w:t>ot binding on Departmental offi</w:t>
      </w:r>
      <w:r w:rsidRPr="00FD111F">
        <w:rPr>
          <w:b/>
        </w:rPr>
        <w:t>cers</w:t>
      </w:r>
    </w:p>
    <w:p w:rsidR="00FD111F" w:rsidRDefault="00FD111F" w:rsidP="00FD111F">
      <w:pPr>
        <w:pStyle w:val="ListParagraph"/>
        <w:rPr>
          <w:b/>
        </w:rPr>
      </w:pPr>
    </w:p>
    <w:p w:rsidR="00D01D4A" w:rsidRDefault="00D01D4A" w:rsidP="00FD111F">
      <w:pPr>
        <w:pStyle w:val="ListParagraph"/>
      </w:pPr>
      <w:r>
        <w:t xml:space="preserve">Supreme Court in case of </w:t>
      </w:r>
      <w:proofErr w:type="spellStart"/>
      <w:r>
        <w:t>Ratan</w:t>
      </w:r>
      <w:proofErr w:type="spellEnd"/>
      <w:r>
        <w:t xml:space="preserve"> Melting &amp; Wire Industries v. CCE 2008 (231) E.L.T. 22 (S.C.) has held that circulars and instructions issued by the Board are no doubt binding in law on the authorities under the respective statutes, but when the Supreme Court or the High Court declares the law on the question arising for consideration, it would not be appropriate for the Court to direct that the circular should be given effect to and not the view expressed in a decision of this Court or the High Court. So far as the clarifications/ circulars issued by the Central Government and of the State Government are concerned, they represent merely their understanding of the statutory provisions. They are not binding upon the Court. It is for the Court to declare what the particular provision of statute says and it is not for the Executive. A circular which is contrary to the statutory provisions has really no existence in law. </w:t>
      </w:r>
    </w:p>
    <w:p w:rsidR="00D01D4A" w:rsidRDefault="00D01D4A" w:rsidP="00FD111F">
      <w:pPr>
        <w:pStyle w:val="ListParagraph"/>
      </w:pPr>
    </w:p>
    <w:p w:rsidR="00D01D4A" w:rsidRDefault="00D01D4A" w:rsidP="00FD111F">
      <w:pPr>
        <w:pStyle w:val="ListParagraph"/>
      </w:pPr>
      <w:r>
        <w:t xml:space="preserve">In the light of the aforesaid judgment, CBEC, vide Circular No. 1006/13/2015-CX dated 21.09.2015, has clarified that Board Circulars contrary to the </w:t>
      </w:r>
      <w:proofErr w:type="spellStart"/>
      <w:r>
        <w:t>judgements</w:t>
      </w:r>
      <w:proofErr w:type="spellEnd"/>
      <w:r>
        <w:t xml:space="preserve"> of </w:t>
      </w:r>
      <w:proofErr w:type="spellStart"/>
      <w:r>
        <w:t>Hon’ble</w:t>
      </w:r>
      <w:proofErr w:type="spellEnd"/>
      <w:r>
        <w:t xml:space="preserve"> Supreme Court and High Court judgments where Board has decided not to file an appeal on merit, become </w:t>
      </w:r>
      <w:r w:rsidRPr="00D01D4A">
        <w:rPr>
          <w:i/>
        </w:rPr>
        <w:t>non-</w:t>
      </w:r>
      <w:proofErr w:type="spellStart"/>
      <w:r w:rsidRPr="00D01D4A">
        <w:rPr>
          <w:i/>
        </w:rPr>
        <w:t>est</w:t>
      </w:r>
      <w:proofErr w:type="spellEnd"/>
      <w:r>
        <w:t xml:space="preserve"> in law and should not be followed. </w:t>
      </w:r>
    </w:p>
    <w:p w:rsidR="00D01D4A" w:rsidRDefault="00D01D4A" w:rsidP="00FD111F">
      <w:pPr>
        <w:pStyle w:val="ListParagraph"/>
      </w:pPr>
    </w:p>
    <w:p w:rsidR="00FD111F" w:rsidRDefault="00D01D4A" w:rsidP="00FD111F">
      <w:pPr>
        <w:pStyle w:val="ListParagraph"/>
      </w:pPr>
      <w:r>
        <w:t xml:space="preserve">All pending cases decided after the date of the </w:t>
      </w:r>
      <w:proofErr w:type="spellStart"/>
      <w:r>
        <w:t>judgement</w:t>
      </w:r>
      <w:proofErr w:type="spellEnd"/>
      <w:r>
        <w:t xml:space="preserve"> would, conform to the law laid by the </w:t>
      </w:r>
      <w:proofErr w:type="spellStart"/>
      <w:r>
        <w:t>Hon’ble</w:t>
      </w:r>
      <w:proofErr w:type="spellEnd"/>
      <w:r>
        <w:t xml:space="preserve"> Supreme Court or High Court, as the case may be, irrespective of whether the circular has been rescinded or not.</w:t>
      </w:r>
    </w:p>
    <w:p w:rsidR="00B63CF6" w:rsidRDefault="00B63CF6" w:rsidP="00FD111F">
      <w:pPr>
        <w:pStyle w:val="ListParagraph"/>
      </w:pPr>
    </w:p>
    <w:p w:rsidR="00B63CF6" w:rsidRDefault="00C420FE" w:rsidP="00C420FE">
      <w:pPr>
        <w:pStyle w:val="ListParagraph"/>
        <w:numPr>
          <w:ilvl w:val="0"/>
          <w:numId w:val="19"/>
        </w:numPr>
        <w:rPr>
          <w:b/>
        </w:rPr>
      </w:pPr>
      <w:r w:rsidRPr="00C420FE">
        <w:rPr>
          <w:b/>
        </w:rPr>
        <w:t>Clarification regarding CENVAT credit in transit sale through dealer</w:t>
      </w:r>
    </w:p>
    <w:p w:rsidR="00C420FE" w:rsidRDefault="00C420FE" w:rsidP="00C420FE">
      <w:pPr>
        <w:pStyle w:val="ListParagraph"/>
        <w:rPr>
          <w:b/>
        </w:rPr>
      </w:pPr>
    </w:p>
    <w:p w:rsidR="00C420FE" w:rsidRDefault="00C420FE" w:rsidP="00C420FE">
      <w:pPr>
        <w:pStyle w:val="ListParagraph"/>
      </w:pPr>
      <w:r>
        <w:t>If goods are directly sent to any person on the direction of the registered dealer, the invoice will also contain the details of the registered dealer as the buyer and the person as the consignee, and that person will take CENVAT credit on the basis of the registered dealer’s invoice [</w:t>
      </w:r>
      <w:proofErr w:type="spellStart"/>
      <w:r>
        <w:t>Th</w:t>
      </w:r>
      <w:proofErr w:type="spellEnd"/>
      <w:r>
        <w:t xml:space="preserve"> </w:t>
      </w:r>
      <w:proofErr w:type="spellStart"/>
      <w:r>
        <w:t>ird</w:t>
      </w:r>
      <w:proofErr w:type="spellEnd"/>
      <w:r>
        <w:t xml:space="preserve"> proviso to rule 11(2)]. Further, if the goods imported under the cover of a bill of entry are sent directly to buyer’s premises, the invoice issued by the importer should mention that goods are sent directly from the place or port of import to the buyer’s premises [Fourth proviso to rule 11(2)].</w:t>
      </w:r>
    </w:p>
    <w:p w:rsidR="00C420FE" w:rsidRDefault="00C420FE" w:rsidP="00C420FE">
      <w:pPr>
        <w:pStyle w:val="ListParagraph"/>
      </w:pPr>
    </w:p>
    <w:p w:rsidR="00C420FE" w:rsidRDefault="00C420FE" w:rsidP="00C420FE">
      <w:pPr>
        <w:pStyle w:val="ListParagraph"/>
      </w:pPr>
      <w:r>
        <w:t>In this regard, following clarifications have been issued:</w:t>
      </w:r>
    </w:p>
    <w:p w:rsidR="00C420FE" w:rsidRDefault="00C420FE" w:rsidP="00C420FE">
      <w:pPr>
        <w:pStyle w:val="ListParagraph"/>
      </w:pPr>
    </w:p>
    <w:p w:rsidR="00C420FE" w:rsidRPr="00C420FE" w:rsidRDefault="00C420FE" w:rsidP="00C420FE">
      <w:pPr>
        <w:pStyle w:val="ListParagraph"/>
        <w:numPr>
          <w:ilvl w:val="0"/>
          <w:numId w:val="27"/>
        </w:numPr>
        <w:rPr>
          <w:b/>
        </w:rPr>
      </w:pPr>
      <w:r>
        <w:t xml:space="preserve"> Where a registered dealer negotiates sale of an entire consignment from a manufacturer/a registered importer and orders direct transport of goods to the consignee, credit can be availed by the consignee on the basis of invoice issued by the manufacturer or the registered importer. In such cases no CENVATABLE invoice shall be issued by the registered dealer in </w:t>
      </w:r>
      <w:proofErr w:type="spellStart"/>
      <w:r>
        <w:t>favour</w:t>
      </w:r>
      <w:proofErr w:type="spellEnd"/>
      <w:r>
        <w:t xml:space="preserve"> of the consignee though commercial invoice can be issued. Where a registered dealer negotiates sale of goods from the total stock ordered on a manufacturer or an importer to multiple buyers and orders direct transportation of goods to the consignees and the manufacturer or the importer is willing to issue individual invoices for each sale in </w:t>
      </w:r>
      <w:proofErr w:type="spellStart"/>
      <w:r>
        <w:t>favour</w:t>
      </w:r>
      <w:proofErr w:type="spellEnd"/>
      <w:r>
        <w:t xml:space="preserve"> of the consignees for such individual sale, the same procedure shall apply</w:t>
      </w:r>
    </w:p>
    <w:p w:rsidR="00C420FE" w:rsidRPr="00C420FE" w:rsidRDefault="00C420FE" w:rsidP="00C420FE">
      <w:pPr>
        <w:pStyle w:val="ListParagraph"/>
        <w:numPr>
          <w:ilvl w:val="0"/>
          <w:numId w:val="27"/>
        </w:numPr>
        <w:rPr>
          <w:b/>
        </w:rPr>
      </w:pPr>
      <w:r>
        <w:t xml:space="preserve">Where a registered dealer negotiates sale by splitting a consignment procured from a manufacturer or a registered importer and issues CENVATABLE invoices for each of the sale, it would now be possible for the dealer to order direct transport of the consignments as per the individual sales to the consignee without bringing the goods to his </w:t>
      </w:r>
      <w:proofErr w:type="spellStart"/>
      <w:r>
        <w:t>godown</w:t>
      </w:r>
      <w:proofErr w:type="spellEnd"/>
      <w:r>
        <w:t>. This would save time and transportation cost for the dealer adding to ease of doing business. This is a new facility which flows from the amended provisions. Procedure as prescribed in the third proviso of rule 11(2) shall be applicable in such case</w:t>
      </w:r>
    </w:p>
    <w:p w:rsidR="00C420FE" w:rsidRPr="00C420FE" w:rsidRDefault="00C420FE" w:rsidP="00C420FE">
      <w:pPr>
        <w:pStyle w:val="ListParagraph"/>
        <w:numPr>
          <w:ilvl w:val="0"/>
          <w:numId w:val="27"/>
        </w:numPr>
        <w:rPr>
          <w:b/>
        </w:rPr>
      </w:pPr>
      <w:r>
        <w:t xml:space="preserve">Where </w:t>
      </w:r>
      <w:proofErr w:type="gramStart"/>
      <w:r>
        <w:t>a</w:t>
      </w:r>
      <w:proofErr w:type="gramEnd"/>
      <w:r>
        <w:t xml:space="preserve"> un-registered dealer negotiates sale of an entire consignment from a manufacturer or a registered importer and orders direct transport of goods to the consignee, credit can be availed by the consignee on the basis of invoice issued by the manufacturer or the registered importer. As the dealer is not registered, there is no question of issuing any CENVATABLE invoice by him. Such dealers as in the past can continue to be un-registered.</w:t>
      </w:r>
    </w:p>
    <w:p w:rsidR="00C420FE" w:rsidRPr="00C420FE" w:rsidRDefault="00C420FE" w:rsidP="00C420FE">
      <w:pPr>
        <w:pStyle w:val="ListParagraph"/>
        <w:numPr>
          <w:ilvl w:val="0"/>
          <w:numId w:val="27"/>
        </w:numPr>
        <w:rPr>
          <w:b/>
        </w:rPr>
      </w:pPr>
      <w:r>
        <w:t>Where goods are sold by the registered importer to an end-user (say a manufacturer) who would avail credit on the basis of importer’s invoice and the goods are transported directly from the port or warehouse at the port to the buyer’s premises, the amendment prescribes that for such movement the factum of such direct transport to the buyer’s premises needs to be recorded in the invoice</w:t>
      </w:r>
    </w:p>
    <w:p w:rsidR="00C420FE" w:rsidRDefault="00C420FE" w:rsidP="00C420FE">
      <w:pPr>
        <w:pStyle w:val="ListParagraph"/>
        <w:ind w:left="1440"/>
      </w:pPr>
    </w:p>
    <w:p w:rsidR="00C420FE" w:rsidRPr="00C420FE" w:rsidRDefault="00C420FE" w:rsidP="00C420FE">
      <w:pPr>
        <w:pStyle w:val="ListParagraph"/>
        <w:ind w:left="1440"/>
        <w:rPr>
          <w:b/>
        </w:rPr>
      </w:pPr>
      <w:r>
        <w:t>[Circular No. 1003/10/2015 CX dated 05.05.2015]</w:t>
      </w:r>
    </w:p>
    <w:sectPr w:rsidR="00C420FE" w:rsidRPr="00C420FE" w:rsidSect="00AF567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5721C"/>
    <w:multiLevelType w:val="hybridMultilevel"/>
    <w:tmpl w:val="6DA0159E"/>
    <w:lvl w:ilvl="0" w:tplc="B43E5834">
      <w:start w:val="1"/>
      <w:numFmt w:val="lowerRoman"/>
      <w:lvlText w:val="(%1)"/>
      <w:lvlJc w:val="left"/>
      <w:pPr>
        <w:ind w:left="1440" w:hanging="7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4ED2732"/>
    <w:multiLevelType w:val="hybridMultilevel"/>
    <w:tmpl w:val="8948030E"/>
    <w:lvl w:ilvl="0" w:tplc="38126FB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65B08AB"/>
    <w:multiLevelType w:val="multilevel"/>
    <w:tmpl w:val="7FAEB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7D07813"/>
    <w:multiLevelType w:val="hybridMultilevel"/>
    <w:tmpl w:val="B9C42C2A"/>
    <w:lvl w:ilvl="0" w:tplc="03CE480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7DB0E2F"/>
    <w:multiLevelType w:val="multilevel"/>
    <w:tmpl w:val="A67C7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DFA70FF"/>
    <w:multiLevelType w:val="multilevel"/>
    <w:tmpl w:val="8D0EE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CE47D29"/>
    <w:multiLevelType w:val="hybridMultilevel"/>
    <w:tmpl w:val="019E4CFE"/>
    <w:lvl w:ilvl="0" w:tplc="804A3412">
      <w:start w:val="1"/>
      <w:numFmt w:val="low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nsid w:val="219F7679"/>
    <w:multiLevelType w:val="multilevel"/>
    <w:tmpl w:val="B1FA4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C35342C"/>
    <w:multiLevelType w:val="multilevel"/>
    <w:tmpl w:val="39109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FD95C58"/>
    <w:multiLevelType w:val="hybridMultilevel"/>
    <w:tmpl w:val="2EFAAE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1287734"/>
    <w:multiLevelType w:val="multilevel"/>
    <w:tmpl w:val="B218E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18A335B"/>
    <w:multiLevelType w:val="hybridMultilevel"/>
    <w:tmpl w:val="EDAA32DE"/>
    <w:lvl w:ilvl="0" w:tplc="5A0625A8">
      <w:numFmt w:val="bullet"/>
      <w:lvlText w:val="-"/>
      <w:lvlJc w:val="left"/>
      <w:pPr>
        <w:ind w:left="720" w:hanging="360"/>
      </w:pPr>
      <w:rPr>
        <w:rFonts w:ascii="Helvetica" w:eastAsia="Times New Roman" w:hAnsi="Helvetica"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2AD4324"/>
    <w:multiLevelType w:val="hybridMultilevel"/>
    <w:tmpl w:val="6706E546"/>
    <w:lvl w:ilvl="0" w:tplc="D85AA23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3FE462D"/>
    <w:multiLevelType w:val="hybridMultilevel"/>
    <w:tmpl w:val="EBCC881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nsid w:val="3A2608F7"/>
    <w:multiLevelType w:val="multilevel"/>
    <w:tmpl w:val="1DBAB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1FD5095"/>
    <w:multiLevelType w:val="hybridMultilevel"/>
    <w:tmpl w:val="09E85F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4D97729"/>
    <w:multiLevelType w:val="multilevel"/>
    <w:tmpl w:val="79F4E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F9418C3"/>
    <w:multiLevelType w:val="multilevel"/>
    <w:tmpl w:val="628E7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1915DC0"/>
    <w:multiLevelType w:val="hybridMultilevel"/>
    <w:tmpl w:val="4040580E"/>
    <w:lvl w:ilvl="0" w:tplc="6672B77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55444CA1"/>
    <w:multiLevelType w:val="multilevel"/>
    <w:tmpl w:val="21169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DA414BF"/>
    <w:multiLevelType w:val="multilevel"/>
    <w:tmpl w:val="19DA4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02E103F"/>
    <w:multiLevelType w:val="hybridMultilevel"/>
    <w:tmpl w:val="EF124C20"/>
    <w:lvl w:ilvl="0" w:tplc="074071A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61E96A68"/>
    <w:multiLevelType w:val="multilevel"/>
    <w:tmpl w:val="E6864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30D29D0"/>
    <w:multiLevelType w:val="hybridMultilevel"/>
    <w:tmpl w:val="6792C9C0"/>
    <w:lvl w:ilvl="0" w:tplc="1ABAD0D8">
      <w:start w:val="1"/>
      <w:numFmt w:val="lowerRoman"/>
      <w:lvlText w:val="(%1)"/>
      <w:lvlJc w:val="left"/>
      <w:pPr>
        <w:ind w:left="1440" w:hanging="7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660D56D5"/>
    <w:multiLevelType w:val="multilevel"/>
    <w:tmpl w:val="E0FE1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F683903"/>
    <w:multiLevelType w:val="multilevel"/>
    <w:tmpl w:val="C45A6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6C4172F"/>
    <w:multiLevelType w:val="multilevel"/>
    <w:tmpl w:val="37F07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20"/>
  </w:num>
  <w:num w:numId="3">
    <w:abstractNumId w:val="25"/>
  </w:num>
  <w:num w:numId="4">
    <w:abstractNumId w:val="11"/>
  </w:num>
  <w:num w:numId="5">
    <w:abstractNumId w:val="16"/>
  </w:num>
  <w:num w:numId="6">
    <w:abstractNumId w:val="2"/>
  </w:num>
  <w:num w:numId="7">
    <w:abstractNumId w:val="10"/>
  </w:num>
  <w:num w:numId="8">
    <w:abstractNumId w:val="24"/>
  </w:num>
  <w:num w:numId="9">
    <w:abstractNumId w:val="14"/>
  </w:num>
  <w:num w:numId="10">
    <w:abstractNumId w:val="7"/>
  </w:num>
  <w:num w:numId="11">
    <w:abstractNumId w:val="4"/>
  </w:num>
  <w:num w:numId="12">
    <w:abstractNumId w:val="9"/>
  </w:num>
  <w:num w:numId="13">
    <w:abstractNumId w:val="17"/>
  </w:num>
  <w:num w:numId="14">
    <w:abstractNumId w:val="5"/>
  </w:num>
  <w:num w:numId="15">
    <w:abstractNumId w:val="26"/>
  </w:num>
  <w:num w:numId="16">
    <w:abstractNumId w:val="19"/>
  </w:num>
  <w:num w:numId="17">
    <w:abstractNumId w:val="22"/>
  </w:num>
  <w:num w:numId="18">
    <w:abstractNumId w:val="3"/>
  </w:num>
  <w:num w:numId="19">
    <w:abstractNumId w:val="15"/>
  </w:num>
  <w:num w:numId="20">
    <w:abstractNumId w:val="18"/>
  </w:num>
  <w:num w:numId="21">
    <w:abstractNumId w:val="21"/>
  </w:num>
  <w:num w:numId="22">
    <w:abstractNumId w:val="12"/>
  </w:num>
  <w:num w:numId="23">
    <w:abstractNumId w:val="1"/>
  </w:num>
  <w:num w:numId="24">
    <w:abstractNumId w:val="13"/>
  </w:num>
  <w:num w:numId="25">
    <w:abstractNumId w:val="6"/>
  </w:num>
  <w:num w:numId="26">
    <w:abstractNumId w:val="0"/>
  </w:num>
  <w:num w:numId="27">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F73880"/>
    <w:rsid w:val="000028C2"/>
    <w:rsid w:val="000177FC"/>
    <w:rsid w:val="000362E8"/>
    <w:rsid w:val="00041848"/>
    <w:rsid w:val="00054336"/>
    <w:rsid w:val="00055465"/>
    <w:rsid w:val="00060F43"/>
    <w:rsid w:val="000D2385"/>
    <w:rsid w:val="000D3857"/>
    <w:rsid w:val="000E02AC"/>
    <w:rsid w:val="000F510D"/>
    <w:rsid w:val="0016765F"/>
    <w:rsid w:val="00183B51"/>
    <w:rsid w:val="00191263"/>
    <w:rsid w:val="001A464F"/>
    <w:rsid w:val="001D525B"/>
    <w:rsid w:val="002201ED"/>
    <w:rsid w:val="002439E2"/>
    <w:rsid w:val="00334F01"/>
    <w:rsid w:val="00365B8C"/>
    <w:rsid w:val="003F63FF"/>
    <w:rsid w:val="00412084"/>
    <w:rsid w:val="00431375"/>
    <w:rsid w:val="004363BF"/>
    <w:rsid w:val="004862BD"/>
    <w:rsid w:val="004B52BB"/>
    <w:rsid w:val="004D6348"/>
    <w:rsid w:val="004E4B1A"/>
    <w:rsid w:val="00511C11"/>
    <w:rsid w:val="00554BFB"/>
    <w:rsid w:val="0057455A"/>
    <w:rsid w:val="005A0309"/>
    <w:rsid w:val="005A4F71"/>
    <w:rsid w:val="005B2EDC"/>
    <w:rsid w:val="005C06EB"/>
    <w:rsid w:val="005C2209"/>
    <w:rsid w:val="005F5B4D"/>
    <w:rsid w:val="007076C9"/>
    <w:rsid w:val="00740CC4"/>
    <w:rsid w:val="00772809"/>
    <w:rsid w:val="007E0744"/>
    <w:rsid w:val="008650E5"/>
    <w:rsid w:val="008662C6"/>
    <w:rsid w:val="008B1F60"/>
    <w:rsid w:val="008D270B"/>
    <w:rsid w:val="009112A3"/>
    <w:rsid w:val="00925D41"/>
    <w:rsid w:val="00931127"/>
    <w:rsid w:val="00993D1B"/>
    <w:rsid w:val="00A1718D"/>
    <w:rsid w:val="00A65513"/>
    <w:rsid w:val="00A72258"/>
    <w:rsid w:val="00AF5646"/>
    <w:rsid w:val="00AF5673"/>
    <w:rsid w:val="00B213B6"/>
    <w:rsid w:val="00B2226B"/>
    <w:rsid w:val="00B63CF6"/>
    <w:rsid w:val="00B63F14"/>
    <w:rsid w:val="00B660F6"/>
    <w:rsid w:val="00B77395"/>
    <w:rsid w:val="00BD610A"/>
    <w:rsid w:val="00BE6775"/>
    <w:rsid w:val="00C01E8F"/>
    <w:rsid w:val="00C33601"/>
    <w:rsid w:val="00C420FE"/>
    <w:rsid w:val="00C76474"/>
    <w:rsid w:val="00CA1193"/>
    <w:rsid w:val="00CE07D9"/>
    <w:rsid w:val="00CE55A8"/>
    <w:rsid w:val="00D01D4A"/>
    <w:rsid w:val="00D33B94"/>
    <w:rsid w:val="00D57492"/>
    <w:rsid w:val="00DC690D"/>
    <w:rsid w:val="00DE3E3A"/>
    <w:rsid w:val="00E10D11"/>
    <w:rsid w:val="00F20966"/>
    <w:rsid w:val="00F40159"/>
    <w:rsid w:val="00F73880"/>
    <w:rsid w:val="00FD111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5673"/>
  </w:style>
  <w:style w:type="paragraph" w:styleId="Heading1">
    <w:name w:val="heading 1"/>
    <w:basedOn w:val="Normal"/>
    <w:next w:val="Normal"/>
    <w:link w:val="Heading1Char"/>
    <w:uiPriority w:val="9"/>
    <w:qFormat/>
    <w:rsid w:val="00C3360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4B52B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F73880"/>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F73880"/>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73880"/>
    <w:rPr>
      <w:rFonts w:ascii="Times New Roman" w:eastAsia="Times New Roman" w:hAnsi="Times New Roman" w:cs="Times New Roman"/>
      <w:b/>
      <w:bCs/>
      <w:sz w:val="27"/>
      <w:szCs w:val="27"/>
    </w:rPr>
  </w:style>
  <w:style w:type="character" w:customStyle="1" w:styleId="apple-converted-space">
    <w:name w:val="apple-converted-space"/>
    <w:basedOn w:val="DefaultParagraphFont"/>
    <w:rsid w:val="00F73880"/>
  </w:style>
  <w:style w:type="character" w:styleId="Hyperlink">
    <w:name w:val="Hyperlink"/>
    <w:basedOn w:val="DefaultParagraphFont"/>
    <w:uiPriority w:val="99"/>
    <w:semiHidden/>
    <w:unhideWhenUsed/>
    <w:rsid w:val="00F73880"/>
    <w:rPr>
      <w:color w:val="0000FF"/>
      <w:u w:val="single"/>
    </w:rPr>
  </w:style>
  <w:style w:type="character" w:customStyle="1" w:styleId="Heading4Char">
    <w:name w:val="Heading 4 Char"/>
    <w:basedOn w:val="DefaultParagraphFont"/>
    <w:link w:val="Heading4"/>
    <w:uiPriority w:val="9"/>
    <w:semiHidden/>
    <w:rsid w:val="00F73880"/>
    <w:rPr>
      <w:rFonts w:asciiTheme="majorHAnsi" w:eastAsiaTheme="majorEastAsia" w:hAnsiTheme="majorHAnsi" w:cstheme="majorBidi"/>
      <w:b/>
      <w:bCs/>
      <w:i/>
      <w:iCs/>
      <w:color w:val="4F81BD" w:themeColor="accent1"/>
    </w:rPr>
  </w:style>
  <w:style w:type="paragraph" w:styleId="NormalWeb">
    <w:name w:val="Normal (Web)"/>
    <w:basedOn w:val="Normal"/>
    <w:uiPriority w:val="99"/>
    <w:unhideWhenUsed/>
    <w:rsid w:val="00F73880"/>
    <w:pPr>
      <w:spacing w:before="100" w:beforeAutospacing="1" w:after="100" w:afterAutospacing="1"/>
    </w:pPr>
    <w:rPr>
      <w:rFonts w:ascii="Times New Roman" w:eastAsia="Times New Roman" w:hAnsi="Times New Roman" w:cs="Times New Roman"/>
      <w:sz w:val="24"/>
      <w:szCs w:val="24"/>
    </w:rPr>
  </w:style>
  <w:style w:type="character" w:styleId="Emphasis">
    <w:name w:val="Emphasis"/>
    <w:basedOn w:val="DefaultParagraphFont"/>
    <w:uiPriority w:val="20"/>
    <w:qFormat/>
    <w:rsid w:val="00F73880"/>
    <w:rPr>
      <w:i/>
      <w:iCs/>
    </w:rPr>
  </w:style>
  <w:style w:type="paragraph" w:customStyle="1" w:styleId="text">
    <w:name w:val="text"/>
    <w:basedOn w:val="Normal"/>
    <w:rsid w:val="00412084"/>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412084"/>
    <w:rPr>
      <w:b/>
      <w:bCs/>
    </w:rPr>
  </w:style>
  <w:style w:type="character" w:customStyle="1" w:styleId="Heading2Char">
    <w:name w:val="Heading 2 Char"/>
    <w:basedOn w:val="DefaultParagraphFont"/>
    <w:link w:val="Heading2"/>
    <w:uiPriority w:val="9"/>
    <w:semiHidden/>
    <w:rsid w:val="004B52BB"/>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5A0309"/>
    <w:pPr>
      <w:ind w:left="720"/>
      <w:contextualSpacing/>
    </w:pPr>
  </w:style>
  <w:style w:type="character" w:customStyle="1" w:styleId="Heading1Char">
    <w:name w:val="Heading 1 Char"/>
    <w:basedOn w:val="DefaultParagraphFont"/>
    <w:link w:val="Heading1"/>
    <w:uiPriority w:val="9"/>
    <w:rsid w:val="00C33601"/>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C33601"/>
    <w:rPr>
      <w:rFonts w:ascii="Tahoma" w:hAnsi="Tahoma" w:cs="Tahoma"/>
      <w:sz w:val="16"/>
      <w:szCs w:val="16"/>
    </w:rPr>
  </w:style>
  <w:style w:type="character" w:customStyle="1" w:styleId="BalloonTextChar">
    <w:name w:val="Balloon Text Char"/>
    <w:basedOn w:val="DefaultParagraphFont"/>
    <w:link w:val="BalloonText"/>
    <w:uiPriority w:val="99"/>
    <w:semiHidden/>
    <w:rsid w:val="00C3360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2237325">
      <w:bodyDiv w:val="1"/>
      <w:marLeft w:val="0"/>
      <w:marRight w:val="0"/>
      <w:marTop w:val="0"/>
      <w:marBottom w:val="0"/>
      <w:divBdr>
        <w:top w:val="none" w:sz="0" w:space="0" w:color="auto"/>
        <w:left w:val="none" w:sz="0" w:space="0" w:color="auto"/>
        <w:bottom w:val="none" w:sz="0" w:space="0" w:color="auto"/>
        <w:right w:val="none" w:sz="0" w:space="0" w:color="auto"/>
      </w:divBdr>
    </w:div>
    <w:div w:id="170730239">
      <w:bodyDiv w:val="1"/>
      <w:marLeft w:val="0"/>
      <w:marRight w:val="0"/>
      <w:marTop w:val="0"/>
      <w:marBottom w:val="0"/>
      <w:divBdr>
        <w:top w:val="none" w:sz="0" w:space="0" w:color="auto"/>
        <w:left w:val="none" w:sz="0" w:space="0" w:color="auto"/>
        <w:bottom w:val="none" w:sz="0" w:space="0" w:color="auto"/>
        <w:right w:val="none" w:sz="0" w:space="0" w:color="auto"/>
      </w:divBdr>
    </w:div>
    <w:div w:id="232856051">
      <w:bodyDiv w:val="1"/>
      <w:marLeft w:val="0"/>
      <w:marRight w:val="0"/>
      <w:marTop w:val="0"/>
      <w:marBottom w:val="0"/>
      <w:divBdr>
        <w:top w:val="none" w:sz="0" w:space="0" w:color="auto"/>
        <w:left w:val="none" w:sz="0" w:space="0" w:color="auto"/>
        <w:bottom w:val="none" w:sz="0" w:space="0" w:color="auto"/>
        <w:right w:val="none" w:sz="0" w:space="0" w:color="auto"/>
      </w:divBdr>
    </w:div>
    <w:div w:id="235475122">
      <w:bodyDiv w:val="1"/>
      <w:marLeft w:val="0"/>
      <w:marRight w:val="0"/>
      <w:marTop w:val="0"/>
      <w:marBottom w:val="0"/>
      <w:divBdr>
        <w:top w:val="none" w:sz="0" w:space="0" w:color="auto"/>
        <w:left w:val="none" w:sz="0" w:space="0" w:color="auto"/>
        <w:bottom w:val="none" w:sz="0" w:space="0" w:color="auto"/>
        <w:right w:val="none" w:sz="0" w:space="0" w:color="auto"/>
      </w:divBdr>
    </w:div>
    <w:div w:id="297106613">
      <w:bodyDiv w:val="1"/>
      <w:marLeft w:val="0"/>
      <w:marRight w:val="0"/>
      <w:marTop w:val="0"/>
      <w:marBottom w:val="0"/>
      <w:divBdr>
        <w:top w:val="none" w:sz="0" w:space="0" w:color="auto"/>
        <w:left w:val="none" w:sz="0" w:space="0" w:color="auto"/>
        <w:bottom w:val="none" w:sz="0" w:space="0" w:color="auto"/>
        <w:right w:val="none" w:sz="0" w:space="0" w:color="auto"/>
      </w:divBdr>
    </w:div>
    <w:div w:id="319424381">
      <w:bodyDiv w:val="1"/>
      <w:marLeft w:val="0"/>
      <w:marRight w:val="0"/>
      <w:marTop w:val="0"/>
      <w:marBottom w:val="0"/>
      <w:divBdr>
        <w:top w:val="none" w:sz="0" w:space="0" w:color="auto"/>
        <w:left w:val="none" w:sz="0" w:space="0" w:color="auto"/>
        <w:bottom w:val="none" w:sz="0" w:space="0" w:color="auto"/>
        <w:right w:val="none" w:sz="0" w:space="0" w:color="auto"/>
      </w:divBdr>
    </w:div>
    <w:div w:id="386801262">
      <w:bodyDiv w:val="1"/>
      <w:marLeft w:val="0"/>
      <w:marRight w:val="0"/>
      <w:marTop w:val="0"/>
      <w:marBottom w:val="0"/>
      <w:divBdr>
        <w:top w:val="none" w:sz="0" w:space="0" w:color="auto"/>
        <w:left w:val="none" w:sz="0" w:space="0" w:color="auto"/>
        <w:bottom w:val="none" w:sz="0" w:space="0" w:color="auto"/>
        <w:right w:val="none" w:sz="0" w:space="0" w:color="auto"/>
      </w:divBdr>
      <w:divsChild>
        <w:div w:id="462885957">
          <w:marLeft w:val="0"/>
          <w:marRight w:val="0"/>
          <w:marTop w:val="0"/>
          <w:marBottom w:val="0"/>
          <w:divBdr>
            <w:top w:val="none" w:sz="0" w:space="0" w:color="auto"/>
            <w:left w:val="none" w:sz="0" w:space="0" w:color="auto"/>
            <w:bottom w:val="none" w:sz="0" w:space="0" w:color="auto"/>
            <w:right w:val="none" w:sz="0" w:space="0" w:color="auto"/>
          </w:divBdr>
          <w:divsChild>
            <w:div w:id="1834173942">
              <w:marLeft w:val="0"/>
              <w:marRight w:val="0"/>
              <w:marTop w:val="0"/>
              <w:marBottom w:val="0"/>
              <w:divBdr>
                <w:top w:val="none" w:sz="0" w:space="0" w:color="auto"/>
                <w:left w:val="none" w:sz="0" w:space="0" w:color="auto"/>
                <w:bottom w:val="none" w:sz="0" w:space="0" w:color="auto"/>
                <w:right w:val="none" w:sz="0" w:space="0" w:color="auto"/>
              </w:divBdr>
              <w:divsChild>
                <w:div w:id="793716089">
                  <w:marLeft w:val="0"/>
                  <w:marRight w:val="0"/>
                  <w:marTop w:val="0"/>
                  <w:marBottom w:val="340"/>
                  <w:divBdr>
                    <w:top w:val="none" w:sz="0" w:space="0" w:color="auto"/>
                    <w:left w:val="none" w:sz="0" w:space="0" w:color="auto"/>
                    <w:bottom w:val="none" w:sz="0" w:space="0" w:color="auto"/>
                    <w:right w:val="none" w:sz="0" w:space="0" w:color="auto"/>
                  </w:divBdr>
                  <w:divsChild>
                    <w:div w:id="1834560703">
                      <w:marLeft w:val="0"/>
                      <w:marRight w:val="0"/>
                      <w:marTop w:val="0"/>
                      <w:marBottom w:val="0"/>
                      <w:divBdr>
                        <w:top w:val="none" w:sz="0" w:space="0" w:color="auto"/>
                        <w:left w:val="none" w:sz="0" w:space="0" w:color="auto"/>
                        <w:bottom w:val="none" w:sz="0" w:space="0" w:color="auto"/>
                        <w:right w:val="none" w:sz="0" w:space="0" w:color="auto"/>
                      </w:divBdr>
                      <w:divsChild>
                        <w:div w:id="94904143">
                          <w:marLeft w:val="0"/>
                          <w:marRight w:val="204"/>
                          <w:marTop w:val="0"/>
                          <w:marBottom w:val="0"/>
                          <w:divBdr>
                            <w:top w:val="none" w:sz="0" w:space="0" w:color="auto"/>
                            <w:left w:val="none" w:sz="0" w:space="0" w:color="auto"/>
                            <w:bottom w:val="none" w:sz="0" w:space="0" w:color="auto"/>
                            <w:right w:val="none" w:sz="0" w:space="0" w:color="auto"/>
                          </w:divBdr>
                        </w:div>
                        <w:div w:id="687289970">
                          <w:marLeft w:val="0"/>
                          <w:marRight w:val="0"/>
                          <w:marTop w:val="0"/>
                          <w:marBottom w:val="0"/>
                          <w:divBdr>
                            <w:top w:val="none" w:sz="0" w:space="0" w:color="auto"/>
                            <w:left w:val="none" w:sz="0" w:space="0" w:color="auto"/>
                            <w:bottom w:val="none" w:sz="0" w:space="0" w:color="auto"/>
                            <w:right w:val="none" w:sz="0" w:space="0" w:color="auto"/>
                          </w:divBdr>
                          <w:divsChild>
                            <w:div w:id="468976634">
                              <w:marLeft w:val="0"/>
                              <w:marRight w:val="0"/>
                              <w:marTop w:val="0"/>
                              <w:marBottom w:val="0"/>
                              <w:divBdr>
                                <w:top w:val="none" w:sz="0" w:space="0" w:color="auto"/>
                                <w:left w:val="none" w:sz="0" w:space="0" w:color="auto"/>
                                <w:bottom w:val="none" w:sz="0" w:space="0" w:color="auto"/>
                                <w:right w:val="none" w:sz="0" w:space="0" w:color="auto"/>
                              </w:divBdr>
                            </w:div>
                            <w:div w:id="163402308">
                              <w:marLeft w:val="0"/>
                              <w:marRight w:val="0"/>
                              <w:marTop w:val="0"/>
                              <w:marBottom w:val="0"/>
                              <w:divBdr>
                                <w:top w:val="none" w:sz="0" w:space="0" w:color="auto"/>
                                <w:left w:val="none" w:sz="0" w:space="0" w:color="auto"/>
                                <w:bottom w:val="none" w:sz="0" w:space="0" w:color="auto"/>
                                <w:right w:val="none" w:sz="0" w:space="0" w:color="auto"/>
                              </w:divBdr>
                            </w:div>
                          </w:divsChild>
                        </w:div>
                        <w:div w:id="1534028443">
                          <w:marLeft w:val="0"/>
                          <w:marRight w:val="0"/>
                          <w:marTop w:val="68"/>
                          <w:marBottom w:val="0"/>
                          <w:divBdr>
                            <w:top w:val="none" w:sz="0" w:space="0" w:color="auto"/>
                            <w:left w:val="none" w:sz="0" w:space="0" w:color="auto"/>
                            <w:bottom w:val="none" w:sz="0" w:space="0" w:color="auto"/>
                            <w:right w:val="none" w:sz="0" w:space="0" w:color="auto"/>
                          </w:divBdr>
                        </w:div>
                      </w:divsChild>
                    </w:div>
                  </w:divsChild>
                </w:div>
              </w:divsChild>
            </w:div>
          </w:divsChild>
        </w:div>
        <w:div w:id="1573470370">
          <w:marLeft w:val="0"/>
          <w:marRight w:val="0"/>
          <w:marTop w:val="0"/>
          <w:marBottom w:val="0"/>
          <w:divBdr>
            <w:top w:val="none" w:sz="0" w:space="0" w:color="auto"/>
            <w:left w:val="none" w:sz="0" w:space="0" w:color="auto"/>
            <w:bottom w:val="none" w:sz="0" w:space="0" w:color="auto"/>
            <w:right w:val="none" w:sz="0" w:space="0" w:color="auto"/>
          </w:divBdr>
          <w:divsChild>
            <w:div w:id="1702972667">
              <w:marLeft w:val="0"/>
              <w:marRight w:val="0"/>
              <w:marTop w:val="0"/>
              <w:marBottom w:val="0"/>
              <w:divBdr>
                <w:top w:val="none" w:sz="0" w:space="0" w:color="auto"/>
                <w:left w:val="none" w:sz="0" w:space="0" w:color="auto"/>
                <w:bottom w:val="none" w:sz="0" w:space="0" w:color="auto"/>
                <w:right w:val="none" w:sz="0" w:space="0" w:color="auto"/>
              </w:divBdr>
              <w:divsChild>
                <w:div w:id="1368677278">
                  <w:marLeft w:val="0"/>
                  <w:marRight w:val="0"/>
                  <w:marTop w:val="0"/>
                  <w:marBottom w:val="0"/>
                  <w:divBdr>
                    <w:top w:val="none" w:sz="0" w:space="0" w:color="auto"/>
                    <w:left w:val="none" w:sz="0" w:space="0" w:color="auto"/>
                    <w:bottom w:val="none" w:sz="0" w:space="0" w:color="auto"/>
                    <w:right w:val="none" w:sz="0" w:space="0" w:color="auto"/>
                  </w:divBdr>
                  <w:divsChild>
                    <w:div w:id="380783780">
                      <w:marLeft w:val="0"/>
                      <w:marRight w:val="0"/>
                      <w:marTop w:val="0"/>
                      <w:marBottom w:val="0"/>
                      <w:divBdr>
                        <w:top w:val="none" w:sz="0" w:space="0" w:color="auto"/>
                        <w:left w:val="none" w:sz="0" w:space="0" w:color="auto"/>
                        <w:bottom w:val="none" w:sz="0" w:space="0" w:color="auto"/>
                        <w:right w:val="none" w:sz="0" w:space="0" w:color="auto"/>
                      </w:divBdr>
                      <w:divsChild>
                        <w:div w:id="818695613">
                          <w:marLeft w:val="0"/>
                          <w:marRight w:val="0"/>
                          <w:marTop w:val="0"/>
                          <w:marBottom w:val="0"/>
                          <w:divBdr>
                            <w:top w:val="none" w:sz="0" w:space="0" w:color="auto"/>
                            <w:left w:val="none" w:sz="0" w:space="0" w:color="auto"/>
                            <w:bottom w:val="single" w:sz="6" w:space="10" w:color="E3E3E3"/>
                            <w:right w:val="none" w:sz="0" w:space="0" w:color="auto"/>
                          </w:divBdr>
                        </w:div>
                        <w:div w:id="1287851524">
                          <w:marLeft w:val="0"/>
                          <w:marRight w:val="0"/>
                          <w:marTop w:val="0"/>
                          <w:marBottom w:val="0"/>
                          <w:divBdr>
                            <w:top w:val="none" w:sz="0" w:space="0" w:color="auto"/>
                            <w:left w:val="none" w:sz="0" w:space="0" w:color="auto"/>
                            <w:bottom w:val="single" w:sz="6" w:space="10" w:color="E3E3E3"/>
                            <w:right w:val="none" w:sz="0" w:space="0" w:color="auto"/>
                          </w:divBdr>
                        </w:div>
                      </w:divsChild>
                    </w:div>
                  </w:divsChild>
                </w:div>
              </w:divsChild>
            </w:div>
          </w:divsChild>
        </w:div>
        <w:div w:id="267587095">
          <w:marLeft w:val="0"/>
          <w:marRight w:val="0"/>
          <w:marTop w:val="0"/>
          <w:marBottom w:val="0"/>
          <w:divBdr>
            <w:top w:val="none" w:sz="0" w:space="0" w:color="auto"/>
            <w:left w:val="none" w:sz="0" w:space="0" w:color="auto"/>
            <w:bottom w:val="none" w:sz="0" w:space="0" w:color="auto"/>
            <w:right w:val="none" w:sz="0" w:space="0" w:color="auto"/>
          </w:divBdr>
          <w:divsChild>
            <w:div w:id="1580678285">
              <w:marLeft w:val="0"/>
              <w:marRight w:val="0"/>
              <w:marTop w:val="0"/>
              <w:marBottom w:val="0"/>
              <w:divBdr>
                <w:top w:val="none" w:sz="0" w:space="0" w:color="auto"/>
                <w:left w:val="none" w:sz="0" w:space="0" w:color="auto"/>
                <w:bottom w:val="none" w:sz="0" w:space="0" w:color="auto"/>
                <w:right w:val="none" w:sz="0" w:space="0" w:color="auto"/>
              </w:divBdr>
              <w:divsChild>
                <w:div w:id="1636596844">
                  <w:marLeft w:val="0"/>
                  <w:marRight w:val="0"/>
                  <w:marTop w:val="0"/>
                  <w:marBottom w:val="0"/>
                  <w:divBdr>
                    <w:top w:val="none" w:sz="0" w:space="0" w:color="auto"/>
                    <w:left w:val="none" w:sz="0" w:space="0" w:color="auto"/>
                    <w:bottom w:val="none" w:sz="0" w:space="0" w:color="auto"/>
                    <w:right w:val="none" w:sz="0" w:space="0" w:color="auto"/>
                  </w:divBdr>
                  <w:divsChild>
                    <w:div w:id="751926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7383041">
      <w:bodyDiv w:val="1"/>
      <w:marLeft w:val="0"/>
      <w:marRight w:val="0"/>
      <w:marTop w:val="0"/>
      <w:marBottom w:val="0"/>
      <w:divBdr>
        <w:top w:val="none" w:sz="0" w:space="0" w:color="auto"/>
        <w:left w:val="none" w:sz="0" w:space="0" w:color="auto"/>
        <w:bottom w:val="none" w:sz="0" w:space="0" w:color="auto"/>
        <w:right w:val="none" w:sz="0" w:space="0" w:color="auto"/>
      </w:divBdr>
    </w:div>
    <w:div w:id="607393767">
      <w:bodyDiv w:val="1"/>
      <w:marLeft w:val="0"/>
      <w:marRight w:val="0"/>
      <w:marTop w:val="0"/>
      <w:marBottom w:val="0"/>
      <w:divBdr>
        <w:top w:val="none" w:sz="0" w:space="0" w:color="auto"/>
        <w:left w:val="none" w:sz="0" w:space="0" w:color="auto"/>
        <w:bottom w:val="none" w:sz="0" w:space="0" w:color="auto"/>
        <w:right w:val="none" w:sz="0" w:space="0" w:color="auto"/>
      </w:divBdr>
    </w:div>
    <w:div w:id="683946004">
      <w:bodyDiv w:val="1"/>
      <w:marLeft w:val="0"/>
      <w:marRight w:val="0"/>
      <w:marTop w:val="0"/>
      <w:marBottom w:val="0"/>
      <w:divBdr>
        <w:top w:val="none" w:sz="0" w:space="0" w:color="auto"/>
        <w:left w:val="none" w:sz="0" w:space="0" w:color="auto"/>
        <w:bottom w:val="none" w:sz="0" w:space="0" w:color="auto"/>
        <w:right w:val="none" w:sz="0" w:space="0" w:color="auto"/>
      </w:divBdr>
    </w:div>
    <w:div w:id="720517721">
      <w:bodyDiv w:val="1"/>
      <w:marLeft w:val="0"/>
      <w:marRight w:val="0"/>
      <w:marTop w:val="0"/>
      <w:marBottom w:val="0"/>
      <w:divBdr>
        <w:top w:val="none" w:sz="0" w:space="0" w:color="auto"/>
        <w:left w:val="none" w:sz="0" w:space="0" w:color="auto"/>
        <w:bottom w:val="none" w:sz="0" w:space="0" w:color="auto"/>
        <w:right w:val="none" w:sz="0" w:space="0" w:color="auto"/>
      </w:divBdr>
    </w:div>
    <w:div w:id="752898547">
      <w:bodyDiv w:val="1"/>
      <w:marLeft w:val="0"/>
      <w:marRight w:val="0"/>
      <w:marTop w:val="0"/>
      <w:marBottom w:val="0"/>
      <w:divBdr>
        <w:top w:val="none" w:sz="0" w:space="0" w:color="auto"/>
        <w:left w:val="none" w:sz="0" w:space="0" w:color="auto"/>
        <w:bottom w:val="none" w:sz="0" w:space="0" w:color="auto"/>
        <w:right w:val="none" w:sz="0" w:space="0" w:color="auto"/>
      </w:divBdr>
    </w:div>
    <w:div w:id="771586463">
      <w:bodyDiv w:val="1"/>
      <w:marLeft w:val="0"/>
      <w:marRight w:val="0"/>
      <w:marTop w:val="0"/>
      <w:marBottom w:val="0"/>
      <w:divBdr>
        <w:top w:val="none" w:sz="0" w:space="0" w:color="auto"/>
        <w:left w:val="none" w:sz="0" w:space="0" w:color="auto"/>
        <w:bottom w:val="none" w:sz="0" w:space="0" w:color="auto"/>
        <w:right w:val="none" w:sz="0" w:space="0" w:color="auto"/>
      </w:divBdr>
    </w:div>
    <w:div w:id="939139076">
      <w:bodyDiv w:val="1"/>
      <w:marLeft w:val="0"/>
      <w:marRight w:val="0"/>
      <w:marTop w:val="0"/>
      <w:marBottom w:val="0"/>
      <w:divBdr>
        <w:top w:val="none" w:sz="0" w:space="0" w:color="auto"/>
        <w:left w:val="none" w:sz="0" w:space="0" w:color="auto"/>
        <w:bottom w:val="none" w:sz="0" w:space="0" w:color="auto"/>
        <w:right w:val="none" w:sz="0" w:space="0" w:color="auto"/>
      </w:divBdr>
    </w:div>
    <w:div w:id="974287297">
      <w:bodyDiv w:val="1"/>
      <w:marLeft w:val="0"/>
      <w:marRight w:val="0"/>
      <w:marTop w:val="0"/>
      <w:marBottom w:val="0"/>
      <w:divBdr>
        <w:top w:val="none" w:sz="0" w:space="0" w:color="auto"/>
        <w:left w:val="none" w:sz="0" w:space="0" w:color="auto"/>
        <w:bottom w:val="none" w:sz="0" w:space="0" w:color="auto"/>
        <w:right w:val="none" w:sz="0" w:space="0" w:color="auto"/>
      </w:divBdr>
      <w:divsChild>
        <w:div w:id="1023703757">
          <w:marLeft w:val="0"/>
          <w:marRight w:val="0"/>
          <w:marTop w:val="0"/>
          <w:marBottom w:val="0"/>
          <w:divBdr>
            <w:top w:val="none" w:sz="0" w:space="0" w:color="auto"/>
            <w:left w:val="none" w:sz="0" w:space="0" w:color="auto"/>
            <w:bottom w:val="none" w:sz="0" w:space="0" w:color="auto"/>
            <w:right w:val="none" w:sz="0" w:space="0" w:color="auto"/>
          </w:divBdr>
        </w:div>
      </w:divsChild>
    </w:div>
    <w:div w:id="974942717">
      <w:bodyDiv w:val="1"/>
      <w:marLeft w:val="0"/>
      <w:marRight w:val="0"/>
      <w:marTop w:val="0"/>
      <w:marBottom w:val="0"/>
      <w:divBdr>
        <w:top w:val="none" w:sz="0" w:space="0" w:color="auto"/>
        <w:left w:val="none" w:sz="0" w:space="0" w:color="auto"/>
        <w:bottom w:val="none" w:sz="0" w:space="0" w:color="auto"/>
        <w:right w:val="none" w:sz="0" w:space="0" w:color="auto"/>
      </w:divBdr>
    </w:div>
    <w:div w:id="1057319205">
      <w:bodyDiv w:val="1"/>
      <w:marLeft w:val="0"/>
      <w:marRight w:val="0"/>
      <w:marTop w:val="0"/>
      <w:marBottom w:val="0"/>
      <w:divBdr>
        <w:top w:val="none" w:sz="0" w:space="0" w:color="auto"/>
        <w:left w:val="none" w:sz="0" w:space="0" w:color="auto"/>
        <w:bottom w:val="none" w:sz="0" w:space="0" w:color="auto"/>
        <w:right w:val="none" w:sz="0" w:space="0" w:color="auto"/>
      </w:divBdr>
    </w:div>
    <w:div w:id="1150294809">
      <w:bodyDiv w:val="1"/>
      <w:marLeft w:val="0"/>
      <w:marRight w:val="0"/>
      <w:marTop w:val="0"/>
      <w:marBottom w:val="0"/>
      <w:divBdr>
        <w:top w:val="none" w:sz="0" w:space="0" w:color="auto"/>
        <w:left w:val="none" w:sz="0" w:space="0" w:color="auto"/>
        <w:bottom w:val="none" w:sz="0" w:space="0" w:color="auto"/>
        <w:right w:val="none" w:sz="0" w:space="0" w:color="auto"/>
      </w:divBdr>
    </w:div>
    <w:div w:id="1307515937">
      <w:bodyDiv w:val="1"/>
      <w:marLeft w:val="0"/>
      <w:marRight w:val="0"/>
      <w:marTop w:val="0"/>
      <w:marBottom w:val="0"/>
      <w:divBdr>
        <w:top w:val="none" w:sz="0" w:space="0" w:color="auto"/>
        <w:left w:val="none" w:sz="0" w:space="0" w:color="auto"/>
        <w:bottom w:val="none" w:sz="0" w:space="0" w:color="auto"/>
        <w:right w:val="none" w:sz="0" w:space="0" w:color="auto"/>
      </w:divBdr>
    </w:div>
    <w:div w:id="1361585349">
      <w:bodyDiv w:val="1"/>
      <w:marLeft w:val="0"/>
      <w:marRight w:val="0"/>
      <w:marTop w:val="0"/>
      <w:marBottom w:val="0"/>
      <w:divBdr>
        <w:top w:val="none" w:sz="0" w:space="0" w:color="auto"/>
        <w:left w:val="none" w:sz="0" w:space="0" w:color="auto"/>
        <w:bottom w:val="none" w:sz="0" w:space="0" w:color="auto"/>
        <w:right w:val="none" w:sz="0" w:space="0" w:color="auto"/>
      </w:divBdr>
    </w:div>
    <w:div w:id="1402405092">
      <w:bodyDiv w:val="1"/>
      <w:marLeft w:val="0"/>
      <w:marRight w:val="0"/>
      <w:marTop w:val="0"/>
      <w:marBottom w:val="0"/>
      <w:divBdr>
        <w:top w:val="none" w:sz="0" w:space="0" w:color="auto"/>
        <w:left w:val="none" w:sz="0" w:space="0" w:color="auto"/>
        <w:bottom w:val="none" w:sz="0" w:space="0" w:color="auto"/>
        <w:right w:val="none" w:sz="0" w:space="0" w:color="auto"/>
      </w:divBdr>
    </w:div>
    <w:div w:id="1540238319">
      <w:bodyDiv w:val="1"/>
      <w:marLeft w:val="0"/>
      <w:marRight w:val="0"/>
      <w:marTop w:val="0"/>
      <w:marBottom w:val="0"/>
      <w:divBdr>
        <w:top w:val="none" w:sz="0" w:space="0" w:color="auto"/>
        <w:left w:val="none" w:sz="0" w:space="0" w:color="auto"/>
        <w:bottom w:val="none" w:sz="0" w:space="0" w:color="auto"/>
        <w:right w:val="none" w:sz="0" w:space="0" w:color="auto"/>
      </w:divBdr>
    </w:div>
    <w:div w:id="1581870441">
      <w:bodyDiv w:val="1"/>
      <w:marLeft w:val="0"/>
      <w:marRight w:val="0"/>
      <w:marTop w:val="0"/>
      <w:marBottom w:val="0"/>
      <w:divBdr>
        <w:top w:val="none" w:sz="0" w:space="0" w:color="auto"/>
        <w:left w:val="none" w:sz="0" w:space="0" w:color="auto"/>
        <w:bottom w:val="none" w:sz="0" w:space="0" w:color="auto"/>
        <w:right w:val="none" w:sz="0" w:space="0" w:color="auto"/>
      </w:divBdr>
    </w:div>
    <w:div w:id="1652178688">
      <w:bodyDiv w:val="1"/>
      <w:marLeft w:val="0"/>
      <w:marRight w:val="0"/>
      <w:marTop w:val="0"/>
      <w:marBottom w:val="0"/>
      <w:divBdr>
        <w:top w:val="none" w:sz="0" w:space="0" w:color="auto"/>
        <w:left w:val="none" w:sz="0" w:space="0" w:color="auto"/>
        <w:bottom w:val="none" w:sz="0" w:space="0" w:color="auto"/>
        <w:right w:val="none" w:sz="0" w:space="0" w:color="auto"/>
      </w:divBdr>
    </w:div>
    <w:div w:id="1671905877">
      <w:bodyDiv w:val="1"/>
      <w:marLeft w:val="0"/>
      <w:marRight w:val="0"/>
      <w:marTop w:val="0"/>
      <w:marBottom w:val="0"/>
      <w:divBdr>
        <w:top w:val="none" w:sz="0" w:space="0" w:color="auto"/>
        <w:left w:val="none" w:sz="0" w:space="0" w:color="auto"/>
        <w:bottom w:val="none" w:sz="0" w:space="0" w:color="auto"/>
        <w:right w:val="none" w:sz="0" w:space="0" w:color="auto"/>
      </w:divBdr>
    </w:div>
    <w:div w:id="1677078182">
      <w:bodyDiv w:val="1"/>
      <w:marLeft w:val="0"/>
      <w:marRight w:val="0"/>
      <w:marTop w:val="0"/>
      <w:marBottom w:val="0"/>
      <w:divBdr>
        <w:top w:val="none" w:sz="0" w:space="0" w:color="auto"/>
        <w:left w:val="none" w:sz="0" w:space="0" w:color="auto"/>
        <w:bottom w:val="none" w:sz="0" w:space="0" w:color="auto"/>
        <w:right w:val="none" w:sz="0" w:space="0" w:color="auto"/>
      </w:divBdr>
    </w:div>
    <w:div w:id="1699429752">
      <w:bodyDiv w:val="1"/>
      <w:marLeft w:val="0"/>
      <w:marRight w:val="0"/>
      <w:marTop w:val="0"/>
      <w:marBottom w:val="0"/>
      <w:divBdr>
        <w:top w:val="none" w:sz="0" w:space="0" w:color="auto"/>
        <w:left w:val="none" w:sz="0" w:space="0" w:color="auto"/>
        <w:bottom w:val="none" w:sz="0" w:space="0" w:color="auto"/>
        <w:right w:val="none" w:sz="0" w:space="0" w:color="auto"/>
      </w:divBdr>
    </w:div>
    <w:div w:id="1735006740">
      <w:bodyDiv w:val="1"/>
      <w:marLeft w:val="0"/>
      <w:marRight w:val="0"/>
      <w:marTop w:val="0"/>
      <w:marBottom w:val="0"/>
      <w:divBdr>
        <w:top w:val="none" w:sz="0" w:space="0" w:color="auto"/>
        <w:left w:val="none" w:sz="0" w:space="0" w:color="auto"/>
        <w:bottom w:val="none" w:sz="0" w:space="0" w:color="auto"/>
        <w:right w:val="none" w:sz="0" w:space="0" w:color="auto"/>
      </w:divBdr>
    </w:div>
    <w:div w:id="1851096096">
      <w:bodyDiv w:val="1"/>
      <w:marLeft w:val="0"/>
      <w:marRight w:val="0"/>
      <w:marTop w:val="0"/>
      <w:marBottom w:val="0"/>
      <w:divBdr>
        <w:top w:val="none" w:sz="0" w:space="0" w:color="auto"/>
        <w:left w:val="none" w:sz="0" w:space="0" w:color="auto"/>
        <w:bottom w:val="none" w:sz="0" w:space="0" w:color="auto"/>
        <w:right w:val="none" w:sz="0" w:space="0" w:color="auto"/>
      </w:divBdr>
    </w:div>
    <w:div w:id="1865439193">
      <w:bodyDiv w:val="1"/>
      <w:marLeft w:val="0"/>
      <w:marRight w:val="0"/>
      <w:marTop w:val="0"/>
      <w:marBottom w:val="0"/>
      <w:divBdr>
        <w:top w:val="none" w:sz="0" w:space="0" w:color="auto"/>
        <w:left w:val="none" w:sz="0" w:space="0" w:color="auto"/>
        <w:bottom w:val="none" w:sz="0" w:space="0" w:color="auto"/>
        <w:right w:val="none" w:sz="0" w:space="0" w:color="auto"/>
      </w:divBdr>
    </w:div>
    <w:div w:id="1875465035">
      <w:bodyDiv w:val="1"/>
      <w:marLeft w:val="0"/>
      <w:marRight w:val="0"/>
      <w:marTop w:val="0"/>
      <w:marBottom w:val="0"/>
      <w:divBdr>
        <w:top w:val="none" w:sz="0" w:space="0" w:color="auto"/>
        <w:left w:val="none" w:sz="0" w:space="0" w:color="auto"/>
        <w:bottom w:val="none" w:sz="0" w:space="0" w:color="auto"/>
        <w:right w:val="none" w:sz="0" w:space="0" w:color="auto"/>
      </w:divBdr>
    </w:div>
    <w:div w:id="1896088757">
      <w:bodyDiv w:val="1"/>
      <w:marLeft w:val="0"/>
      <w:marRight w:val="0"/>
      <w:marTop w:val="0"/>
      <w:marBottom w:val="0"/>
      <w:divBdr>
        <w:top w:val="none" w:sz="0" w:space="0" w:color="auto"/>
        <w:left w:val="none" w:sz="0" w:space="0" w:color="auto"/>
        <w:bottom w:val="none" w:sz="0" w:space="0" w:color="auto"/>
        <w:right w:val="none" w:sz="0" w:space="0" w:color="auto"/>
      </w:divBdr>
    </w:div>
    <w:div w:id="1942952710">
      <w:bodyDiv w:val="1"/>
      <w:marLeft w:val="0"/>
      <w:marRight w:val="0"/>
      <w:marTop w:val="0"/>
      <w:marBottom w:val="0"/>
      <w:divBdr>
        <w:top w:val="none" w:sz="0" w:space="0" w:color="auto"/>
        <w:left w:val="none" w:sz="0" w:space="0" w:color="auto"/>
        <w:bottom w:val="none" w:sz="0" w:space="0" w:color="auto"/>
        <w:right w:val="none" w:sz="0" w:space="0" w:color="auto"/>
      </w:divBdr>
    </w:div>
    <w:div w:id="1989899644">
      <w:bodyDiv w:val="1"/>
      <w:marLeft w:val="0"/>
      <w:marRight w:val="0"/>
      <w:marTop w:val="0"/>
      <w:marBottom w:val="0"/>
      <w:divBdr>
        <w:top w:val="none" w:sz="0" w:space="0" w:color="auto"/>
        <w:left w:val="none" w:sz="0" w:space="0" w:color="auto"/>
        <w:bottom w:val="none" w:sz="0" w:space="0" w:color="auto"/>
        <w:right w:val="none" w:sz="0" w:space="0" w:color="auto"/>
      </w:divBdr>
    </w:div>
    <w:div w:id="2074962524">
      <w:bodyDiv w:val="1"/>
      <w:marLeft w:val="0"/>
      <w:marRight w:val="0"/>
      <w:marTop w:val="0"/>
      <w:marBottom w:val="0"/>
      <w:divBdr>
        <w:top w:val="none" w:sz="0" w:space="0" w:color="auto"/>
        <w:left w:val="none" w:sz="0" w:space="0" w:color="auto"/>
        <w:bottom w:val="none" w:sz="0" w:space="0" w:color="auto"/>
        <w:right w:val="none" w:sz="0" w:space="0" w:color="auto"/>
      </w:divBdr>
    </w:div>
    <w:div w:id="2081518539">
      <w:bodyDiv w:val="1"/>
      <w:marLeft w:val="0"/>
      <w:marRight w:val="0"/>
      <w:marTop w:val="0"/>
      <w:marBottom w:val="0"/>
      <w:divBdr>
        <w:top w:val="none" w:sz="0" w:space="0" w:color="auto"/>
        <w:left w:val="none" w:sz="0" w:space="0" w:color="auto"/>
        <w:bottom w:val="none" w:sz="0" w:space="0" w:color="auto"/>
        <w:right w:val="none" w:sz="0" w:space="0" w:color="auto"/>
      </w:divBdr>
    </w:div>
    <w:div w:id="2091929739">
      <w:bodyDiv w:val="1"/>
      <w:marLeft w:val="0"/>
      <w:marRight w:val="0"/>
      <w:marTop w:val="0"/>
      <w:marBottom w:val="0"/>
      <w:divBdr>
        <w:top w:val="none" w:sz="0" w:space="0" w:color="auto"/>
        <w:left w:val="none" w:sz="0" w:space="0" w:color="auto"/>
        <w:bottom w:val="none" w:sz="0" w:space="0" w:color="auto"/>
        <w:right w:val="none" w:sz="0" w:space="0" w:color="auto"/>
      </w:divBdr>
      <w:divsChild>
        <w:div w:id="1811285844">
          <w:marLeft w:val="0"/>
          <w:marRight w:val="0"/>
          <w:marTop w:val="0"/>
          <w:marBottom w:val="0"/>
          <w:divBdr>
            <w:top w:val="none" w:sz="0" w:space="0" w:color="auto"/>
            <w:left w:val="none" w:sz="0" w:space="0" w:color="auto"/>
            <w:bottom w:val="none" w:sz="0" w:space="0" w:color="auto"/>
            <w:right w:val="none" w:sz="0" w:space="0" w:color="auto"/>
          </w:divBdr>
          <w:divsChild>
            <w:div w:id="1957179995">
              <w:marLeft w:val="0"/>
              <w:marRight w:val="0"/>
              <w:marTop w:val="0"/>
              <w:marBottom w:val="0"/>
              <w:divBdr>
                <w:top w:val="none" w:sz="0" w:space="0" w:color="auto"/>
                <w:left w:val="none" w:sz="0" w:space="0" w:color="auto"/>
                <w:bottom w:val="none" w:sz="0" w:space="0" w:color="auto"/>
                <w:right w:val="none" w:sz="0" w:space="0" w:color="auto"/>
              </w:divBdr>
              <w:divsChild>
                <w:div w:id="1728337586">
                  <w:marLeft w:val="0"/>
                  <w:marRight w:val="0"/>
                  <w:marTop w:val="0"/>
                  <w:marBottom w:val="340"/>
                  <w:divBdr>
                    <w:top w:val="none" w:sz="0" w:space="0" w:color="auto"/>
                    <w:left w:val="none" w:sz="0" w:space="0" w:color="auto"/>
                    <w:bottom w:val="none" w:sz="0" w:space="0" w:color="auto"/>
                    <w:right w:val="none" w:sz="0" w:space="0" w:color="auto"/>
                  </w:divBdr>
                  <w:divsChild>
                    <w:div w:id="183398477">
                      <w:marLeft w:val="0"/>
                      <w:marRight w:val="0"/>
                      <w:marTop w:val="0"/>
                      <w:marBottom w:val="0"/>
                      <w:divBdr>
                        <w:top w:val="none" w:sz="0" w:space="0" w:color="auto"/>
                        <w:left w:val="none" w:sz="0" w:space="0" w:color="auto"/>
                        <w:bottom w:val="none" w:sz="0" w:space="0" w:color="auto"/>
                        <w:right w:val="none" w:sz="0" w:space="0" w:color="auto"/>
                      </w:divBdr>
                      <w:divsChild>
                        <w:div w:id="1439715853">
                          <w:marLeft w:val="0"/>
                          <w:marRight w:val="204"/>
                          <w:marTop w:val="0"/>
                          <w:marBottom w:val="0"/>
                          <w:divBdr>
                            <w:top w:val="none" w:sz="0" w:space="0" w:color="auto"/>
                            <w:left w:val="none" w:sz="0" w:space="0" w:color="auto"/>
                            <w:bottom w:val="none" w:sz="0" w:space="0" w:color="auto"/>
                            <w:right w:val="none" w:sz="0" w:space="0" w:color="auto"/>
                          </w:divBdr>
                        </w:div>
                        <w:div w:id="1929465791">
                          <w:marLeft w:val="0"/>
                          <w:marRight w:val="0"/>
                          <w:marTop w:val="0"/>
                          <w:marBottom w:val="0"/>
                          <w:divBdr>
                            <w:top w:val="none" w:sz="0" w:space="0" w:color="auto"/>
                            <w:left w:val="none" w:sz="0" w:space="0" w:color="auto"/>
                            <w:bottom w:val="none" w:sz="0" w:space="0" w:color="auto"/>
                            <w:right w:val="none" w:sz="0" w:space="0" w:color="auto"/>
                          </w:divBdr>
                          <w:divsChild>
                            <w:div w:id="1821850015">
                              <w:marLeft w:val="0"/>
                              <w:marRight w:val="0"/>
                              <w:marTop w:val="0"/>
                              <w:marBottom w:val="0"/>
                              <w:divBdr>
                                <w:top w:val="none" w:sz="0" w:space="0" w:color="auto"/>
                                <w:left w:val="none" w:sz="0" w:space="0" w:color="auto"/>
                                <w:bottom w:val="none" w:sz="0" w:space="0" w:color="auto"/>
                                <w:right w:val="none" w:sz="0" w:space="0" w:color="auto"/>
                              </w:divBdr>
                            </w:div>
                            <w:div w:id="409234055">
                              <w:marLeft w:val="0"/>
                              <w:marRight w:val="0"/>
                              <w:marTop w:val="0"/>
                              <w:marBottom w:val="0"/>
                              <w:divBdr>
                                <w:top w:val="none" w:sz="0" w:space="0" w:color="auto"/>
                                <w:left w:val="none" w:sz="0" w:space="0" w:color="auto"/>
                                <w:bottom w:val="none" w:sz="0" w:space="0" w:color="auto"/>
                                <w:right w:val="none" w:sz="0" w:space="0" w:color="auto"/>
                              </w:divBdr>
                            </w:div>
                          </w:divsChild>
                        </w:div>
                        <w:div w:id="2010909710">
                          <w:marLeft w:val="0"/>
                          <w:marRight w:val="0"/>
                          <w:marTop w:val="68"/>
                          <w:marBottom w:val="0"/>
                          <w:divBdr>
                            <w:top w:val="none" w:sz="0" w:space="0" w:color="auto"/>
                            <w:left w:val="none" w:sz="0" w:space="0" w:color="auto"/>
                            <w:bottom w:val="none" w:sz="0" w:space="0" w:color="auto"/>
                            <w:right w:val="none" w:sz="0" w:space="0" w:color="auto"/>
                          </w:divBdr>
                        </w:div>
                      </w:divsChild>
                    </w:div>
                  </w:divsChild>
                </w:div>
              </w:divsChild>
            </w:div>
          </w:divsChild>
        </w:div>
        <w:div w:id="395398224">
          <w:marLeft w:val="0"/>
          <w:marRight w:val="0"/>
          <w:marTop w:val="0"/>
          <w:marBottom w:val="0"/>
          <w:divBdr>
            <w:top w:val="none" w:sz="0" w:space="0" w:color="auto"/>
            <w:left w:val="none" w:sz="0" w:space="0" w:color="auto"/>
            <w:bottom w:val="none" w:sz="0" w:space="0" w:color="auto"/>
            <w:right w:val="none" w:sz="0" w:space="0" w:color="auto"/>
          </w:divBdr>
          <w:divsChild>
            <w:div w:id="2065712433">
              <w:marLeft w:val="0"/>
              <w:marRight w:val="0"/>
              <w:marTop w:val="0"/>
              <w:marBottom w:val="0"/>
              <w:divBdr>
                <w:top w:val="none" w:sz="0" w:space="0" w:color="auto"/>
                <w:left w:val="none" w:sz="0" w:space="0" w:color="auto"/>
                <w:bottom w:val="none" w:sz="0" w:space="0" w:color="auto"/>
                <w:right w:val="none" w:sz="0" w:space="0" w:color="auto"/>
              </w:divBdr>
              <w:divsChild>
                <w:div w:id="154689729">
                  <w:marLeft w:val="0"/>
                  <w:marRight w:val="0"/>
                  <w:marTop w:val="0"/>
                  <w:marBottom w:val="0"/>
                  <w:divBdr>
                    <w:top w:val="none" w:sz="0" w:space="0" w:color="auto"/>
                    <w:left w:val="none" w:sz="0" w:space="0" w:color="auto"/>
                    <w:bottom w:val="none" w:sz="0" w:space="0" w:color="auto"/>
                    <w:right w:val="none" w:sz="0" w:space="0" w:color="auto"/>
                  </w:divBdr>
                  <w:divsChild>
                    <w:div w:id="414089108">
                      <w:marLeft w:val="0"/>
                      <w:marRight w:val="0"/>
                      <w:marTop w:val="0"/>
                      <w:marBottom w:val="0"/>
                      <w:divBdr>
                        <w:top w:val="none" w:sz="0" w:space="0" w:color="auto"/>
                        <w:left w:val="none" w:sz="0" w:space="0" w:color="auto"/>
                        <w:bottom w:val="none" w:sz="0" w:space="0" w:color="auto"/>
                        <w:right w:val="none" w:sz="0" w:space="0" w:color="auto"/>
                      </w:divBdr>
                      <w:divsChild>
                        <w:div w:id="775441036">
                          <w:marLeft w:val="0"/>
                          <w:marRight w:val="0"/>
                          <w:marTop w:val="0"/>
                          <w:marBottom w:val="0"/>
                          <w:divBdr>
                            <w:top w:val="none" w:sz="0" w:space="0" w:color="auto"/>
                            <w:left w:val="none" w:sz="0" w:space="0" w:color="auto"/>
                            <w:bottom w:val="single" w:sz="6" w:space="10" w:color="E3E3E3"/>
                            <w:right w:val="none" w:sz="0" w:space="0" w:color="auto"/>
                          </w:divBdr>
                        </w:div>
                        <w:div w:id="1724014273">
                          <w:marLeft w:val="0"/>
                          <w:marRight w:val="0"/>
                          <w:marTop w:val="0"/>
                          <w:marBottom w:val="0"/>
                          <w:divBdr>
                            <w:top w:val="none" w:sz="0" w:space="0" w:color="auto"/>
                            <w:left w:val="none" w:sz="0" w:space="0" w:color="auto"/>
                            <w:bottom w:val="single" w:sz="6" w:space="10" w:color="E3E3E3"/>
                            <w:right w:val="none" w:sz="0" w:space="0" w:color="auto"/>
                          </w:divBdr>
                        </w:div>
                      </w:divsChild>
                    </w:div>
                  </w:divsChild>
                </w:div>
              </w:divsChild>
            </w:div>
          </w:divsChild>
        </w:div>
        <w:div w:id="2010714517">
          <w:marLeft w:val="0"/>
          <w:marRight w:val="0"/>
          <w:marTop w:val="0"/>
          <w:marBottom w:val="0"/>
          <w:divBdr>
            <w:top w:val="none" w:sz="0" w:space="0" w:color="auto"/>
            <w:left w:val="none" w:sz="0" w:space="0" w:color="auto"/>
            <w:bottom w:val="none" w:sz="0" w:space="0" w:color="auto"/>
            <w:right w:val="none" w:sz="0" w:space="0" w:color="auto"/>
          </w:divBdr>
          <w:divsChild>
            <w:div w:id="1093010675">
              <w:marLeft w:val="0"/>
              <w:marRight w:val="0"/>
              <w:marTop w:val="0"/>
              <w:marBottom w:val="0"/>
              <w:divBdr>
                <w:top w:val="none" w:sz="0" w:space="0" w:color="auto"/>
                <w:left w:val="none" w:sz="0" w:space="0" w:color="auto"/>
                <w:bottom w:val="none" w:sz="0" w:space="0" w:color="auto"/>
                <w:right w:val="none" w:sz="0" w:space="0" w:color="auto"/>
              </w:divBdr>
              <w:divsChild>
                <w:div w:id="1395928963">
                  <w:marLeft w:val="0"/>
                  <w:marRight w:val="0"/>
                  <w:marTop w:val="0"/>
                  <w:marBottom w:val="0"/>
                  <w:divBdr>
                    <w:top w:val="none" w:sz="0" w:space="0" w:color="auto"/>
                    <w:left w:val="none" w:sz="0" w:space="0" w:color="auto"/>
                    <w:bottom w:val="none" w:sz="0" w:space="0" w:color="auto"/>
                    <w:right w:val="none" w:sz="0" w:space="0" w:color="auto"/>
                  </w:divBdr>
                  <w:divsChild>
                    <w:div w:id="100105524">
                      <w:marLeft w:val="0"/>
                      <w:marRight w:val="0"/>
                      <w:marTop w:val="0"/>
                      <w:marBottom w:val="0"/>
                      <w:divBdr>
                        <w:top w:val="none" w:sz="0" w:space="0" w:color="auto"/>
                        <w:left w:val="none" w:sz="0" w:space="0" w:color="auto"/>
                        <w:bottom w:val="none" w:sz="0" w:space="0" w:color="auto"/>
                        <w:right w:val="none" w:sz="0" w:space="0" w:color="auto"/>
                      </w:divBdr>
                      <w:divsChild>
                        <w:div w:id="1121268589">
                          <w:marLeft w:val="0"/>
                          <w:marRight w:val="0"/>
                          <w:marTop w:val="0"/>
                          <w:marBottom w:val="0"/>
                          <w:divBdr>
                            <w:top w:val="none" w:sz="0" w:space="0" w:color="auto"/>
                            <w:left w:val="none" w:sz="0" w:space="0" w:color="auto"/>
                            <w:bottom w:val="none" w:sz="0" w:space="0" w:color="auto"/>
                            <w:right w:val="none" w:sz="0" w:space="0" w:color="auto"/>
                          </w:divBdr>
                          <w:divsChild>
                            <w:div w:id="662003433">
                              <w:marLeft w:val="0"/>
                              <w:marRight w:val="0"/>
                              <w:marTop w:val="0"/>
                              <w:marBottom w:val="0"/>
                              <w:divBdr>
                                <w:top w:val="none" w:sz="0" w:space="0" w:color="auto"/>
                                <w:left w:val="none" w:sz="0" w:space="0" w:color="auto"/>
                                <w:bottom w:val="none" w:sz="0" w:space="0" w:color="auto"/>
                                <w:right w:val="none" w:sz="0" w:space="0" w:color="auto"/>
                              </w:divBdr>
                              <w:divsChild>
                                <w:div w:id="477963030">
                                  <w:marLeft w:val="0"/>
                                  <w:marRight w:val="0"/>
                                  <w:marTop w:val="136"/>
                                  <w:marBottom w:val="0"/>
                                  <w:divBdr>
                                    <w:top w:val="none" w:sz="0" w:space="0" w:color="auto"/>
                                    <w:left w:val="none" w:sz="0" w:space="0" w:color="auto"/>
                                    <w:bottom w:val="none" w:sz="0" w:space="0" w:color="auto"/>
                                    <w:right w:val="none" w:sz="0" w:space="0" w:color="auto"/>
                                  </w:divBdr>
                                  <w:divsChild>
                                    <w:div w:id="738359407">
                                      <w:marLeft w:val="0"/>
                                      <w:marRight w:val="0"/>
                                      <w:marTop w:val="0"/>
                                      <w:marBottom w:val="0"/>
                                      <w:divBdr>
                                        <w:top w:val="none" w:sz="0" w:space="0" w:color="auto"/>
                                        <w:left w:val="none" w:sz="0" w:space="0" w:color="auto"/>
                                        <w:bottom w:val="none" w:sz="0" w:space="0" w:color="auto"/>
                                        <w:right w:val="none" w:sz="0" w:space="0" w:color="auto"/>
                                      </w:divBdr>
                                    </w:div>
                                    <w:div w:id="141420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D82E38-25AC-411F-8899-81DAAC30F7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2645</Words>
  <Characters>15077</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Satish</dc:creator>
  <cp:lastModifiedBy>Satish</cp:lastModifiedBy>
  <cp:revision>2</cp:revision>
  <dcterms:created xsi:type="dcterms:W3CDTF">2016-02-16T12:31:00Z</dcterms:created>
  <dcterms:modified xsi:type="dcterms:W3CDTF">2016-02-16T12:31:00Z</dcterms:modified>
</cp:coreProperties>
</file>