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1100" w:rsidRPr="00557B2D" w:rsidRDefault="0033031F" w:rsidP="00FF6C82">
      <w:pPr>
        <w:ind w:left="-426"/>
        <w:rPr>
          <w:rFonts w:ascii="Arial Narrow" w:hAnsi="Arial Narrow"/>
          <w:b/>
          <w:color w:val="000000"/>
          <w:sz w:val="36"/>
          <w:szCs w:val="36"/>
        </w:rPr>
      </w:pPr>
      <w:r w:rsidRPr="00557B2D">
        <w:rPr>
          <w:rFonts w:ascii="Arial Narrow" w:hAnsi="Arial Narrow"/>
          <w:b/>
          <w:color w:val="000000"/>
          <w:sz w:val="36"/>
          <w:szCs w:val="36"/>
        </w:rPr>
        <w:t xml:space="preserve">Circulars/Notifications </w:t>
      </w:r>
      <w:r w:rsidR="00557B2D" w:rsidRPr="00557B2D">
        <w:rPr>
          <w:rFonts w:ascii="Arial Narrow" w:hAnsi="Arial Narrow"/>
          <w:b/>
          <w:color w:val="000000"/>
          <w:sz w:val="36"/>
          <w:szCs w:val="36"/>
        </w:rPr>
        <w:t>Relevant for CA(Final): Nov 2015</w:t>
      </w:r>
      <w:r w:rsidRPr="00557B2D">
        <w:rPr>
          <w:rFonts w:ascii="Arial Narrow" w:hAnsi="Arial Narrow"/>
          <w:b/>
          <w:color w:val="000000"/>
          <w:sz w:val="36"/>
          <w:szCs w:val="36"/>
        </w:rPr>
        <w:t xml:space="preserve"> Attempt</w:t>
      </w:r>
    </w:p>
    <w:p w:rsidR="00EA74C4" w:rsidRPr="00D05F65" w:rsidRDefault="00EA74C4">
      <w:pPr>
        <w:rPr>
          <w:rFonts w:ascii="Arial Narrow" w:hAnsi="Arial Narrow"/>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42"/>
        <w:gridCol w:w="9214"/>
      </w:tblGrid>
      <w:tr w:rsidR="00EA74C4" w:rsidRPr="00D05F65" w:rsidTr="00DB75EF">
        <w:tc>
          <w:tcPr>
            <w:tcW w:w="1242" w:type="dxa"/>
            <w:shd w:val="clear" w:color="auto" w:fill="DDD9C3"/>
          </w:tcPr>
          <w:p w:rsidR="00EA74C4" w:rsidRPr="00D05F65" w:rsidRDefault="00EA74C4">
            <w:pPr>
              <w:rPr>
                <w:rFonts w:ascii="Arial Narrow" w:hAnsi="Arial Narrow"/>
                <w:b/>
              </w:rPr>
            </w:pPr>
            <w:r w:rsidRPr="00D05F65">
              <w:rPr>
                <w:rFonts w:ascii="Arial Narrow" w:hAnsi="Arial Narrow"/>
                <w:b/>
              </w:rPr>
              <w:t>Circular No. &amp; Date</w:t>
            </w:r>
          </w:p>
        </w:tc>
        <w:tc>
          <w:tcPr>
            <w:tcW w:w="9214" w:type="dxa"/>
            <w:shd w:val="clear" w:color="auto" w:fill="DDD9C3"/>
          </w:tcPr>
          <w:p w:rsidR="00EA74C4" w:rsidRPr="00D05F65" w:rsidRDefault="00EA74C4">
            <w:pPr>
              <w:rPr>
                <w:rFonts w:ascii="Arial Narrow" w:hAnsi="Arial Narrow"/>
                <w:b/>
              </w:rPr>
            </w:pPr>
            <w:r w:rsidRPr="00D05F65">
              <w:rPr>
                <w:rFonts w:ascii="Arial Narrow" w:hAnsi="Arial Narrow"/>
                <w:b/>
              </w:rPr>
              <w:t>Summary/Content</w:t>
            </w:r>
          </w:p>
        </w:tc>
      </w:tr>
      <w:tr w:rsidR="00D05F65" w:rsidRPr="00D05F65" w:rsidTr="00DB75EF">
        <w:tc>
          <w:tcPr>
            <w:tcW w:w="1242" w:type="dxa"/>
          </w:tcPr>
          <w:p w:rsidR="00D05F65" w:rsidRPr="00D05F65" w:rsidRDefault="00D05F65">
            <w:pPr>
              <w:rPr>
                <w:rFonts w:ascii="Arial Narrow" w:hAnsi="Arial Narrow"/>
              </w:rPr>
            </w:pPr>
          </w:p>
          <w:p w:rsidR="00D05F65" w:rsidRPr="00D05F65" w:rsidRDefault="00D05F65">
            <w:pPr>
              <w:rPr>
                <w:rFonts w:ascii="Arial Narrow" w:hAnsi="Arial Narrow"/>
              </w:rPr>
            </w:pPr>
            <w:r w:rsidRPr="00D05F65">
              <w:rPr>
                <w:rFonts w:ascii="Arial Narrow" w:hAnsi="Arial Narrow"/>
              </w:rPr>
              <w:t>10/2013 dt. 16.12.2013</w:t>
            </w:r>
          </w:p>
        </w:tc>
        <w:tc>
          <w:tcPr>
            <w:tcW w:w="9214" w:type="dxa"/>
          </w:tcPr>
          <w:p w:rsidR="00D05F65" w:rsidRPr="00D05F65" w:rsidRDefault="00D05F65" w:rsidP="00D05F65">
            <w:pPr>
              <w:widowControl w:val="0"/>
              <w:autoSpaceDE w:val="0"/>
              <w:autoSpaceDN w:val="0"/>
              <w:adjustRightInd w:val="0"/>
              <w:snapToGrid w:val="0"/>
              <w:jc w:val="both"/>
              <w:rPr>
                <w:rFonts w:ascii="Arial Narrow" w:hAnsi="Arial Narrow" w:cs="ArialNarrow Bold"/>
                <w:b/>
                <w:color w:val="000000"/>
                <w:sz w:val="20"/>
                <w:szCs w:val="20"/>
              </w:rPr>
            </w:pPr>
          </w:p>
          <w:p w:rsidR="00D05F65" w:rsidRPr="00D05F65" w:rsidRDefault="00D05F65" w:rsidP="00D05F65">
            <w:pPr>
              <w:widowControl w:val="0"/>
              <w:autoSpaceDE w:val="0"/>
              <w:autoSpaceDN w:val="0"/>
              <w:adjustRightInd w:val="0"/>
              <w:snapToGrid w:val="0"/>
              <w:jc w:val="both"/>
              <w:rPr>
                <w:rFonts w:ascii="Arial Narrow" w:hAnsi="Arial Narrow"/>
                <w:b/>
                <w:sz w:val="24"/>
                <w:szCs w:val="24"/>
              </w:rPr>
            </w:pPr>
            <w:r w:rsidRPr="00D05F65">
              <w:rPr>
                <w:rFonts w:ascii="Arial Narrow" w:hAnsi="Arial Narrow" w:cs="ArialNarrow Bold"/>
                <w:b/>
                <w:color w:val="000000"/>
                <w:sz w:val="20"/>
                <w:szCs w:val="20"/>
              </w:rPr>
              <w:t>Disallowance of any sum paid to a resident at any time during the previous year</w:t>
            </w:r>
          </w:p>
          <w:p w:rsidR="00D05F65" w:rsidRPr="00D05F65" w:rsidRDefault="00D05F65" w:rsidP="00D05F65">
            <w:pPr>
              <w:widowControl w:val="0"/>
              <w:autoSpaceDE w:val="0"/>
              <w:autoSpaceDN w:val="0"/>
              <w:adjustRightInd w:val="0"/>
              <w:snapToGrid w:val="0"/>
              <w:jc w:val="both"/>
              <w:rPr>
                <w:rFonts w:ascii="Arial Narrow" w:hAnsi="Arial Narrow"/>
                <w:b/>
                <w:sz w:val="24"/>
                <w:szCs w:val="24"/>
              </w:rPr>
            </w:pPr>
            <w:r w:rsidRPr="00D05F65">
              <w:rPr>
                <w:rFonts w:ascii="Arial Narrow" w:hAnsi="Arial Narrow" w:cs="ArialNarrow Bold"/>
                <w:b/>
                <w:color w:val="000000"/>
                <w:sz w:val="20"/>
                <w:szCs w:val="20"/>
              </w:rPr>
              <w:t>without deduction of tax under section 40(a)(ia):</w:t>
            </w:r>
          </w:p>
          <w:p w:rsidR="00D05F65" w:rsidRPr="00D05F65" w:rsidRDefault="00D05F65" w:rsidP="00D05F65">
            <w:pPr>
              <w:widowControl w:val="0"/>
              <w:autoSpaceDE w:val="0"/>
              <w:autoSpaceDN w:val="0"/>
              <w:adjustRightInd w:val="0"/>
              <w:snapToGrid w:val="0"/>
              <w:jc w:val="both"/>
              <w:rPr>
                <w:rFonts w:ascii="Arial Narrow" w:hAnsi="Arial Narrow" w:cs="ArialNarrow Bold"/>
                <w:b/>
                <w:color w:val="000000"/>
              </w:rPr>
            </w:pPr>
          </w:p>
          <w:p w:rsidR="00D05F65" w:rsidRPr="00D05F65" w:rsidRDefault="00D05F65" w:rsidP="00D05F65">
            <w:pPr>
              <w:widowControl w:val="0"/>
              <w:autoSpaceDE w:val="0"/>
              <w:autoSpaceDN w:val="0"/>
              <w:adjustRightInd w:val="0"/>
              <w:snapToGrid w:val="0"/>
              <w:jc w:val="both"/>
              <w:rPr>
                <w:rFonts w:ascii="Arial Narrow" w:hAnsi="Arial Narrow"/>
                <w:sz w:val="24"/>
                <w:szCs w:val="24"/>
              </w:rPr>
            </w:pPr>
            <w:r w:rsidRPr="00D05F65">
              <w:rPr>
                <w:rFonts w:ascii="Arial Narrow" w:hAnsi="Arial Narrow" w:cs="ArialNarrow"/>
                <w:color w:val="000000"/>
                <w:sz w:val="20"/>
                <w:szCs w:val="20"/>
              </w:rPr>
              <w:t>Section 40(a)(ia) provides for disallowance of 30% of the sum payable to a resident, on</w:t>
            </w:r>
            <w:r w:rsidR="00FA30D8">
              <w:rPr>
                <w:rFonts w:ascii="Arial Narrow" w:hAnsi="Arial Narrow" w:cs="ArialNarrow"/>
                <w:color w:val="000000"/>
                <w:sz w:val="20"/>
                <w:szCs w:val="20"/>
              </w:rPr>
              <w:t xml:space="preserve"> </w:t>
            </w:r>
            <w:r w:rsidRPr="00D05F65">
              <w:rPr>
                <w:rFonts w:ascii="Arial Narrow" w:hAnsi="Arial Narrow" w:cs="ArialNarrow"/>
                <w:color w:val="000000"/>
                <w:sz w:val="20"/>
                <w:szCs w:val="20"/>
              </w:rPr>
              <w:t>which tax is deductible at source under Chapter XVII-B and such tax has not been</w:t>
            </w:r>
          </w:p>
          <w:p w:rsidR="00D05F65" w:rsidRPr="00D05F65" w:rsidRDefault="00D05F65" w:rsidP="00D05F65">
            <w:pPr>
              <w:widowControl w:val="0"/>
              <w:autoSpaceDE w:val="0"/>
              <w:autoSpaceDN w:val="0"/>
              <w:adjustRightInd w:val="0"/>
              <w:snapToGrid w:val="0"/>
              <w:jc w:val="both"/>
              <w:rPr>
                <w:rFonts w:ascii="Arial Narrow" w:hAnsi="Arial Narrow"/>
                <w:sz w:val="24"/>
                <w:szCs w:val="24"/>
              </w:rPr>
            </w:pPr>
            <w:r w:rsidRPr="00D05F65">
              <w:rPr>
                <w:rFonts w:ascii="Arial Narrow" w:hAnsi="Arial Narrow" w:cs="ArialNarrow"/>
                <w:color w:val="000000"/>
                <w:sz w:val="20"/>
                <w:szCs w:val="20"/>
              </w:rPr>
              <w:t>deducted or, after deduction, has not been paid on or before the due date specified in</w:t>
            </w:r>
          </w:p>
          <w:p w:rsidR="00D05F65" w:rsidRPr="00D05F65" w:rsidRDefault="00D05F65" w:rsidP="00D05F65">
            <w:pPr>
              <w:widowControl w:val="0"/>
              <w:autoSpaceDE w:val="0"/>
              <w:autoSpaceDN w:val="0"/>
              <w:adjustRightInd w:val="0"/>
              <w:snapToGrid w:val="0"/>
              <w:jc w:val="both"/>
              <w:rPr>
                <w:rFonts w:ascii="Arial Narrow" w:hAnsi="Arial Narrow"/>
                <w:sz w:val="24"/>
                <w:szCs w:val="24"/>
              </w:rPr>
            </w:pPr>
            <w:r w:rsidRPr="00D05F65">
              <w:rPr>
                <w:rFonts w:ascii="Arial Narrow" w:hAnsi="Arial Narrow" w:cs="ArialNarrow"/>
                <w:color w:val="000000"/>
                <w:sz w:val="20"/>
                <w:szCs w:val="20"/>
              </w:rPr>
              <w:t>section 139(1).</w:t>
            </w:r>
          </w:p>
          <w:p w:rsidR="00D05F65" w:rsidRPr="00D05F65" w:rsidRDefault="00D05F65" w:rsidP="00D05F65">
            <w:pPr>
              <w:widowControl w:val="0"/>
              <w:autoSpaceDE w:val="0"/>
              <w:autoSpaceDN w:val="0"/>
              <w:adjustRightInd w:val="0"/>
              <w:snapToGrid w:val="0"/>
              <w:jc w:val="both"/>
              <w:rPr>
                <w:rFonts w:ascii="Arial Narrow" w:hAnsi="Arial Narrow" w:cs="ArialNarrow Bold"/>
                <w:b/>
                <w:color w:val="000000"/>
              </w:rPr>
            </w:pPr>
          </w:p>
          <w:p w:rsidR="00D05F65" w:rsidRPr="00D05F65" w:rsidRDefault="00D05F65" w:rsidP="00D05F65">
            <w:pPr>
              <w:widowControl w:val="0"/>
              <w:autoSpaceDE w:val="0"/>
              <w:autoSpaceDN w:val="0"/>
              <w:adjustRightInd w:val="0"/>
              <w:snapToGrid w:val="0"/>
              <w:jc w:val="both"/>
              <w:rPr>
                <w:rFonts w:ascii="Arial Narrow" w:hAnsi="Arial Narrow"/>
                <w:sz w:val="24"/>
                <w:szCs w:val="24"/>
              </w:rPr>
            </w:pPr>
            <w:r w:rsidRPr="00D05F65">
              <w:rPr>
                <w:rFonts w:ascii="Arial Narrow" w:hAnsi="Arial Narrow" w:cs="ArialNarrow"/>
                <w:color w:val="000000"/>
                <w:sz w:val="20"/>
                <w:szCs w:val="20"/>
              </w:rPr>
              <w:t>There have been conflicting interpretations by judicial authorities regarding the applicability of provisions of section 40(a)(ia), with regard to the amount not deductible in computing the income chargeable under the head ‘Profits and gains of business or profession’. Some court rulings have held that the provisions of disallowance under section 40(a)(ia) apply only to the amount which remained payable at the end of the relevant financial year and would not be invoked to disallow the amount which had actually been paid during the previous year without deduction of tax at source.</w:t>
            </w:r>
          </w:p>
          <w:p w:rsidR="00D05F65" w:rsidRPr="00D05F65" w:rsidRDefault="00D05F65" w:rsidP="00D05F65">
            <w:pPr>
              <w:widowControl w:val="0"/>
              <w:autoSpaceDE w:val="0"/>
              <w:autoSpaceDN w:val="0"/>
              <w:adjustRightInd w:val="0"/>
              <w:snapToGrid w:val="0"/>
              <w:jc w:val="both"/>
              <w:rPr>
                <w:rFonts w:ascii="Arial Narrow" w:hAnsi="Arial Narrow" w:cs="ArialNarrow Bold"/>
                <w:b/>
                <w:color w:val="000000"/>
              </w:rPr>
            </w:pPr>
          </w:p>
          <w:p w:rsidR="00D05F65" w:rsidRPr="00D05F65" w:rsidRDefault="00D05F65" w:rsidP="00D05F65">
            <w:pPr>
              <w:widowControl w:val="0"/>
              <w:autoSpaceDE w:val="0"/>
              <w:autoSpaceDN w:val="0"/>
              <w:adjustRightInd w:val="0"/>
              <w:snapToGrid w:val="0"/>
              <w:jc w:val="both"/>
              <w:rPr>
                <w:rFonts w:ascii="Arial Narrow" w:hAnsi="Arial Narrow" w:cs="ArialNarrow Bold"/>
                <w:b/>
                <w:color w:val="000000"/>
              </w:rPr>
            </w:pPr>
          </w:p>
          <w:p w:rsidR="00D05F65" w:rsidRPr="00D05F65" w:rsidRDefault="00D05F65" w:rsidP="00D05F65">
            <w:pPr>
              <w:widowControl w:val="0"/>
              <w:autoSpaceDE w:val="0"/>
              <w:autoSpaceDN w:val="0"/>
              <w:adjustRightInd w:val="0"/>
              <w:snapToGrid w:val="0"/>
              <w:jc w:val="both"/>
              <w:rPr>
                <w:rFonts w:ascii="Arial Narrow" w:hAnsi="Arial Narrow"/>
                <w:b/>
                <w:sz w:val="24"/>
                <w:szCs w:val="24"/>
              </w:rPr>
            </w:pPr>
            <w:r w:rsidRPr="00D05F65">
              <w:rPr>
                <w:rFonts w:ascii="Arial Narrow" w:hAnsi="Arial Narrow" w:cs="ArialNarrow Bold Italic"/>
                <w:b/>
                <w:color w:val="000000"/>
                <w:sz w:val="20"/>
                <w:szCs w:val="20"/>
              </w:rPr>
              <w:t xml:space="preserve">Departmental View: </w:t>
            </w:r>
            <w:r w:rsidRPr="00D05F65">
              <w:rPr>
                <w:rFonts w:ascii="Arial Narrow" w:hAnsi="Arial Narrow" w:cs="ArialNarrow"/>
                <w:b/>
                <w:color w:val="000000"/>
                <w:sz w:val="20"/>
                <w:szCs w:val="20"/>
              </w:rPr>
              <w:t>The CBDT’s view is that the provisions of section 40(a)(ia) would cover not only the amounts which are payable as on 31st March of a previous year but also amounts which are payable at any time during the year. The statutory provisions are amply clear and in the context of section 40(a)(ia), the term "payable" would include "amounts which are paid during the previous year".</w:t>
            </w:r>
          </w:p>
          <w:p w:rsidR="00D05F65" w:rsidRPr="00D05F65" w:rsidRDefault="00D05F65" w:rsidP="00D05F65">
            <w:pPr>
              <w:widowControl w:val="0"/>
              <w:autoSpaceDE w:val="0"/>
              <w:autoSpaceDN w:val="0"/>
              <w:adjustRightInd w:val="0"/>
              <w:snapToGrid w:val="0"/>
              <w:jc w:val="left"/>
              <w:rPr>
                <w:rFonts w:ascii="Arial Narrow" w:hAnsi="Arial Narrow" w:cs="ArialNarrow Bold"/>
                <w:b/>
                <w:color w:val="000000"/>
              </w:rPr>
            </w:pPr>
          </w:p>
        </w:tc>
      </w:tr>
      <w:tr w:rsidR="00F462D3" w:rsidRPr="00D05F65" w:rsidTr="00DB75EF">
        <w:tc>
          <w:tcPr>
            <w:tcW w:w="1242" w:type="dxa"/>
          </w:tcPr>
          <w:p w:rsidR="0033031F" w:rsidRPr="00D05F65" w:rsidRDefault="0033031F">
            <w:pPr>
              <w:rPr>
                <w:rFonts w:ascii="Arial Narrow" w:hAnsi="Arial Narrow"/>
              </w:rPr>
            </w:pPr>
          </w:p>
          <w:p w:rsidR="00F462D3" w:rsidRPr="00D05F65" w:rsidRDefault="00F462D3">
            <w:pPr>
              <w:rPr>
                <w:rFonts w:ascii="Arial Narrow" w:hAnsi="Arial Narrow"/>
                <w:b/>
              </w:rPr>
            </w:pPr>
            <w:r w:rsidRPr="00D05F65">
              <w:rPr>
                <w:rFonts w:ascii="Arial Narrow" w:hAnsi="Arial Narrow"/>
                <w:b/>
              </w:rPr>
              <w:t>1/2014 dt. 13.01.2014</w:t>
            </w:r>
          </w:p>
        </w:tc>
        <w:tc>
          <w:tcPr>
            <w:tcW w:w="9214" w:type="dxa"/>
          </w:tcPr>
          <w:p w:rsidR="0033031F" w:rsidRPr="00D05F65" w:rsidRDefault="0033031F" w:rsidP="00D05F65">
            <w:pPr>
              <w:widowControl w:val="0"/>
              <w:autoSpaceDE w:val="0"/>
              <w:autoSpaceDN w:val="0"/>
              <w:adjustRightInd w:val="0"/>
              <w:snapToGrid w:val="0"/>
              <w:jc w:val="left"/>
              <w:rPr>
                <w:rFonts w:ascii="Arial Narrow" w:hAnsi="Arial Narrow" w:cs="ArialNarrow Bold"/>
                <w:b/>
                <w:color w:val="000000"/>
              </w:rPr>
            </w:pPr>
          </w:p>
          <w:p w:rsidR="00F462D3" w:rsidRPr="00D05F65" w:rsidRDefault="00F462D3" w:rsidP="00D05F65">
            <w:pPr>
              <w:widowControl w:val="0"/>
              <w:autoSpaceDE w:val="0"/>
              <w:autoSpaceDN w:val="0"/>
              <w:adjustRightInd w:val="0"/>
              <w:snapToGrid w:val="0"/>
              <w:jc w:val="both"/>
              <w:rPr>
                <w:rFonts w:ascii="Arial Narrow" w:hAnsi="Arial Narrow"/>
                <w:b/>
              </w:rPr>
            </w:pPr>
            <w:r w:rsidRPr="00D05F65">
              <w:rPr>
                <w:rFonts w:ascii="Arial Narrow" w:hAnsi="Arial Narrow" w:cs="ArialNarrow Bold"/>
                <w:b/>
                <w:color w:val="000000"/>
              </w:rPr>
              <w:t>Non-deduction of tax at source on the service tax component comprised in</w:t>
            </w:r>
            <w:r w:rsidR="0033031F" w:rsidRPr="00D05F65">
              <w:rPr>
                <w:rFonts w:ascii="Arial Narrow" w:hAnsi="Arial Narrow" w:cs="ArialNarrow Bold"/>
                <w:b/>
                <w:color w:val="000000"/>
              </w:rPr>
              <w:t xml:space="preserve"> </w:t>
            </w:r>
            <w:r w:rsidRPr="00D05F65">
              <w:rPr>
                <w:rFonts w:ascii="Arial Narrow" w:hAnsi="Arial Narrow" w:cs="ArialNarrow Bold"/>
                <w:b/>
                <w:color w:val="000000"/>
              </w:rPr>
              <w:t>payments made to residents, if the service-tax component is indicated separately</w:t>
            </w:r>
          </w:p>
          <w:p w:rsidR="00F462D3" w:rsidRPr="00D05F65" w:rsidRDefault="00F462D3" w:rsidP="00D05F65">
            <w:pPr>
              <w:widowControl w:val="0"/>
              <w:autoSpaceDE w:val="0"/>
              <w:autoSpaceDN w:val="0"/>
              <w:adjustRightInd w:val="0"/>
              <w:snapToGrid w:val="0"/>
              <w:jc w:val="both"/>
              <w:rPr>
                <w:rFonts w:ascii="Arial Narrow" w:hAnsi="Arial Narrow" w:cs="ArialNarrow Bold"/>
                <w:color w:val="000000"/>
              </w:rPr>
            </w:pPr>
          </w:p>
          <w:p w:rsidR="00F462D3" w:rsidRPr="00D05F65" w:rsidRDefault="0033031F" w:rsidP="00D05F65">
            <w:pPr>
              <w:widowControl w:val="0"/>
              <w:autoSpaceDE w:val="0"/>
              <w:autoSpaceDN w:val="0"/>
              <w:adjustRightInd w:val="0"/>
              <w:snapToGrid w:val="0"/>
              <w:jc w:val="both"/>
              <w:rPr>
                <w:rFonts w:ascii="Arial Narrow" w:hAnsi="Arial Narrow"/>
              </w:rPr>
            </w:pPr>
            <w:r w:rsidRPr="00D05F65">
              <w:rPr>
                <w:rFonts w:ascii="Arial Narrow" w:hAnsi="Arial Narrow" w:cs="ArialNarrow"/>
                <w:color w:val="000000"/>
              </w:rPr>
              <w:t>T</w:t>
            </w:r>
            <w:r w:rsidR="00F462D3" w:rsidRPr="00D05F65">
              <w:rPr>
                <w:rFonts w:ascii="Arial Narrow" w:hAnsi="Arial Narrow" w:cs="ArialNarrow"/>
                <w:color w:val="000000"/>
              </w:rPr>
              <w:t>he CBDT vide this Circular has clarified that wherever in terms of the agreement/contract between the payer and the payee, the service tax component comprised in the amount payable to a resident is indicated separately, tax shall be deducted at source under Chapter XVII-B on the amount paid/payable without including such service tax component.</w:t>
            </w:r>
          </w:p>
          <w:p w:rsidR="00F462D3" w:rsidRPr="00D05F65" w:rsidRDefault="00F462D3" w:rsidP="00D05F65">
            <w:pPr>
              <w:widowControl w:val="0"/>
              <w:autoSpaceDE w:val="0"/>
              <w:autoSpaceDN w:val="0"/>
              <w:adjustRightInd w:val="0"/>
              <w:snapToGrid w:val="0"/>
              <w:rPr>
                <w:rFonts w:ascii="Arial Narrow" w:hAnsi="Arial Narrow"/>
                <w:b/>
                <w:color w:val="000000"/>
              </w:rPr>
            </w:pPr>
          </w:p>
        </w:tc>
      </w:tr>
      <w:tr w:rsidR="00FE1100" w:rsidRPr="00D05F65" w:rsidTr="00DB75EF">
        <w:tc>
          <w:tcPr>
            <w:tcW w:w="1242" w:type="dxa"/>
          </w:tcPr>
          <w:p w:rsidR="00FE1100" w:rsidRPr="00D05F65" w:rsidRDefault="00FE1100">
            <w:pPr>
              <w:rPr>
                <w:rFonts w:ascii="Arial Narrow" w:hAnsi="Arial Narrow"/>
                <w:b/>
              </w:rPr>
            </w:pPr>
            <w:r w:rsidRPr="00D05F65">
              <w:rPr>
                <w:rFonts w:ascii="Arial Narrow" w:hAnsi="Arial Narrow"/>
                <w:b/>
              </w:rPr>
              <w:t>2/2014 dt. 20.01.2014</w:t>
            </w:r>
          </w:p>
        </w:tc>
        <w:tc>
          <w:tcPr>
            <w:tcW w:w="9214" w:type="dxa"/>
          </w:tcPr>
          <w:p w:rsidR="00FE1100" w:rsidRPr="00D05F65" w:rsidRDefault="00FE1100" w:rsidP="00D05F65">
            <w:pPr>
              <w:widowControl w:val="0"/>
              <w:autoSpaceDE w:val="0"/>
              <w:autoSpaceDN w:val="0"/>
              <w:adjustRightInd w:val="0"/>
              <w:snapToGrid w:val="0"/>
              <w:jc w:val="both"/>
              <w:rPr>
                <w:rFonts w:ascii="Arial Narrow" w:hAnsi="Arial Narrow"/>
                <w:b/>
                <w:color w:val="000000"/>
                <w:u w:val="single"/>
              </w:rPr>
            </w:pPr>
            <w:r w:rsidRPr="00D05F65">
              <w:rPr>
                <w:rFonts w:ascii="Arial Narrow" w:hAnsi="Arial Narrow"/>
                <w:b/>
                <w:color w:val="000000"/>
                <w:u w:val="single"/>
              </w:rPr>
              <w:t>Taxability of Awards received by the Sportsmen:</w:t>
            </w:r>
          </w:p>
          <w:p w:rsidR="00FE1100" w:rsidRPr="00D05F65" w:rsidRDefault="00FE1100" w:rsidP="00D05F65">
            <w:pPr>
              <w:widowControl w:val="0"/>
              <w:autoSpaceDE w:val="0"/>
              <w:autoSpaceDN w:val="0"/>
              <w:adjustRightInd w:val="0"/>
              <w:snapToGrid w:val="0"/>
              <w:jc w:val="both"/>
              <w:rPr>
                <w:rFonts w:ascii="Arial Narrow" w:hAnsi="Arial Narrow"/>
                <w:color w:val="000000"/>
              </w:rPr>
            </w:pPr>
          </w:p>
          <w:p w:rsidR="00FE1100" w:rsidRPr="00D05F65" w:rsidRDefault="00FE1100" w:rsidP="00D05F65">
            <w:pPr>
              <w:widowControl w:val="0"/>
              <w:autoSpaceDE w:val="0"/>
              <w:autoSpaceDN w:val="0"/>
              <w:adjustRightInd w:val="0"/>
              <w:snapToGrid w:val="0"/>
              <w:jc w:val="both"/>
              <w:rPr>
                <w:rFonts w:ascii="Arial Narrow" w:hAnsi="Arial Narrow"/>
              </w:rPr>
            </w:pPr>
            <w:r w:rsidRPr="00D05F65">
              <w:rPr>
                <w:rFonts w:ascii="Arial Narrow" w:hAnsi="Arial Narrow" w:cs="ArialNarrow"/>
                <w:color w:val="000000"/>
              </w:rPr>
              <w:t xml:space="preserve">The CBDT had issued Circular No.447 on 22nd January, 1986 clarifying that awards received by a sportsman, who is not a professional, will not be liable to tax in his hands as the award will be in the nature of a gift and/or personal testimonial. This Circular was applicable when the gift was not taxable in the hands of the recipient. Thereafter, in the year 2005, there was a fundamental change in the manner of treatment of gift through insertion of sub-clauses (xiii), (xiv) and (xv) of section 2(24). Corresponding amendments were also made in section 56(2) by insertion of clauses (v), (vi) and (vii), thereby making an amount of money or immovable property received without consideration taxable subject to provisions of these clauses. Consequently, the CBDT has, through this Circular, clarified that </w:t>
            </w:r>
            <w:r w:rsidRPr="00D05F65">
              <w:rPr>
                <w:rFonts w:ascii="Arial Narrow" w:hAnsi="Arial Narrow" w:cs="ArialNarrow Italic"/>
                <w:color w:val="000000"/>
              </w:rPr>
              <w:t xml:space="preserve">Circular No.447 </w:t>
            </w:r>
            <w:r w:rsidRPr="00D05F65">
              <w:rPr>
                <w:rFonts w:ascii="Arial Narrow" w:hAnsi="Arial Narrow" w:cs="ArialNarrow"/>
                <w:color w:val="000000"/>
              </w:rPr>
              <w:t>had become inapplicable w.e.f. 1-4-2005, since the statutory provisions have overridden the same.</w:t>
            </w:r>
          </w:p>
          <w:p w:rsidR="00FE1100" w:rsidRPr="00D05F65" w:rsidRDefault="00FE1100" w:rsidP="00D05F65">
            <w:pPr>
              <w:widowControl w:val="0"/>
              <w:autoSpaceDE w:val="0"/>
              <w:autoSpaceDN w:val="0"/>
              <w:adjustRightInd w:val="0"/>
              <w:snapToGrid w:val="0"/>
              <w:jc w:val="both"/>
              <w:rPr>
                <w:rFonts w:ascii="Arial Narrow" w:hAnsi="Arial Narrow"/>
                <w:color w:val="000000"/>
              </w:rPr>
            </w:pPr>
          </w:p>
          <w:p w:rsidR="00FE1100" w:rsidRPr="00D05F65" w:rsidRDefault="00FE1100" w:rsidP="00D05F65">
            <w:pPr>
              <w:widowControl w:val="0"/>
              <w:autoSpaceDE w:val="0"/>
              <w:autoSpaceDN w:val="0"/>
              <w:adjustRightInd w:val="0"/>
              <w:snapToGrid w:val="0"/>
              <w:jc w:val="both"/>
              <w:rPr>
                <w:rFonts w:ascii="Arial Narrow" w:hAnsi="Arial Narrow"/>
              </w:rPr>
            </w:pPr>
            <w:r w:rsidRPr="00D05F65">
              <w:rPr>
                <w:rFonts w:ascii="Arial Narrow" w:hAnsi="Arial Narrow" w:cs="ArialNarrow"/>
                <w:color w:val="000000"/>
              </w:rPr>
              <w:t>It may however be noted that, in terms of provisions of section 10(17A), Central</w:t>
            </w:r>
            <w:r w:rsidR="00D05F65" w:rsidRPr="00D05F65">
              <w:rPr>
                <w:rFonts w:ascii="Arial Narrow" w:hAnsi="Arial Narrow" w:cs="ArialNarrow"/>
                <w:color w:val="000000"/>
              </w:rPr>
              <w:t xml:space="preserve"> </w:t>
            </w:r>
            <w:r w:rsidRPr="00D05F65">
              <w:rPr>
                <w:rFonts w:ascii="Arial Narrow" w:hAnsi="Arial Narrow" w:cs="ArialNarrow"/>
                <w:color w:val="000000"/>
              </w:rPr>
              <w:t>Government approves awards instituted by Central Government, State  Government or other bodies as also the purposes for rewards instituted by Central Government or State Government from time to time. Tax exemption can be sought by eligible persons in respect of awards or rewards covered by such approvals.</w:t>
            </w:r>
          </w:p>
          <w:p w:rsidR="00FE1100" w:rsidRPr="00D05F65" w:rsidRDefault="00FE1100" w:rsidP="00D05F65">
            <w:pPr>
              <w:widowControl w:val="0"/>
              <w:autoSpaceDE w:val="0"/>
              <w:autoSpaceDN w:val="0"/>
              <w:adjustRightInd w:val="0"/>
              <w:snapToGrid w:val="0"/>
              <w:jc w:val="both"/>
              <w:rPr>
                <w:rFonts w:ascii="Arial Narrow" w:hAnsi="Arial Narrow"/>
                <w:b/>
                <w:color w:val="000000"/>
              </w:rPr>
            </w:pPr>
          </w:p>
          <w:p w:rsidR="00FE1100" w:rsidRPr="00D05F65" w:rsidRDefault="00FE1100" w:rsidP="00D05F65">
            <w:pPr>
              <w:widowControl w:val="0"/>
              <w:autoSpaceDE w:val="0"/>
              <w:autoSpaceDN w:val="0"/>
              <w:adjustRightInd w:val="0"/>
              <w:snapToGrid w:val="0"/>
              <w:jc w:val="both"/>
              <w:rPr>
                <w:rFonts w:ascii="Arial Narrow" w:hAnsi="Arial Narrow"/>
                <w:b/>
                <w:color w:val="000000"/>
              </w:rPr>
            </w:pPr>
            <w:r w:rsidRPr="00D05F65">
              <w:rPr>
                <w:rFonts w:ascii="Arial Narrow" w:hAnsi="Arial Narrow"/>
                <w:b/>
                <w:color w:val="000000"/>
              </w:rPr>
              <w:t xml:space="preserve">Thus as on date except where an award received by a sportsman is exempt under section 10(17A), it shall be taxable in the hands of relevant sportsman. </w:t>
            </w:r>
          </w:p>
          <w:p w:rsidR="00FE1100" w:rsidRDefault="00FE1100" w:rsidP="00D05F65">
            <w:pPr>
              <w:widowControl w:val="0"/>
              <w:autoSpaceDE w:val="0"/>
              <w:autoSpaceDN w:val="0"/>
              <w:adjustRightInd w:val="0"/>
              <w:snapToGrid w:val="0"/>
              <w:jc w:val="both"/>
              <w:rPr>
                <w:rFonts w:ascii="Arial Narrow" w:hAnsi="Arial Narrow"/>
                <w:color w:val="000000"/>
              </w:rPr>
            </w:pPr>
          </w:p>
          <w:p w:rsidR="00FF6C82" w:rsidRPr="00D05F65" w:rsidRDefault="00FF6C82" w:rsidP="00D05F65">
            <w:pPr>
              <w:widowControl w:val="0"/>
              <w:autoSpaceDE w:val="0"/>
              <w:autoSpaceDN w:val="0"/>
              <w:adjustRightInd w:val="0"/>
              <w:snapToGrid w:val="0"/>
              <w:jc w:val="both"/>
              <w:rPr>
                <w:rFonts w:ascii="Arial Narrow" w:hAnsi="Arial Narrow"/>
                <w:color w:val="000000"/>
              </w:rPr>
            </w:pPr>
          </w:p>
        </w:tc>
      </w:tr>
      <w:tr w:rsidR="00FE1100" w:rsidRPr="00D05F65" w:rsidTr="00DB75EF">
        <w:tc>
          <w:tcPr>
            <w:tcW w:w="1242" w:type="dxa"/>
          </w:tcPr>
          <w:p w:rsidR="00FE1100" w:rsidRPr="00D05F65" w:rsidRDefault="00FE1100">
            <w:pPr>
              <w:rPr>
                <w:rFonts w:ascii="Arial Narrow" w:hAnsi="Arial Narrow"/>
                <w:b/>
              </w:rPr>
            </w:pPr>
            <w:r w:rsidRPr="00D05F65">
              <w:rPr>
                <w:rFonts w:ascii="Arial Narrow" w:hAnsi="Arial Narrow"/>
                <w:b/>
              </w:rPr>
              <w:lastRenderedPageBreak/>
              <w:t>5/2014 dt. 11.02.2014</w:t>
            </w:r>
          </w:p>
        </w:tc>
        <w:tc>
          <w:tcPr>
            <w:tcW w:w="9214" w:type="dxa"/>
          </w:tcPr>
          <w:p w:rsidR="00FE1100" w:rsidRPr="00D05F65" w:rsidRDefault="00FE1100" w:rsidP="00D05F65">
            <w:pPr>
              <w:widowControl w:val="0"/>
              <w:autoSpaceDE w:val="0"/>
              <w:autoSpaceDN w:val="0"/>
              <w:adjustRightInd w:val="0"/>
              <w:snapToGrid w:val="0"/>
              <w:jc w:val="both"/>
              <w:rPr>
                <w:rFonts w:ascii="Arial Narrow" w:hAnsi="Arial Narrow"/>
                <w:b/>
                <w:color w:val="000000"/>
                <w:u w:val="single"/>
              </w:rPr>
            </w:pPr>
            <w:r w:rsidRPr="00D05F65">
              <w:rPr>
                <w:rFonts w:ascii="Arial Narrow" w:hAnsi="Arial Narrow"/>
                <w:b/>
                <w:color w:val="000000"/>
                <w:u w:val="single"/>
              </w:rPr>
              <w:t xml:space="preserve">Clarification regarding disallowance of expenditure under section 14A: </w:t>
            </w:r>
          </w:p>
          <w:p w:rsidR="00FE1100" w:rsidRPr="00D05F65" w:rsidRDefault="00FE1100" w:rsidP="00D05F65">
            <w:pPr>
              <w:widowControl w:val="0"/>
              <w:autoSpaceDE w:val="0"/>
              <w:autoSpaceDN w:val="0"/>
              <w:adjustRightInd w:val="0"/>
              <w:snapToGrid w:val="0"/>
              <w:jc w:val="both"/>
              <w:rPr>
                <w:rFonts w:ascii="Arial Narrow" w:hAnsi="Arial Narrow"/>
                <w:color w:val="000000"/>
              </w:rPr>
            </w:pPr>
          </w:p>
          <w:p w:rsidR="00FE1100" w:rsidRPr="00D05F65" w:rsidRDefault="00FE1100" w:rsidP="00D05F65">
            <w:pPr>
              <w:widowControl w:val="0"/>
              <w:autoSpaceDE w:val="0"/>
              <w:autoSpaceDN w:val="0"/>
              <w:adjustRightInd w:val="0"/>
              <w:snapToGrid w:val="0"/>
              <w:jc w:val="both"/>
              <w:rPr>
                <w:rFonts w:ascii="Arial Narrow" w:hAnsi="Arial Narrow"/>
              </w:rPr>
            </w:pPr>
            <w:r w:rsidRPr="00D05F65">
              <w:rPr>
                <w:rFonts w:ascii="Arial Narrow" w:hAnsi="Arial Narrow" w:cs="ArialNarrow"/>
                <w:color w:val="000000"/>
              </w:rPr>
              <w:t>The Finance Act, 2001 had introduced section 14A, with retrospective effect from 1stApril, 1962, to provide that no deduction shall be allowed in respect of expenditure incurred relating to income which does not form part of total income. A controversy has arisen as to whether disallowance can be made by invoking section 14A even in those cases where no income has been earned by an assessee, which has been claimed as exempt during the financial year.</w:t>
            </w:r>
          </w:p>
          <w:p w:rsidR="00FE1100" w:rsidRPr="00D05F65" w:rsidRDefault="00FE1100" w:rsidP="00D05F65">
            <w:pPr>
              <w:widowControl w:val="0"/>
              <w:autoSpaceDE w:val="0"/>
              <w:autoSpaceDN w:val="0"/>
              <w:adjustRightInd w:val="0"/>
              <w:snapToGrid w:val="0"/>
              <w:jc w:val="both"/>
              <w:rPr>
                <w:rFonts w:ascii="Arial Narrow" w:hAnsi="Arial Narrow"/>
                <w:color w:val="000000"/>
              </w:rPr>
            </w:pPr>
          </w:p>
          <w:p w:rsidR="00FE1100" w:rsidRPr="00D05F65" w:rsidRDefault="00FE1100" w:rsidP="00D05F65">
            <w:pPr>
              <w:widowControl w:val="0"/>
              <w:autoSpaceDE w:val="0"/>
              <w:autoSpaceDN w:val="0"/>
              <w:adjustRightInd w:val="0"/>
              <w:snapToGrid w:val="0"/>
              <w:jc w:val="both"/>
              <w:rPr>
                <w:rFonts w:ascii="Arial Narrow" w:hAnsi="Arial Narrow"/>
              </w:rPr>
            </w:pPr>
            <w:r w:rsidRPr="00D05F65">
              <w:rPr>
                <w:rFonts w:ascii="Arial Narrow" w:hAnsi="Arial Narrow" w:cs="ArialNarrow"/>
                <w:color w:val="000000"/>
              </w:rPr>
              <w:t>The CBDT has, through this Circular, clarified that the legislative intent is to allow only that expenditure which is relatable to earning of income. Therefore, it follows that the expenses which are relatable to earning of exempt income have to be considered for disallowance, irrespective of the fact whether such income has been earned during the financial year or not.</w:t>
            </w:r>
          </w:p>
          <w:p w:rsidR="00FE1100" w:rsidRPr="00D05F65" w:rsidRDefault="00FE1100" w:rsidP="00D05F65">
            <w:pPr>
              <w:widowControl w:val="0"/>
              <w:autoSpaceDE w:val="0"/>
              <w:autoSpaceDN w:val="0"/>
              <w:adjustRightInd w:val="0"/>
              <w:snapToGrid w:val="0"/>
              <w:jc w:val="both"/>
              <w:rPr>
                <w:rFonts w:ascii="Arial Narrow" w:hAnsi="Arial Narrow"/>
                <w:color w:val="000000"/>
              </w:rPr>
            </w:pPr>
          </w:p>
          <w:p w:rsidR="00FE1100" w:rsidRPr="00D05F65" w:rsidRDefault="00FE1100" w:rsidP="00D05F65">
            <w:pPr>
              <w:widowControl w:val="0"/>
              <w:autoSpaceDE w:val="0"/>
              <w:autoSpaceDN w:val="0"/>
              <w:adjustRightInd w:val="0"/>
              <w:snapToGrid w:val="0"/>
              <w:jc w:val="both"/>
              <w:rPr>
                <w:rFonts w:ascii="Arial Narrow" w:hAnsi="Arial Narrow" w:cs="Times New Roman Bold"/>
                <w:color w:val="000000"/>
              </w:rPr>
            </w:pPr>
            <w:r w:rsidRPr="00D05F65">
              <w:rPr>
                <w:rFonts w:ascii="Arial Narrow" w:hAnsi="Arial Narrow" w:cs="ArialNarrow"/>
                <w:color w:val="000000"/>
              </w:rPr>
              <w:t xml:space="preserve">The above position is clarified by the usage of the term “includible” in the heading to section 14A [Expenditure incurred in relation to income not includible in total income] and Rule 8D [Method for determining amount of expenditure in relation to income not includible in total income], which indicates that it is not necessary that exempt income should necessarily be included in a particular year’s income, for triggering disallowance. Also, the terminology used in section 14A is “income under the Act” and not “income of the year”, which again indicates that it is not material that the assessee should have earned such income during the financial year under consideration. </w:t>
            </w:r>
          </w:p>
          <w:p w:rsidR="00FE1100" w:rsidRPr="00D05F65" w:rsidRDefault="00FE1100" w:rsidP="00D05F65">
            <w:pPr>
              <w:widowControl w:val="0"/>
              <w:autoSpaceDE w:val="0"/>
              <w:autoSpaceDN w:val="0"/>
              <w:adjustRightInd w:val="0"/>
              <w:snapToGrid w:val="0"/>
              <w:jc w:val="both"/>
              <w:rPr>
                <w:rFonts w:ascii="Arial Narrow" w:hAnsi="Arial Narrow" w:cs="ArialNarrow"/>
                <w:color w:val="000000"/>
              </w:rPr>
            </w:pPr>
          </w:p>
          <w:p w:rsidR="00FE1100" w:rsidRPr="00D05F65" w:rsidRDefault="00FE1100" w:rsidP="00D05F65">
            <w:pPr>
              <w:widowControl w:val="0"/>
              <w:autoSpaceDE w:val="0"/>
              <w:autoSpaceDN w:val="0"/>
              <w:adjustRightInd w:val="0"/>
              <w:snapToGrid w:val="0"/>
              <w:jc w:val="both"/>
              <w:rPr>
                <w:rFonts w:ascii="Arial Narrow" w:hAnsi="Arial Narrow" w:cs="ArialNarrow"/>
                <w:b/>
                <w:color w:val="000000"/>
              </w:rPr>
            </w:pPr>
            <w:r w:rsidRPr="00D05F65">
              <w:rPr>
                <w:rFonts w:ascii="Arial Narrow" w:hAnsi="Arial Narrow" w:cs="ArialNarrow"/>
                <w:b/>
                <w:color w:val="000000"/>
              </w:rPr>
              <w:t xml:space="preserve">In effect, section 14A read along with Rule 8D provides for disallowance of expenditure even where the taxpayer has not earned any exempt income in a particular year. </w:t>
            </w:r>
          </w:p>
          <w:p w:rsidR="00FE1100" w:rsidRPr="00D05F65" w:rsidRDefault="00FE1100" w:rsidP="00D05F65">
            <w:pPr>
              <w:widowControl w:val="0"/>
              <w:autoSpaceDE w:val="0"/>
              <w:autoSpaceDN w:val="0"/>
              <w:adjustRightInd w:val="0"/>
              <w:snapToGrid w:val="0"/>
              <w:rPr>
                <w:rFonts w:ascii="Arial Narrow" w:hAnsi="Arial Narrow"/>
                <w:color w:val="000000"/>
              </w:rPr>
            </w:pPr>
          </w:p>
        </w:tc>
      </w:tr>
      <w:tr w:rsidR="00C91F80" w:rsidRPr="00D05F65" w:rsidTr="00DB75EF">
        <w:tc>
          <w:tcPr>
            <w:tcW w:w="1242" w:type="dxa"/>
          </w:tcPr>
          <w:p w:rsidR="00C91F80" w:rsidRPr="00D05F65" w:rsidRDefault="00C91F80">
            <w:pPr>
              <w:rPr>
                <w:rFonts w:ascii="Arial Narrow" w:hAnsi="Arial Narrow"/>
                <w:b/>
              </w:rPr>
            </w:pPr>
            <w:r w:rsidRPr="00D05F65">
              <w:rPr>
                <w:rFonts w:ascii="Arial Narrow" w:hAnsi="Arial Narrow"/>
                <w:b/>
              </w:rPr>
              <w:t>9/2014 dt. 23.04.2014</w:t>
            </w:r>
          </w:p>
        </w:tc>
        <w:tc>
          <w:tcPr>
            <w:tcW w:w="9214" w:type="dxa"/>
          </w:tcPr>
          <w:p w:rsidR="00C91F80" w:rsidRPr="00D05F65" w:rsidRDefault="00C91F80" w:rsidP="00D05F65">
            <w:pPr>
              <w:widowControl w:val="0"/>
              <w:autoSpaceDE w:val="0"/>
              <w:autoSpaceDN w:val="0"/>
              <w:adjustRightInd w:val="0"/>
              <w:snapToGrid w:val="0"/>
              <w:jc w:val="both"/>
              <w:rPr>
                <w:rFonts w:ascii="Arial Narrow" w:hAnsi="Arial Narrow" w:cs="ArialNarrow Bold"/>
                <w:b/>
                <w:color w:val="000000"/>
                <w:u w:val="single"/>
              </w:rPr>
            </w:pPr>
            <w:r w:rsidRPr="00D05F65">
              <w:rPr>
                <w:rFonts w:ascii="Arial Narrow" w:hAnsi="Arial Narrow" w:cs="ArialNarrow Bold"/>
                <w:b/>
                <w:color w:val="000000"/>
                <w:u w:val="single"/>
              </w:rPr>
              <w:t>Clarification regarding treatment of expenditure incurred for development of</w:t>
            </w:r>
            <w:r w:rsidR="00D05F65" w:rsidRPr="00D05F65">
              <w:rPr>
                <w:rFonts w:ascii="Arial Narrow" w:hAnsi="Arial Narrow" w:cs="ArialNarrow Bold"/>
                <w:b/>
                <w:color w:val="000000"/>
                <w:u w:val="single"/>
              </w:rPr>
              <w:t xml:space="preserve"> </w:t>
            </w:r>
            <w:r w:rsidRPr="00D05F65">
              <w:rPr>
                <w:rFonts w:ascii="Arial Narrow" w:hAnsi="Arial Narrow" w:cs="ArialNarrow Bold"/>
                <w:b/>
                <w:color w:val="000000"/>
                <w:u w:val="single"/>
              </w:rPr>
              <w:t>roads/highways in Build-Operate-Transfer (BOT) agreements under the Income Tax Act, 1961:</w:t>
            </w:r>
          </w:p>
          <w:p w:rsidR="00C91F80" w:rsidRPr="00D05F65" w:rsidRDefault="00C91F80" w:rsidP="00D05F65">
            <w:pPr>
              <w:widowControl w:val="0"/>
              <w:autoSpaceDE w:val="0"/>
              <w:autoSpaceDN w:val="0"/>
              <w:adjustRightInd w:val="0"/>
              <w:snapToGrid w:val="0"/>
              <w:jc w:val="both"/>
              <w:rPr>
                <w:rFonts w:ascii="Arial Narrow" w:hAnsi="Arial Narrow" w:cs="ArialNarrow Bold"/>
                <w:color w:val="000000"/>
              </w:rPr>
            </w:pPr>
          </w:p>
          <w:p w:rsidR="00C91F80" w:rsidRPr="00D05F65" w:rsidRDefault="00C91F80" w:rsidP="00D05F65">
            <w:pPr>
              <w:widowControl w:val="0"/>
              <w:autoSpaceDE w:val="0"/>
              <w:autoSpaceDN w:val="0"/>
              <w:adjustRightInd w:val="0"/>
              <w:snapToGrid w:val="0"/>
              <w:jc w:val="both"/>
              <w:rPr>
                <w:rFonts w:ascii="Arial Narrow" w:hAnsi="Arial Narrow"/>
              </w:rPr>
            </w:pPr>
            <w:r w:rsidRPr="00D05F65">
              <w:rPr>
                <w:rFonts w:ascii="Arial Narrow" w:hAnsi="Arial Narrow" w:cs="ArialNarrow"/>
                <w:color w:val="000000"/>
              </w:rPr>
              <w:t>The CBDT has, vide this Circular, clarified the tax treatment of expenditure incurred on development and construction of infrastructural facilities like roads/highways on Build-Operate-Transfer (BOT) basis with right to collect toll - whether the same is entitled todepreciation under section 32(1)(ii) or can be amortized by treating it as an allowable business expenditure under the relevant provisions of the Income- tax Act, 1961.</w:t>
            </w:r>
          </w:p>
          <w:p w:rsidR="00C91F80" w:rsidRPr="00D05F65" w:rsidRDefault="00C91F80" w:rsidP="00D05F65">
            <w:pPr>
              <w:widowControl w:val="0"/>
              <w:autoSpaceDE w:val="0"/>
              <w:autoSpaceDN w:val="0"/>
              <w:adjustRightInd w:val="0"/>
              <w:snapToGrid w:val="0"/>
              <w:jc w:val="both"/>
              <w:rPr>
                <w:rFonts w:ascii="Arial Narrow" w:hAnsi="Arial Narrow"/>
              </w:rPr>
            </w:pPr>
          </w:p>
          <w:p w:rsidR="00C91F80" w:rsidRPr="00D05F65" w:rsidRDefault="00C91F80" w:rsidP="00D05F65">
            <w:pPr>
              <w:widowControl w:val="0"/>
              <w:autoSpaceDE w:val="0"/>
              <w:autoSpaceDN w:val="0"/>
              <w:adjustRightInd w:val="0"/>
              <w:snapToGrid w:val="0"/>
              <w:jc w:val="both"/>
              <w:rPr>
                <w:rFonts w:ascii="Arial Narrow" w:hAnsi="Arial Narrow"/>
                <w:b/>
              </w:rPr>
            </w:pPr>
            <w:r w:rsidRPr="00D05F65">
              <w:rPr>
                <w:rFonts w:ascii="Arial Narrow" w:hAnsi="Arial Narrow" w:cs="ArialNarrow"/>
                <w:b/>
                <w:color w:val="000000"/>
              </w:rPr>
              <w:t>In view of the above, the CBDT, in exercise of the powers conferred under section 119, clarifies that the cost of construction on development of infrastructure facility, being roads/highways under BOT projects, may be amortized and claimed as allowable business expenditure under the Act in the following manner:</w:t>
            </w:r>
          </w:p>
          <w:p w:rsidR="00C91F80" w:rsidRPr="00D05F65" w:rsidRDefault="00C91F80" w:rsidP="00D05F65">
            <w:pPr>
              <w:widowControl w:val="0"/>
              <w:autoSpaceDE w:val="0"/>
              <w:autoSpaceDN w:val="0"/>
              <w:adjustRightInd w:val="0"/>
              <w:snapToGrid w:val="0"/>
              <w:jc w:val="both"/>
              <w:rPr>
                <w:rFonts w:ascii="Arial Narrow" w:hAnsi="Arial Narrow"/>
              </w:rPr>
            </w:pPr>
          </w:p>
          <w:p w:rsidR="00C91F80" w:rsidRPr="00D05F65" w:rsidRDefault="00C91F80" w:rsidP="00D05F65">
            <w:pPr>
              <w:widowControl w:val="0"/>
              <w:autoSpaceDE w:val="0"/>
              <w:autoSpaceDN w:val="0"/>
              <w:adjustRightInd w:val="0"/>
              <w:snapToGrid w:val="0"/>
              <w:jc w:val="both"/>
              <w:rPr>
                <w:rFonts w:ascii="Arial Narrow" w:hAnsi="Arial Narrow"/>
              </w:rPr>
            </w:pPr>
            <w:r w:rsidRPr="00D05F65">
              <w:rPr>
                <w:rFonts w:ascii="Arial Narrow" w:hAnsi="Arial Narrow" w:cs="ArialNarrow"/>
                <w:color w:val="000000"/>
              </w:rPr>
              <w:t>(i) The amortization allowable may be computed at the rate which ensures that the whole of the cost incurred in creation of infrastructural facility of road/highway is amortised evenly over the period of concessionaire agreement after excluding the time taken for creation of such facility.</w:t>
            </w:r>
          </w:p>
          <w:p w:rsidR="00C91F80" w:rsidRPr="00D05F65" w:rsidRDefault="00C91F80" w:rsidP="00D05F65">
            <w:pPr>
              <w:widowControl w:val="0"/>
              <w:autoSpaceDE w:val="0"/>
              <w:autoSpaceDN w:val="0"/>
              <w:adjustRightInd w:val="0"/>
              <w:snapToGrid w:val="0"/>
              <w:jc w:val="both"/>
              <w:rPr>
                <w:rFonts w:ascii="Arial Narrow" w:hAnsi="Arial Narrow"/>
              </w:rPr>
            </w:pPr>
          </w:p>
          <w:p w:rsidR="00C91F80" w:rsidRPr="00D05F65" w:rsidRDefault="00C91F80" w:rsidP="00D05F65">
            <w:pPr>
              <w:widowControl w:val="0"/>
              <w:autoSpaceDE w:val="0"/>
              <w:autoSpaceDN w:val="0"/>
              <w:adjustRightInd w:val="0"/>
              <w:snapToGrid w:val="0"/>
              <w:jc w:val="both"/>
              <w:rPr>
                <w:rFonts w:ascii="Arial Narrow" w:hAnsi="Arial Narrow" w:cs="ArialNarrow"/>
                <w:color w:val="000000"/>
              </w:rPr>
            </w:pPr>
            <w:r w:rsidRPr="00D05F65">
              <w:rPr>
                <w:rFonts w:ascii="Arial Narrow" w:hAnsi="Arial Narrow" w:cs="ArialNarrow"/>
                <w:color w:val="000000"/>
              </w:rPr>
              <w:t>(ii) Where an assessee has claimed any deduction out of initial cost of development of infrastructure facility of roads/highways under BOT projects in earlier years, the total deduction so claimed for the assessment years prior to assessment year under consideration may be deducted from the initial cost of infrastructure facility of roads/highways and the cost so reduced shall</w:t>
            </w:r>
            <w:r w:rsidR="00D05F65" w:rsidRPr="00D05F65">
              <w:rPr>
                <w:rFonts w:ascii="Arial Narrow" w:hAnsi="Arial Narrow" w:cs="ArialNarrow"/>
                <w:color w:val="000000"/>
              </w:rPr>
              <w:t xml:space="preserve"> be amortised equally over the </w:t>
            </w:r>
            <w:r w:rsidRPr="00D05F65">
              <w:rPr>
                <w:rFonts w:ascii="Arial Narrow" w:hAnsi="Arial Narrow" w:cs="ArialNarrow"/>
                <w:color w:val="000000"/>
              </w:rPr>
              <w:t>remaining period of toll concessionaire agreement.</w:t>
            </w:r>
          </w:p>
          <w:p w:rsidR="00C91F80" w:rsidRPr="00D05F65" w:rsidRDefault="00C91F80" w:rsidP="00D05F65">
            <w:pPr>
              <w:widowControl w:val="0"/>
              <w:autoSpaceDE w:val="0"/>
              <w:autoSpaceDN w:val="0"/>
              <w:adjustRightInd w:val="0"/>
              <w:snapToGrid w:val="0"/>
              <w:jc w:val="both"/>
              <w:rPr>
                <w:rFonts w:ascii="Arial Narrow" w:hAnsi="Arial Narrow"/>
              </w:rPr>
            </w:pPr>
          </w:p>
          <w:p w:rsidR="00C91F80" w:rsidRPr="00D05F65" w:rsidRDefault="00C91F80" w:rsidP="00FF6C82">
            <w:pPr>
              <w:widowControl w:val="0"/>
              <w:autoSpaceDE w:val="0"/>
              <w:autoSpaceDN w:val="0"/>
              <w:adjustRightInd w:val="0"/>
              <w:snapToGrid w:val="0"/>
              <w:jc w:val="both"/>
              <w:rPr>
                <w:rFonts w:ascii="Arial Narrow" w:hAnsi="Arial Narrow"/>
                <w:b/>
                <w:color w:val="000000"/>
              </w:rPr>
            </w:pPr>
            <w:r w:rsidRPr="00FF6C82">
              <w:rPr>
                <w:rFonts w:ascii="Arial Narrow" w:hAnsi="Arial Narrow" w:cs="ArialNarrow"/>
                <w:b/>
                <w:color w:val="000000"/>
                <w:sz w:val="20"/>
                <w:szCs w:val="20"/>
              </w:rPr>
              <w:t>The clarification given in this Circular is applicable only to those infrastructure projects for development of road/highways on BOT basis where ownership is not vested with the assessee under the concessionaire agreement.</w:t>
            </w:r>
          </w:p>
        </w:tc>
      </w:tr>
      <w:tr w:rsidR="00EA74C4" w:rsidRPr="00D05F65" w:rsidTr="00DB75EF">
        <w:tc>
          <w:tcPr>
            <w:tcW w:w="1242" w:type="dxa"/>
          </w:tcPr>
          <w:p w:rsidR="00EA74C4" w:rsidRPr="00D05F65" w:rsidRDefault="00EA74C4">
            <w:pPr>
              <w:rPr>
                <w:rFonts w:ascii="Arial Narrow" w:hAnsi="Arial Narrow"/>
                <w:b/>
              </w:rPr>
            </w:pPr>
            <w:r w:rsidRPr="00D05F65">
              <w:rPr>
                <w:rFonts w:ascii="Arial Narrow" w:hAnsi="Arial Narrow"/>
                <w:b/>
              </w:rPr>
              <w:t>10/2014 dt. 06.05.2014</w:t>
            </w:r>
          </w:p>
        </w:tc>
        <w:tc>
          <w:tcPr>
            <w:tcW w:w="9214" w:type="dxa"/>
          </w:tcPr>
          <w:p w:rsidR="00FE1100" w:rsidRPr="00D05F65" w:rsidRDefault="00FE1100" w:rsidP="00D05F65">
            <w:pPr>
              <w:widowControl w:val="0"/>
              <w:autoSpaceDE w:val="0"/>
              <w:autoSpaceDN w:val="0"/>
              <w:adjustRightInd w:val="0"/>
              <w:snapToGrid w:val="0"/>
              <w:jc w:val="both"/>
              <w:rPr>
                <w:rFonts w:ascii="Arial Narrow" w:hAnsi="Arial Narrow"/>
                <w:color w:val="000000"/>
                <w:u w:val="single"/>
              </w:rPr>
            </w:pPr>
            <w:r w:rsidRPr="00D05F65">
              <w:rPr>
                <w:rFonts w:ascii="Arial Narrow" w:hAnsi="Arial Narrow"/>
                <w:b/>
                <w:color w:val="000000"/>
                <w:u w:val="single"/>
              </w:rPr>
              <w:t>Eligibility of deduction under section 80-IA for unexpired period, in case of an undertaking or enterprise developing an infrastructure facility, industrial park, SEZ and transferring the same to another enterprise or undertaking for operation and maintenance:</w:t>
            </w:r>
          </w:p>
          <w:p w:rsidR="00FE1100" w:rsidRPr="00D05F65" w:rsidRDefault="00FE1100" w:rsidP="00D05F65">
            <w:pPr>
              <w:widowControl w:val="0"/>
              <w:autoSpaceDE w:val="0"/>
              <w:autoSpaceDN w:val="0"/>
              <w:adjustRightInd w:val="0"/>
              <w:snapToGrid w:val="0"/>
              <w:jc w:val="both"/>
              <w:rPr>
                <w:rFonts w:ascii="Arial Narrow" w:hAnsi="Arial Narrow"/>
                <w:color w:val="000000"/>
              </w:rPr>
            </w:pPr>
          </w:p>
          <w:p w:rsidR="00EA74C4" w:rsidRPr="00D05F65" w:rsidRDefault="00EA74C4" w:rsidP="00D05F65">
            <w:pPr>
              <w:widowControl w:val="0"/>
              <w:autoSpaceDE w:val="0"/>
              <w:autoSpaceDN w:val="0"/>
              <w:adjustRightInd w:val="0"/>
              <w:snapToGrid w:val="0"/>
              <w:jc w:val="both"/>
              <w:rPr>
                <w:rFonts w:ascii="Arial Narrow" w:hAnsi="Arial Narrow"/>
              </w:rPr>
            </w:pPr>
            <w:r w:rsidRPr="00D05F65">
              <w:rPr>
                <w:rFonts w:ascii="Arial Narrow" w:hAnsi="Arial Narrow"/>
                <w:color w:val="000000"/>
              </w:rPr>
              <w:t>The CBDT has, through this circular, clarified that if –</w:t>
            </w:r>
          </w:p>
          <w:p w:rsidR="00EA74C4" w:rsidRPr="00D05F65" w:rsidRDefault="00EA74C4" w:rsidP="00D05F65">
            <w:pPr>
              <w:pStyle w:val="ListParagraph"/>
              <w:widowControl w:val="0"/>
              <w:numPr>
                <w:ilvl w:val="0"/>
                <w:numId w:val="1"/>
              </w:numPr>
              <w:tabs>
                <w:tab w:val="left" w:pos="900"/>
              </w:tabs>
              <w:autoSpaceDE w:val="0"/>
              <w:autoSpaceDN w:val="0"/>
              <w:adjustRightInd w:val="0"/>
              <w:snapToGrid w:val="0"/>
              <w:spacing w:after="0" w:line="240" w:lineRule="auto"/>
              <w:ind w:left="810"/>
              <w:jc w:val="both"/>
              <w:rPr>
                <w:rFonts w:ascii="Arial Narrow" w:hAnsi="Arial Narrow"/>
              </w:rPr>
            </w:pPr>
            <w:r w:rsidRPr="00D05F65">
              <w:rPr>
                <w:rFonts w:ascii="Arial Narrow" w:hAnsi="Arial Narrow"/>
                <w:color w:val="000000"/>
              </w:rPr>
              <w:lastRenderedPageBreak/>
              <w:t>an enterprise or undertaking develops an infrastructure facility, industrial park or</w:t>
            </w:r>
            <w:r w:rsidRPr="00D05F65">
              <w:rPr>
                <w:rFonts w:ascii="Arial Narrow" w:hAnsi="Arial Narrow"/>
              </w:rPr>
              <w:t xml:space="preserve"> </w:t>
            </w:r>
            <w:r w:rsidRPr="00D05F65">
              <w:rPr>
                <w:rFonts w:ascii="Arial Narrow" w:hAnsi="Arial Narrow"/>
                <w:color w:val="000000"/>
              </w:rPr>
              <w:t>special economic zone, as the case may be; and</w:t>
            </w:r>
          </w:p>
          <w:p w:rsidR="00EA74C4" w:rsidRPr="00D05F65" w:rsidRDefault="00EA74C4" w:rsidP="00D05F65">
            <w:pPr>
              <w:pStyle w:val="ListParagraph"/>
              <w:widowControl w:val="0"/>
              <w:numPr>
                <w:ilvl w:val="0"/>
                <w:numId w:val="1"/>
              </w:numPr>
              <w:tabs>
                <w:tab w:val="left" w:pos="900"/>
              </w:tabs>
              <w:autoSpaceDE w:val="0"/>
              <w:autoSpaceDN w:val="0"/>
              <w:adjustRightInd w:val="0"/>
              <w:snapToGrid w:val="0"/>
              <w:spacing w:after="0" w:line="240" w:lineRule="auto"/>
              <w:ind w:left="810"/>
              <w:jc w:val="both"/>
              <w:rPr>
                <w:rFonts w:ascii="Arial Narrow" w:hAnsi="Arial Narrow"/>
              </w:rPr>
            </w:pPr>
            <w:r w:rsidRPr="00D05F65">
              <w:rPr>
                <w:rFonts w:ascii="Arial Narrow" w:hAnsi="Arial Narrow"/>
                <w:color w:val="000000"/>
              </w:rPr>
              <w:t>transfers it to another enterprise or undertaking for operation and maintenance in  accordance with the proviso to clause (i) or clause (iii) of sub-section (4) of section 80-IA; and</w:t>
            </w:r>
          </w:p>
          <w:p w:rsidR="00EA74C4" w:rsidRPr="00D05F65" w:rsidRDefault="00EA74C4" w:rsidP="00D05F65">
            <w:pPr>
              <w:pStyle w:val="ListParagraph"/>
              <w:widowControl w:val="0"/>
              <w:numPr>
                <w:ilvl w:val="0"/>
                <w:numId w:val="1"/>
              </w:numPr>
              <w:tabs>
                <w:tab w:val="left" w:pos="900"/>
              </w:tabs>
              <w:autoSpaceDE w:val="0"/>
              <w:autoSpaceDN w:val="0"/>
              <w:adjustRightInd w:val="0"/>
              <w:snapToGrid w:val="0"/>
              <w:spacing w:after="0" w:line="240" w:lineRule="auto"/>
              <w:ind w:left="810"/>
              <w:jc w:val="both"/>
              <w:rPr>
                <w:rFonts w:ascii="Arial Narrow" w:hAnsi="Arial Narrow"/>
              </w:rPr>
            </w:pPr>
            <w:r w:rsidRPr="00D05F65">
              <w:rPr>
                <w:rFonts w:ascii="Arial Narrow" w:hAnsi="Arial Narrow"/>
                <w:color w:val="000000"/>
              </w:rPr>
              <w:t>this transfer is not by way of amalgamation or demerger,</w:t>
            </w:r>
          </w:p>
          <w:p w:rsidR="00EA74C4" w:rsidRPr="00D05F65" w:rsidRDefault="00EA74C4" w:rsidP="00D05F65">
            <w:pPr>
              <w:pStyle w:val="ListParagraph"/>
              <w:widowControl w:val="0"/>
              <w:numPr>
                <w:ilvl w:val="0"/>
                <w:numId w:val="1"/>
              </w:numPr>
              <w:tabs>
                <w:tab w:val="left" w:pos="900"/>
              </w:tabs>
              <w:autoSpaceDE w:val="0"/>
              <w:autoSpaceDN w:val="0"/>
              <w:adjustRightInd w:val="0"/>
              <w:snapToGrid w:val="0"/>
              <w:spacing w:after="0" w:line="240" w:lineRule="auto"/>
              <w:ind w:left="810"/>
              <w:jc w:val="both"/>
              <w:rPr>
                <w:rFonts w:ascii="Arial Narrow" w:hAnsi="Arial Narrow"/>
              </w:rPr>
            </w:pPr>
            <w:r w:rsidRPr="00D05F65">
              <w:rPr>
                <w:rFonts w:ascii="Arial Narrow" w:hAnsi="Arial Narrow"/>
                <w:color w:val="000000"/>
              </w:rPr>
              <w:t>the transferee shall be eligible for the deduction for the unexpired period.</w:t>
            </w:r>
          </w:p>
          <w:p w:rsidR="00EA74C4" w:rsidRPr="00D05F65" w:rsidRDefault="00EA74C4">
            <w:pPr>
              <w:rPr>
                <w:rFonts w:ascii="Arial Narrow" w:hAnsi="Arial Narrow"/>
              </w:rPr>
            </w:pPr>
          </w:p>
          <w:p w:rsidR="00FE1100" w:rsidRPr="00D05F65" w:rsidRDefault="00FE1100" w:rsidP="00D05F65">
            <w:pPr>
              <w:jc w:val="both"/>
              <w:rPr>
                <w:rFonts w:ascii="Arial Narrow" w:hAnsi="Arial Narrow"/>
                <w:b/>
              </w:rPr>
            </w:pPr>
            <w:r w:rsidRPr="00D05F65">
              <w:rPr>
                <w:rFonts w:ascii="Arial Narrow" w:hAnsi="Arial Narrow"/>
                <w:b/>
              </w:rPr>
              <w:t xml:space="preserve">Thus this circular provides benefit to the transferee undertaking for the remaining period under section 80IA. </w:t>
            </w:r>
          </w:p>
          <w:p w:rsidR="00FE1100" w:rsidRPr="00D05F65" w:rsidRDefault="00FE1100">
            <w:pPr>
              <w:rPr>
                <w:rFonts w:ascii="Arial Narrow" w:hAnsi="Arial Narrow"/>
              </w:rPr>
            </w:pPr>
          </w:p>
        </w:tc>
      </w:tr>
      <w:tr w:rsidR="00EA74C4" w:rsidRPr="00D05F65" w:rsidTr="00DB75EF">
        <w:tc>
          <w:tcPr>
            <w:tcW w:w="1242" w:type="dxa"/>
          </w:tcPr>
          <w:p w:rsidR="00EA74C4" w:rsidRPr="00D05F65" w:rsidRDefault="00EA74C4">
            <w:pPr>
              <w:rPr>
                <w:rFonts w:ascii="Arial Narrow" w:hAnsi="Arial Narrow"/>
              </w:rPr>
            </w:pPr>
            <w:r w:rsidRPr="00D05F65">
              <w:rPr>
                <w:rFonts w:ascii="Arial Narrow" w:hAnsi="Arial Narrow"/>
              </w:rPr>
              <w:lastRenderedPageBreak/>
              <w:t>13/2014 dt. 28.07.2014</w:t>
            </w:r>
          </w:p>
        </w:tc>
        <w:tc>
          <w:tcPr>
            <w:tcW w:w="9214" w:type="dxa"/>
          </w:tcPr>
          <w:p w:rsidR="00EA74C4" w:rsidRPr="00D05F65" w:rsidRDefault="00EA74C4" w:rsidP="00D05F65">
            <w:pPr>
              <w:widowControl w:val="0"/>
              <w:autoSpaceDE w:val="0"/>
              <w:autoSpaceDN w:val="0"/>
              <w:adjustRightInd w:val="0"/>
              <w:snapToGrid w:val="0"/>
              <w:jc w:val="both"/>
              <w:rPr>
                <w:rFonts w:ascii="Arial Narrow" w:hAnsi="Arial Narrow"/>
                <w:color w:val="000000"/>
                <w:u w:val="single"/>
              </w:rPr>
            </w:pPr>
            <w:r w:rsidRPr="00D05F65">
              <w:rPr>
                <w:rFonts w:ascii="Arial Narrow" w:hAnsi="Arial Narrow"/>
                <w:b/>
                <w:color w:val="000000"/>
                <w:u w:val="single"/>
              </w:rPr>
              <w:t>Taxation of Alternative Investment Funds having status of Non-charitable trusts</w:t>
            </w:r>
            <w:r w:rsidRPr="00D05F65">
              <w:rPr>
                <w:rFonts w:ascii="Arial Narrow" w:hAnsi="Arial Narrow"/>
                <w:b/>
                <w:u w:val="single"/>
              </w:rPr>
              <w:t xml:space="preserve"> </w:t>
            </w:r>
            <w:r w:rsidRPr="00D05F65">
              <w:rPr>
                <w:rFonts w:ascii="Arial Narrow" w:hAnsi="Arial Narrow"/>
                <w:b/>
                <w:color w:val="000000"/>
                <w:u w:val="single"/>
              </w:rPr>
              <w:t>under Income-tax Act, 1961:</w:t>
            </w:r>
          </w:p>
          <w:p w:rsidR="00EA74C4" w:rsidRPr="00D05F65" w:rsidRDefault="00EA74C4" w:rsidP="00D05F65">
            <w:pPr>
              <w:widowControl w:val="0"/>
              <w:autoSpaceDE w:val="0"/>
              <w:autoSpaceDN w:val="0"/>
              <w:adjustRightInd w:val="0"/>
              <w:snapToGrid w:val="0"/>
              <w:jc w:val="both"/>
              <w:rPr>
                <w:rFonts w:ascii="Arial Narrow" w:hAnsi="Arial Narrow"/>
                <w:color w:val="000000"/>
              </w:rPr>
            </w:pPr>
          </w:p>
          <w:p w:rsidR="00EA74C4" w:rsidRPr="00D05F65" w:rsidRDefault="00EA74C4" w:rsidP="00D05F65">
            <w:pPr>
              <w:widowControl w:val="0"/>
              <w:autoSpaceDE w:val="0"/>
              <w:autoSpaceDN w:val="0"/>
              <w:adjustRightInd w:val="0"/>
              <w:snapToGrid w:val="0"/>
              <w:jc w:val="both"/>
              <w:rPr>
                <w:rFonts w:ascii="Arial Narrow" w:hAnsi="Arial Narrow"/>
              </w:rPr>
            </w:pPr>
            <w:r w:rsidRPr="00D05F65">
              <w:rPr>
                <w:rFonts w:ascii="Arial Narrow" w:hAnsi="Arial Narrow"/>
                <w:color w:val="000000"/>
              </w:rPr>
              <w:t>The SEBI (Alternative Investment Funds) Regulations, 2012 (AIF Regulations), aims at</w:t>
            </w:r>
            <w:r w:rsidRPr="00D05F65">
              <w:rPr>
                <w:rFonts w:ascii="Arial Narrow" w:hAnsi="Arial Narrow"/>
              </w:rPr>
              <w:t xml:space="preserve"> </w:t>
            </w:r>
            <w:r w:rsidRPr="00D05F65">
              <w:rPr>
                <w:rFonts w:ascii="Arial Narrow" w:hAnsi="Arial Narrow"/>
                <w:color w:val="000000"/>
              </w:rPr>
              <w:t>regulating all forms of private pool of funds in India. These regulations divide AIFs into</w:t>
            </w:r>
            <w:r w:rsidRPr="00D05F65">
              <w:rPr>
                <w:rFonts w:ascii="Arial Narrow" w:hAnsi="Arial Narrow"/>
              </w:rPr>
              <w:t xml:space="preserve"> </w:t>
            </w:r>
            <w:r w:rsidRPr="00D05F65">
              <w:rPr>
                <w:rFonts w:ascii="Arial Narrow" w:hAnsi="Arial Narrow"/>
                <w:color w:val="000000"/>
              </w:rPr>
              <w:t>three broad categories – Category I, Category II and Category III AIFs, on the basis of</w:t>
            </w:r>
            <w:r w:rsidRPr="00D05F65">
              <w:rPr>
                <w:rFonts w:ascii="Arial Narrow" w:hAnsi="Arial Narrow"/>
              </w:rPr>
              <w:t xml:space="preserve"> </w:t>
            </w:r>
            <w:r w:rsidRPr="00D05F65">
              <w:rPr>
                <w:rFonts w:ascii="Arial Narrow" w:hAnsi="Arial Narrow"/>
                <w:color w:val="000000"/>
              </w:rPr>
              <w:t>the operational strategies, objectives and fund structure. Category I AIFs include Venture</w:t>
            </w:r>
            <w:r w:rsidRPr="00D05F65">
              <w:rPr>
                <w:rFonts w:ascii="Arial Narrow" w:hAnsi="Arial Narrow"/>
              </w:rPr>
              <w:t xml:space="preserve"> </w:t>
            </w:r>
            <w:r w:rsidRPr="00D05F65">
              <w:rPr>
                <w:rFonts w:ascii="Arial Narrow" w:hAnsi="Arial Narrow"/>
                <w:color w:val="000000"/>
              </w:rPr>
              <w:t>Capital Funds which are established as a trust and Venture Capital Companies.</w:t>
            </w:r>
            <w:r w:rsidRPr="00D05F65">
              <w:rPr>
                <w:rFonts w:ascii="Arial Narrow" w:hAnsi="Arial Narrow"/>
              </w:rPr>
              <w:t xml:space="preserve"> </w:t>
            </w:r>
            <w:r w:rsidRPr="00D05F65">
              <w:rPr>
                <w:rFonts w:ascii="Arial Narrow" w:hAnsi="Arial Narrow"/>
                <w:color w:val="000000"/>
              </w:rPr>
              <w:t>Category I AIFs are eligible for “pass through status” under section 10(23FB) read with</w:t>
            </w:r>
            <w:r w:rsidRPr="00D05F65">
              <w:rPr>
                <w:rFonts w:ascii="Arial Narrow" w:hAnsi="Arial Narrow"/>
              </w:rPr>
              <w:t xml:space="preserve"> </w:t>
            </w:r>
            <w:r w:rsidRPr="00D05F65">
              <w:rPr>
                <w:rFonts w:ascii="Arial Narrow" w:hAnsi="Arial Narrow"/>
                <w:color w:val="000000"/>
              </w:rPr>
              <w:t>section 115U, in respect of income which arises to the fund from investment in venture</w:t>
            </w:r>
            <w:r w:rsidRPr="00D05F65">
              <w:rPr>
                <w:rFonts w:ascii="Arial Narrow" w:hAnsi="Arial Narrow"/>
              </w:rPr>
              <w:t xml:space="preserve"> </w:t>
            </w:r>
            <w:r w:rsidRPr="00D05F65">
              <w:rPr>
                <w:rFonts w:ascii="Arial Narrow" w:hAnsi="Arial Narrow"/>
                <w:color w:val="000000"/>
              </w:rPr>
              <w:t>capital undertaking (VCU), provided they comply with the additional conditions laid down</w:t>
            </w:r>
            <w:r w:rsidRPr="00D05F65">
              <w:rPr>
                <w:rFonts w:ascii="Arial Narrow" w:hAnsi="Arial Narrow"/>
              </w:rPr>
              <w:t xml:space="preserve"> </w:t>
            </w:r>
            <w:r w:rsidRPr="00D05F65">
              <w:rPr>
                <w:rFonts w:ascii="Arial Narrow" w:hAnsi="Arial Narrow"/>
                <w:color w:val="000000"/>
              </w:rPr>
              <w:t>under the Income-tax Act, 1961. Such income accruing or arising or received by a</w:t>
            </w:r>
            <w:r w:rsidRPr="00D05F65">
              <w:rPr>
                <w:rFonts w:ascii="Arial Narrow" w:hAnsi="Arial Narrow"/>
              </w:rPr>
              <w:t xml:space="preserve"> </w:t>
            </w:r>
            <w:r w:rsidRPr="00D05F65">
              <w:rPr>
                <w:rFonts w:ascii="Arial Narrow" w:hAnsi="Arial Narrow"/>
                <w:color w:val="000000"/>
              </w:rPr>
              <w:t>person out of investment made in a Category I AIF fulfilling the prescribed conditions</w:t>
            </w:r>
            <w:r w:rsidRPr="00D05F65">
              <w:rPr>
                <w:rFonts w:ascii="Arial Narrow" w:hAnsi="Arial Narrow"/>
              </w:rPr>
              <w:t xml:space="preserve"> </w:t>
            </w:r>
            <w:r w:rsidRPr="00D05F65">
              <w:rPr>
                <w:rFonts w:ascii="Arial Narrow" w:hAnsi="Arial Narrow"/>
                <w:color w:val="000000"/>
              </w:rPr>
              <w:t>under the Income-tax Act, 1961 shall be taxable in the like manner as if the person had</w:t>
            </w:r>
            <w:r w:rsidRPr="00D05F65">
              <w:rPr>
                <w:rFonts w:ascii="Arial Narrow" w:hAnsi="Arial Narrow"/>
              </w:rPr>
              <w:t xml:space="preserve"> </w:t>
            </w:r>
            <w:r w:rsidRPr="00D05F65">
              <w:rPr>
                <w:rFonts w:ascii="Arial Narrow" w:hAnsi="Arial Narrow"/>
                <w:color w:val="000000"/>
              </w:rPr>
              <w:t>made a direct investment in the VCU. In effect, the VCF (falling under Category I AIF)</w:t>
            </w:r>
            <w:r w:rsidRPr="00D05F65">
              <w:rPr>
                <w:rFonts w:ascii="Arial Narrow" w:hAnsi="Arial Narrow"/>
              </w:rPr>
              <w:t xml:space="preserve"> </w:t>
            </w:r>
            <w:r w:rsidRPr="00D05F65">
              <w:rPr>
                <w:rFonts w:ascii="Arial Narrow" w:hAnsi="Arial Narrow"/>
                <w:color w:val="000000"/>
              </w:rPr>
              <w:t>enjoys a pass through status in respect of such income under section 10(23FB).</w:t>
            </w:r>
          </w:p>
          <w:p w:rsidR="00EA74C4" w:rsidRPr="00D05F65" w:rsidRDefault="00EA74C4" w:rsidP="00D05F65">
            <w:pPr>
              <w:widowControl w:val="0"/>
              <w:autoSpaceDE w:val="0"/>
              <w:autoSpaceDN w:val="0"/>
              <w:adjustRightInd w:val="0"/>
              <w:snapToGrid w:val="0"/>
              <w:jc w:val="both"/>
              <w:rPr>
                <w:rFonts w:ascii="Arial Narrow" w:hAnsi="Arial Narrow"/>
                <w:color w:val="000000"/>
              </w:rPr>
            </w:pPr>
          </w:p>
          <w:p w:rsidR="00EA74C4" w:rsidRPr="00D05F65" w:rsidRDefault="00EA74C4" w:rsidP="00D05F65">
            <w:pPr>
              <w:widowControl w:val="0"/>
              <w:autoSpaceDE w:val="0"/>
              <w:autoSpaceDN w:val="0"/>
              <w:adjustRightInd w:val="0"/>
              <w:snapToGrid w:val="0"/>
              <w:jc w:val="both"/>
              <w:rPr>
                <w:rFonts w:ascii="Arial Narrow" w:hAnsi="Arial Narrow"/>
              </w:rPr>
            </w:pPr>
            <w:r w:rsidRPr="00D05F65">
              <w:rPr>
                <w:rFonts w:ascii="Arial Narrow" w:hAnsi="Arial Narrow"/>
                <w:color w:val="000000"/>
              </w:rPr>
              <w:t>A large number of AIF’s registered with SEBI have been set up in the form of non-charitable trusts. In this regard, clarification was sought from the CBDT about tax</w:t>
            </w:r>
            <w:r w:rsidRPr="00D05F65">
              <w:rPr>
                <w:rFonts w:ascii="Arial Narrow" w:hAnsi="Arial Narrow"/>
              </w:rPr>
              <w:t xml:space="preserve"> </w:t>
            </w:r>
            <w:r w:rsidRPr="00D05F65">
              <w:rPr>
                <w:rFonts w:ascii="Arial Narrow" w:hAnsi="Arial Narrow"/>
                <w:color w:val="000000"/>
              </w:rPr>
              <w:t>treatment in cases of AIFs being non-charitable trusts where the name of investor and</w:t>
            </w:r>
            <w:r w:rsidRPr="00D05F65">
              <w:rPr>
                <w:rFonts w:ascii="Arial Narrow" w:hAnsi="Arial Narrow"/>
              </w:rPr>
              <w:t xml:space="preserve"> </w:t>
            </w:r>
            <w:r w:rsidRPr="00D05F65">
              <w:rPr>
                <w:rFonts w:ascii="Arial Narrow" w:hAnsi="Arial Narrow"/>
                <w:color w:val="000000"/>
              </w:rPr>
              <w:t>beneficial interest are not explicitly known on the date of its creation owing to such</w:t>
            </w:r>
            <w:r w:rsidRPr="00D05F65">
              <w:rPr>
                <w:rFonts w:ascii="Arial Narrow" w:hAnsi="Arial Narrow"/>
              </w:rPr>
              <w:t xml:space="preserve"> </w:t>
            </w:r>
            <w:r w:rsidRPr="00D05F65">
              <w:rPr>
                <w:rFonts w:ascii="Arial Narrow" w:hAnsi="Arial Narrow"/>
                <w:color w:val="000000"/>
              </w:rPr>
              <w:t>information becoming available only when the fund starts accepting contributions from</w:t>
            </w:r>
            <w:r w:rsidRPr="00D05F65">
              <w:rPr>
                <w:rFonts w:ascii="Arial Narrow" w:hAnsi="Arial Narrow"/>
              </w:rPr>
              <w:t xml:space="preserve"> </w:t>
            </w:r>
            <w:r w:rsidRPr="00D05F65">
              <w:rPr>
                <w:rFonts w:ascii="Arial Narrow" w:hAnsi="Arial Narrow"/>
                <w:color w:val="000000"/>
              </w:rPr>
              <w:t>the investors. The issue is whether the income of such funds would be taxable in the</w:t>
            </w:r>
            <w:r w:rsidRPr="00D05F65">
              <w:rPr>
                <w:rFonts w:ascii="Arial Narrow" w:hAnsi="Arial Narrow"/>
              </w:rPr>
              <w:t xml:space="preserve"> </w:t>
            </w:r>
            <w:r w:rsidRPr="00D05F65">
              <w:rPr>
                <w:rFonts w:ascii="Arial Narrow" w:hAnsi="Arial Narrow"/>
                <w:color w:val="000000"/>
              </w:rPr>
              <w:t>hands of the trustees of the AIF in the capacity of a ‘Representative assessee as defined</w:t>
            </w:r>
            <w:r w:rsidRPr="00D05F65">
              <w:rPr>
                <w:rFonts w:ascii="Arial Narrow" w:hAnsi="Arial Narrow"/>
              </w:rPr>
              <w:t xml:space="preserve"> </w:t>
            </w:r>
            <w:r w:rsidRPr="00D05F65">
              <w:rPr>
                <w:rFonts w:ascii="Arial Narrow" w:hAnsi="Arial Narrow"/>
                <w:color w:val="000000"/>
              </w:rPr>
              <w:t>in section 160(1)(iv) or in the hands of investors.</w:t>
            </w:r>
          </w:p>
          <w:p w:rsidR="00EA74C4" w:rsidRPr="00D05F65" w:rsidRDefault="00EA74C4" w:rsidP="00D05F65">
            <w:pPr>
              <w:widowControl w:val="0"/>
              <w:autoSpaceDE w:val="0"/>
              <w:autoSpaceDN w:val="0"/>
              <w:adjustRightInd w:val="0"/>
              <w:snapToGrid w:val="0"/>
              <w:jc w:val="both"/>
              <w:rPr>
                <w:rFonts w:ascii="Arial Narrow" w:hAnsi="Arial Narrow"/>
              </w:rPr>
            </w:pPr>
          </w:p>
          <w:p w:rsidR="00EA74C4" w:rsidRPr="00D05F65" w:rsidRDefault="00EA74C4" w:rsidP="00D05F65">
            <w:pPr>
              <w:widowControl w:val="0"/>
              <w:autoSpaceDE w:val="0"/>
              <w:autoSpaceDN w:val="0"/>
              <w:adjustRightInd w:val="0"/>
              <w:snapToGrid w:val="0"/>
              <w:jc w:val="both"/>
              <w:rPr>
                <w:rFonts w:ascii="Arial Narrow" w:hAnsi="Arial Narrow"/>
              </w:rPr>
            </w:pPr>
            <w:r w:rsidRPr="00D05F65">
              <w:rPr>
                <w:rFonts w:ascii="Arial Narrow" w:hAnsi="Arial Narrow"/>
                <w:color w:val="000000"/>
              </w:rPr>
              <w:t>In this regard, the CBDT has clarified that where the trust deed does not specify the</w:t>
            </w:r>
            <w:r w:rsidRPr="00D05F65">
              <w:rPr>
                <w:rFonts w:ascii="Arial Narrow" w:hAnsi="Arial Narrow"/>
              </w:rPr>
              <w:t xml:space="preserve"> </w:t>
            </w:r>
            <w:r w:rsidRPr="00D05F65">
              <w:rPr>
                <w:rFonts w:ascii="Arial Narrow" w:hAnsi="Arial Narrow"/>
                <w:color w:val="000000"/>
              </w:rPr>
              <w:t>name of investors or their beneficial interests, the provisions of section 164(1) would</w:t>
            </w:r>
            <w:r w:rsidRPr="00D05F65">
              <w:rPr>
                <w:rFonts w:ascii="Arial Narrow" w:hAnsi="Arial Narrow"/>
              </w:rPr>
              <w:t xml:space="preserve"> </w:t>
            </w:r>
            <w:r w:rsidRPr="00D05F65">
              <w:rPr>
                <w:rFonts w:ascii="Arial Narrow" w:hAnsi="Arial Narrow"/>
                <w:color w:val="000000"/>
              </w:rPr>
              <w:t>apply and the entire income of fund shall be liable to be taxed at Maximum Marginal Rate</w:t>
            </w:r>
            <w:r w:rsidRPr="00D05F65">
              <w:rPr>
                <w:rFonts w:ascii="Arial Narrow" w:hAnsi="Arial Narrow"/>
              </w:rPr>
              <w:t xml:space="preserve"> </w:t>
            </w:r>
            <w:r w:rsidRPr="00D05F65">
              <w:rPr>
                <w:rFonts w:ascii="Arial Narrow" w:hAnsi="Arial Narrow"/>
                <w:color w:val="000000"/>
              </w:rPr>
              <w:t>of income tax in the hands of the trustees of such AIF’s in their capacity as</w:t>
            </w:r>
            <w:r w:rsidRPr="00D05F65">
              <w:rPr>
                <w:rFonts w:ascii="Arial Narrow" w:hAnsi="Arial Narrow"/>
              </w:rPr>
              <w:t xml:space="preserve"> </w:t>
            </w:r>
            <w:r w:rsidRPr="00D05F65">
              <w:rPr>
                <w:rFonts w:ascii="Arial Narrow" w:hAnsi="Arial Narrow"/>
                <w:color w:val="000000"/>
              </w:rPr>
              <w:t>‘Representative Assessee’. Consequently, the provisions of section 166 need not be</w:t>
            </w:r>
            <w:r w:rsidRPr="00D05F65">
              <w:rPr>
                <w:rFonts w:ascii="Arial Narrow" w:hAnsi="Arial Narrow"/>
              </w:rPr>
              <w:t xml:space="preserve"> </w:t>
            </w:r>
            <w:r w:rsidRPr="00D05F65">
              <w:rPr>
                <w:rFonts w:ascii="Arial Narrow" w:hAnsi="Arial Narrow"/>
                <w:color w:val="000000"/>
              </w:rPr>
              <w:t>invoked in the hands of the investor, as the income has already been subject to the tax in</w:t>
            </w:r>
            <w:r w:rsidRPr="00D05F65">
              <w:rPr>
                <w:rFonts w:ascii="Arial Narrow" w:hAnsi="Arial Narrow"/>
              </w:rPr>
              <w:t xml:space="preserve"> </w:t>
            </w:r>
            <w:r w:rsidRPr="00D05F65">
              <w:rPr>
                <w:rFonts w:ascii="Arial Narrow" w:hAnsi="Arial Narrow"/>
                <w:color w:val="000000"/>
              </w:rPr>
              <w:t>the hands of the Representative Assessee in accordance with section 164(1).</w:t>
            </w:r>
          </w:p>
          <w:p w:rsidR="00EA74C4" w:rsidRPr="00D05F65" w:rsidRDefault="00EA74C4" w:rsidP="00D05F65">
            <w:pPr>
              <w:widowControl w:val="0"/>
              <w:autoSpaceDE w:val="0"/>
              <w:autoSpaceDN w:val="0"/>
              <w:adjustRightInd w:val="0"/>
              <w:snapToGrid w:val="0"/>
              <w:jc w:val="both"/>
              <w:rPr>
                <w:rFonts w:ascii="Arial Narrow" w:hAnsi="Arial Narrow"/>
              </w:rPr>
            </w:pPr>
          </w:p>
          <w:p w:rsidR="00EA74C4" w:rsidRPr="00D05F65" w:rsidRDefault="00EA74C4" w:rsidP="00D05F65">
            <w:pPr>
              <w:widowControl w:val="0"/>
              <w:autoSpaceDE w:val="0"/>
              <w:autoSpaceDN w:val="0"/>
              <w:adjustRightInd w:val="0"/>
              <w:snapToGrid w:val="0"/>
              <w:jc w:val="both"/>
              <w:rPr>
                <w:rFonts w:ascii="Arial Narrow" w:hAnsi="Arial Narrow"/>
              </w:rPr>
            </w:pPr>
            <w:r w:rsidRPr="00D05F65">
              <w:rPr>
                <w:rFonts w:ascii="Arial Narrow" w:hAnsi="Arial Narrow"/>
                <w:color w:val="000000"/>
              </w:rPr>
              <w:t>However, in case of funds, where the name of beneficiaries and their interest in the Fund</w:t>
            </w:r>
            <w:r w:rsidRPr="00D05F65">
              <w:rPr>
                <w:rFonts w:ascii="Arial Narrow" w:hAnsi="Arial Narrow"/>
              </w:rPr>
              <w:t xml:space="preserve"> </w:t>
            </w:r>
            <w:r w:rsidRPr="00D05F65">
              <w:rPr>
                <w:rFonts w:ascii="Arial Narrow" w:hAnsi="Arial Narrow"/>
                <w:color w:val="000000"/>
              </w:rPr>
              <w:t>are determined i.e., stated in the trust deed, the tax on whole of the income of the fund –</w:t>
            </w:r>
            <w:r w:rsidRPr="00D05F65">
              <w:rPr>
                <w:rFonts w:ascii="Arial Narrow" w:hAnsi="Arial Narrow"/>
              </w:rPr>
              <w:t xml:space="preserve"> </w:t>
            </w:r>
            <w:r w:rsidRPr="00D05F65">
              <w:rPr>
                <w:rFonts w:ascii="Arial Narrow" w:hAnsi="Arial Narrow"/>
                <w:color w:val="000000"/>
              </w:rPr>
              <w:t>consisting of or including profit and gains of business, would be leviable upon the</w:t>
            </w:r>
            <w:r w:rsidRPr="00D05F65">
              <w:rPr>
                <w:rFonts w:ascii="Arial Narrow" w:hAnsi="Arial Narrow"/>
              </w:rPr>
              <w:t xml:space="preserve"> </w:t>
            </w:r>
            <w:r w:rsidRPr="00D05F65">
              <w:rPr>
                <w:rFonts w:ascii="Arial Narrow" w:hAnsi="Arial Narrow"/>
                <w:color w:val="000000"/>
              </w:rPr>
              <w:t>trustees of such AIF, being ‘Representative Assessee’ at maximum marginal rate in</w:t>
            </w:r>
            <w:r w:rsidRPr="00D05F65">
              <w:rPr>
                <w:rFonts w:ascii="Arial Narrow" w:hAnsi="Arial Narrow"/>
              </w:rPr>
              <w:t xml:space="preserve"> </w:t>
            </w:r>
            <w:r w:rsidRPr="00D05F65">
              <w:rPr>
                <w:rFonts w:ascii="Arial Narrow" w:hAnsi="Arial Narrow"/>
                <w:color w:val="000000"/>
              </w:rPr>
              <w:t>accordance with the provisions of section 161(1A).</w:t>
            </w:r>
          </w:p>
          <w:p w:rsidR="00EA74C4" w:rsidRPr="00D05F65" w:rsidRDefault="00EA74C4" w:rsidP="00D05F65">
            <w:pPr>
              <w:widowControl w:val="0"/>
              <w:autoSpaceDE w:val="0"/>
              <w:autoSpaceDN w:val="0"/>
              <w:adjustRightInd w:val="0"/>
              <w:snapToGrid w:val="0"/>
              <w:jc w:val="both"/>
              <w:rPr>
                <w:rFonts w:ascii="Arial Narrow" w:hAnsi="Arial Narrow"/>
              </w:rPr>
            </w:pPr>
          </w:p>
          <w:p w:rsidR="00EA74C4" w:rsidRPr="00D05F65" w:rsidRDefault="00EA74C4" w:rsidP="00D05F65">
            <w:pPr>
              <w:widowControl w:val="0"/>
              <w:autoSpaceDE w:val="0"/>
              <w:autoSpaceDN w:val="0"/>
              <w:adjustRightInd w:val="0"/>
              <w:snapToGrid w:val="0"/>
              <w:jc w:val="both"/>
              <w:rPr>
                <w:rFonts w:ascii="Arial Narrow" w:hAnsi="Arial Narrow"/>
              </w:rPr>
            </w:pPr>
            <w:r w:rsidRPr="00D05F65">
              <w:rPr>
                <w:rFonts w:ascii="Arial Narrow" w:hAnsi="Arial Narrow"/>
                <w:color w:val="000000"/>
              </w:rPr>
              <w:t>The Circular further clarifies that the tax treatment given above will not be operative in</w:t>
            </w:r>
            <w:r w:rsidRPr="00D05F65">
              <w:rPr>
                <w:rFonts w:ascii="Arial Narrow" w:hAnsi="Arial Narrow"/>
              </w:rPr>
              <w:t xml:space="preserve"> </w:t>
            </w:r>
            <w:r w:rsidRPr="00D05F65">
              <w:rPr>
                <w:rFonts w:ascii="Arial Narrow" w:hAnsi="Arial Narrow"/>
                <w:color w:val="000000"/>
              </w:rPr>
              <w:t>the area falling in the jurisdiction of a High Court which has taken or takes a contrary</w:t>
            </w:r>
            <w:r w:rsidRPr="00D05F65">
              <w:rPr>
                <w:rFonts w:ascii="Arial Narrow" w:hAnsi="Arial Narrow"/>
              </w:rPr>
              <w:t xml:space="preserve"> </w:t>
            </w:r>
            <w:r w:rsidRPr="00D05F65">
              <w:rPr>
                <w:rFonts w:ascii="Arial Narrow" w:hAnsi="Arial Narrow"/>
                <w:color w:val="000000"/>
              </w:rPr>
              <w:t>decision on the issue.</w:t>
            </w:r>
          </w:p>
          <w:p w:rsidR="00EA74C4" w:rsidRPr="00D05F65" w:rsidRDefault="00EA74C4" w:rsidP="00D05F65">
            <w:pPr>
              <w:widowControl w:val="0"/>
              <w:autoSpaceDE w:val="0"/>
              <w:autoSpaceDN w:val="0"/>
              <w:adjustRightInd w:val="0"/>
              <w:snapToGrid w:val="0"/>
              <w:jc w:val="both"/>
              <w:rPr>
                <w:rFonts w:ascii="Arial Narrow" w:hAnsi="Arial Narrow"/>
                <w:color w:val="000000"/>
              </w:rPr>
            </w:pPr>
          </w:p>
        </w:tc>
      </w:tr>
      <w:tr w:rsidR="00FE1100" w:rsidRPr="00D05F65" w:rsidTr="00DB75EF">
        <w:tc>
          <w:tcPr>
            <w:tcW w:w="1242" w:type="dxa"/>
          </w:tcPr>
          <w:p w:rsidR="00FE1100" w:rsidRPr="00D05F65" w:rsidRDefault="00FE1100">
            <w:pPr>
              <w:rPr>
                <w:rFonts w:ascii="Arial Narrow" w:hAnsi="Arial Narrow"/>
                <w:b/>
              </w:rPr>
            </w:pPr>
            <w:r w:rsidRPr="00D05F65">
              <w:rPr>
                <w:rFonts w:ascii="Arial Narrow" w:hAnsi="Arial Narrow"/>
                <w:b/>
              </w:rPr>
              <w:t>8/2014 dt. 31.03.2014</w:t>
            </w:r>
          </w:p>
        </w:tc>
        <w:tc>
          <w:tcPr>
            <w:tcW w:w="9214" w:type="dxa"/>
          </w:tcPr>
          <w:p w:rsidR="00FE1100" w:rsidRPr="00D05F65" w:rsidRDefault="00FE1100" w:rsidP="00D05F65">
            <w:pPr>
              <w:widowControl w:val="0"/>
              <w:autoSpaceDE w:val="0"/>
              <w:autoSpaceDN w:val="0"/>
              <w:adjustRightInd w:val="0"/>
              <w:snapToGrid w:val="0"/>
              <w:jc w:val="both"/>
              <w:rPr>
                <w:rFonts w:ascii="Arial Narrow" w:hAnsi="Arial Narrow" w:cs="ArialNarrow Bold"/>
                <w:b/>
                <w:color w:val="000000"/>
                <w:u w:val="single"/>
              </w:rPr>
            </w:pPr>
            <w:r w:rsidRPr="00D05F65">
              <w:rPr>
                <w:rFonts w:ascii="Arial Narrow" w:hAnsi="Arial Narrow" w:cs="ArialNarrow Bold"/>
                <w:b/>
                <w:color w:val="000000"/>
                <w:u w:val="single"/>
              </w:rPr>
              <w:t>Taxability of partner’s share, where the income of the firm is exempt under ChapterIII / deductible under Chapter VI-A:</w:t>
            </w:r>
          </w:p>
          <w:p w:rsidR="00FE1100" w:rsidRPr="00D05F65" w:rsidRDefault="00FE1100" w:rsidP="00D05F65">
            <w:pPr>
              <w:widowControl w:val="0"/>
              <w:autoSpaceDE w:val="0"/>
              <w:autoSpaceDN w:val="0"/>
              <w:adjustRightInd w:val="0"/>
              <w:snapToGrid w:val="0"/>
              <w:rPr>
                <w:rFonts w:ascii="Arial Narrow" w:hAnsi="Arial Narrow" w:cs="ArialNarrow Bold"/>
                <w:color w:val="000000"/>
              </w:rPr>
            </w:pPr>
          </w:p>
          <w:p w:rsidR="00FE1100" w:rsidRPr="00D05F65" w:rsidRDefault="00FE1100" w:rsidP="00D05F65">
            <w:pPr>
              <w:widowControl w:val="0"/>
              <w:autoSpaceDE w:val="0"/>
              <w:autoSpaceDN w:val="0"/>
              <w:adjustRightInd w:val="0"/>
              <w:snapToGrid w:val="0"/>
              <w:jc w:val="both"/>
              <w:rPr>
                <w:rFonts w:ascii="Arial Narrow" w:hAnsi="Arial Narrow"/>
              </w:rPr>
            </w:pPr>
            <w:r w:rsidRPr="00D05F65">
              <w:rPr>
                <w:rFonts w:ascii="Arial Narrow" w:hAnsi="Arial Narrow" w:cs="ArialNarrow"/>
                <w:color w:val="000000"/>
              </w:rPr>
              <w:t>Section 10(2A) provides that a partner’s share in the total income of a firm which is separately assessed as such shall not be included in computing the total income of the partner. In effect, a partner’s share of profits in such firm is exempt from tax in his hands.</w:t>
            </w:r>
          </w:p>
          <w:p w:rsidR="00FE1100" w:rsidRPr="00D05F65" w:rsidRDefault="00FE1100" w:rsidP="00D05F65">
            <w:pPr>
              <w:widowControl w:val="0"/>
              <w:autoSpaceDE w:val="0"/>
              <w:autoSpaceDN w:val="0"/>
              <w:adjustRightInd w:val="0"/>
              <w:snapToGrid w:val="0"/>
              <w:jc w:val="both"/>
              <w:rPr>
                <w:rFonts w:ascii="Arial Narrow" w:hAnsi="Arial Narrow"/>
              </w:rPr>
            </w:pPr>
            <w:r w:rsidRPr="00D05F65">
              <w:rPr>
                <w:rFonts w:ascii="Arial Narrow" w:hAnsi="Arial Narrow" w:cs="ArialNarrow"/>
                <w:color w:val="000000"/>
              </w:rPr>
              <w:t>An issue has arisen as to the amount which would be exempt in the hands of the</w:t>
            </w:r>
          </w:p>
          <w:p w:rsidR="00FE1100" w:rsidRPr="00D05F65" w:rsidRDefault="00FE1100" w:rsidP="00D05F65">
            <w:pPr>
              <w:widowControl w:val="0"/>
              <w:autoSpaceDE w:val="0"/>
              <w:autoSpaceDN w:val="0"/>
              <w:adjustRightInd w:val="0"/>
              <w:snapToGrid w:val="0"/>
              <w:jc w:val="both"/>
              <w:rPr>
                <w:rFonts w:ascii="Arial Narrow" w:hAnsi="Arial Narrow"/>
              </w:rPr>
            </w:pPr>
            <w:r w:rsidRPr="00D05F65">
              <w:rPr>
                <w:rFonts w:ascii="Arial Narrow" w:hAnsi="Arial Narrow" w:cs="ArialNarrow"/>
                <w:color w:val="000000"/>
              </w:rPr>
              <w:t>partners of a partnership firm, in cases where the firm has claimed exemption/deduction under Chapter III or Chapter VI-A.</w:t>
            </w:r>
          </w:p>
          <w:p w:rsidR="00FE1100" w:rsidRPr="00D05F65" w:rsidRDefault="00FE1100" w:rsidP="00D05F65">
            <w:pPr>
              <w:widowControl w:val="0"/>
              <w:autoSpaceDE w:val="0"/>
              <w:autoSpaceDN w:val="0"/>
              <w:adjustRightInd w:val="0"/>
              <w:snapToGrid w:val="0"/>
              <w:jc w:val="both"/>
              <w:rPr>
                <w:rFonts w:ascii="Arial Narrow" w:hAnsi="Arial Narrow"/>
                <w:b/>
                <w:color w:val="000000"/>
              </w:rPr>
            </w:pPr>
          </w:p>
          <w:p w:rsidR="00FE1100" w:rsidRPr="00D05F65" w:rsidRDefault="00FE1100" w:rsidP="00D05F65">
            <w:pPr>
              <w:widowControl w:val="0"/>
              <w:autoSpaceDE w:val="0"/>
              <w:autoSpaceDN w:val="0"/>
              <w:adjustRightInd w:val="0"/>
              <w:snapToGrid w:val="0"/>
              <w:jc w:val="both"/>
              <w:rPr>
                <w:rFonts w:ascii="Arial Narrow" w:hAnsi="Arial Narrow"/>
              </w:rPr>
            </w:pPr>
            <w:r w:rsidRPr="00D05F65">
              <w:rPr>
                <w:rFonts w:ascii="Arial Narrow" w:hAnsi="Arial Narrow" w:cs="ArialNarrow"/>
                <w:color w:val="000000"/>
              </w:rPr>
              <w:t>The CBDT has clarified that the income of a firm is to be taxed in the hands of the firm only and the same can under no circumstances be taxed in the hands of its partners. Therefore, the entire profit credited to the partners’ accounts in the firm would be exempt from tax in the hands of such partners, even if the income chargeable to tax becomes Nil in the hands of the firm on account of any exemption or deduction available under the provisions of the Act.</w:t>
            </w:r>
          </w:p>
          <w:p w:rsidR="00FE1100" w:rsidRPr="00D05F65" w:rsidRDefault="00FE1100" w:rsidP="00D05F65">
            <w:pPr>
              <w:widowControl w:val="0"/>
              <w:autoSpaceDE w:val="0"/>
              <w:autoSpaceDN w:val="0"/>
              <w:adjustRightInd w:val="0"/>
              <w:snapToGrid w:val="0"/>
              <w:jc w:val="both"/>
              <w:rPr>
                <w:rFonts w:ascii="Arial Narrow" w:hAnsi="Arial Narrow"/>
                <w:b/>
                <w:color w:val="000000"/>
              </w:rPr>
            </w:pPr>
          </w:p>
          <w:p w:rsidR="00FE1100" w:rsidRPr="00D05F65" w:rsidRDefault="00FE1100" w:rsidP="00D05F65">
            <w:pPr>
              <w:widowControl w:val="0"/>
              <w:autoSpaceDE w:val="0"/>
              <w:autoSpaceDN w:val="0"/>
              <w:adjustRightInd w:val="0"/>
              <w:snapToGrid w:val="0"/>
              <w:jc w:val="both"/>
              <w:rPr>
                <w:rFonts w:ascii="Arial Narrow" w:hAnsi="Arial Narrow"/>
                <w:b/>
                <w:color w:val="000000"/>
              </w:rPr>
            </w:pPr>
            <w:r w:rsidRPr="00D05F65">
              <w:rPr>
                <w:rFonts w:ascii="Arial Narrow" w:hAnsi="Arial Narrow"/>
                <w:b/>
                <w:color w:val="000000"/>
              </w:rPr>
              <w:t>Thus this circular has removed the scope of any kind of ambiguity to tax a partner where the firm has availed the exemption under chapter III (e.g. section 10) or chapter VI-A (e.g. section 80IA)</w:t>
            </w:r>
          </w:p>
          <w:p w:rsidR="00FE1100" w:rsidRPr="00D05F65" w:rsidRDefault="00FE1100" w:rsidP="00D05F65">
            <w:pPr>
              <w:widowControl w:val="0"/>
              <w:autoSpaceDE w:val="0"/>
              <w:autoSpaceDN w:val="0"/>
              <w:adjustRightInd w:val="0"/>
              <w:snapToGrid w:val="0"/>
              <w:rPr>
                <w:rFonts w:ascii="Arial Narrow" w:hAnsi="Arial Narrow"/>
                <w:b/>
                <w:color w:val="000000"/>
              </w:rPr>
            </w:pPr>
          </w:p>
        </w:tc>
      </w:tr>
      <w:tr w:rsidR="00EA74C4" w:rsidRPr="00D05F65" w:rsidTr="00DB75EF">
        <w:tc>
          <w:tcPr>
            <w:tcW w:w="1242" w:type="dxa"/>
          </w:tcPr>
          <w:p w:rsidR="00EA74C4" w:rsidRPr="00D05F65" w:rsidRDefault="00EA74C4">
            <w:pPr>
              <w:rPr>
                <w:rFonts w:ascii="Arial Narrow" w:hAnsi="Arial Narrow"/>
              </w:rPr>
            </w:pPr>
            <w:r w:rsidRPr="00D05F65">
              <w:rPr>
                <w:rFonts w:ascii="Arial Narrow" w:hAnsi="Arial Narrow"/>
              </w:rPr>
              <w:t>14/2014 dt. 08.10.2014</w:t>
            </w:r>
          </w:p>
        </w:tc>
        <w:tc>
          <w:tcPr>
            <w:tcW w:w="9214" w:type="dxa"/>
          </w:tcPr>
          <w:p w:rsidR="00EA74C4" w:rsidRPr="00D05F65" w:rsidRDefault="00EA74C4" w:rsidP="00D05F65">
            <w:pPr>
              <w:widowControl w:val="0"/>
              <w:autoSpaceDE w:val="0"/>
              <w:autoSpaceDN w:val="0"/>
              <w:adjustRightInd w:val="0"/>
              <w:snapToGrid w:val="0"/>
              <w:jc w:val="both"/>
              <w:rPr>
                <w:rFonts w:ascii="Arial Narrow" w:hAnsi="Arial Narrow"/>
                <w:b/>
                <w:color w:val="000000"/>
                <w:u w:val="single"/>
              </w:rPr>
            </w:pPr>
            <w:r w:rsidRPr="00D05F65">
              <w:rPr>
                <w:rFonts w:ascii="Arial Narrow" w:hAnsi="Arial Narrow"/>
                <w:b/>
                <w:color w:val="000000"/>
                <w:u w:val="single"/>
              </w:rPr>
              <w:t>Allowability of deduction under section 10AA on transfer of technical manpower in</w:t>
            </w:r>
            <w:r w:rsidRPr="00D05F65">
              <w:rPr>
                <w:rFonts w:ascii="Arial Narrow" w:hAnsi="Arial Narrow"/>
                <w:b/>
                <w:u w:val="single"/>
              </w:rPr>
              <w:t xml:space="preserve"> </w:t>
            </w:r>
            <w:r w:rsidRPr="00D05F65">
              <w:rPr>
                <w:rFonts w:ascii="Arial Narrow" w:hAnsi="Arial Narrow"/>
                <w:b/>
                <w:color w:val="000000"/>
                <w:u w:val="single"/>
              </w:rPr>
              <w:t>the case of software industry</w:t>
            </w:r>
          </w:p>
          <w:p w:rsidR="00EA74C4" w:rsidRPr="00D05F65" w:rsidRDefault="00EA74C4" w:rsidP="00D05F65">
            <w:pPr>
              <w:widowControl w:val="0"/>
              <w:autoSpaceDE w:val="0"/>
              <w:autoSpaceDN w:val="0"/>
              <w:adjustRightInd w:val="0"/>
              <w:snapToGrid w:val="0"/>
              <w:jc w:val="both"/>
              <w:rPr>
                <w:rFonts w:ascii="Arial Narrow" w:hAnsi="Arial Narrow"/>
                <w:b/>
                <w:color w:val="000000"/>
              </w:rPr>
            </w:pPr>
          </w:p>
          <w:p w:rsidR="00EA74C4" w:rsidRPr="00D05F65" w:rsidRDefault="00EA74C4" w:rsidP="00D05F65">
            <w:pPr>
              <w:widowControl w:val="0"/>
              <w:autoSpaceDE w:val="0"/>
              <w:autoSpaceDN w:val="0"/>
              <w:adjustRightInd w:val="0"/>
              <w:snapToGrid w:val="0"/>
              <w:jc w:val="both"/>
              <w:rPr>
                <w:rFonts w:ascii="Arial Narrow" w:hAnsi="Arial Narrow"/>
              </w:rPr>
            </w:pPr>
            <w:r w:rsidRPr="00D05F65">
              <w:rPr>
                <w:rFonts w:ascii="Arial Narrow" w:hAnsi="Arial Narrow"/>
                <w:color w:val="000000"/>
              </w:rPr>
              <w:t>The CBDT had earlier clarified vide Circular No.12/2014 dated 18th July, 2014 that mere transfer or re-deployment of existing technical manpower from an existing unit to a new SEZ unit in the first year of commencement of business will not be construed as splitting up or reconstruction of an existing business, provided the number of technical manpower</w:t>
            </w:r>
            <w:r w:rsidRPr="00D05F65">
              <w:rPr>
                <w:rFonts w:ascii="Arial Narrow" w:hAnsi="Arial Narrow"/>
              </w:rPr>
              <w:t xml:space="preserve"> </w:t>
            </w:r>
            <w:r w:rsidRPr="00D05F65">
              <w:rPr>
                <w:rFonts w:ascii="Arial Narrow" w:hAnsi="Arial Narrow"/>
                <w:color w:val="000000"/>
              </w:rPr>
              <w:t>so transferred does not exceed 20% of the total technical manpower actually engaged in</w:t>
            </w:r>
            <w:r w:rsidRPr="00D05F65">
              <w:rPr>
                <w:rFonts w:ascii="Arial Narrow" w:hAnsi="Arial Narrow"/>
              </w:rPr>
              <w:t xml:space="preserve"> </w:t>
            </w:r>
            <w:r w:rsidRPr="00D05F65">
              <w:rPr>
                <w:rFonts w:ascii="Arial Narrow" w:hAnsi="Arial Narrow"/>
                <w:color w:val="000000"/>
              </w:rPr>
              <w:t>developing software at any point of time in the given year in the new unit.</w:t>
            </w:r>
          </w:p>
          <w:p w:rsidR="00EA74C4" w:rsidRPr="00D05F65" w:rsidRDefault="00EA74C4" w:rsidP="00D05F65">
            <w:pPr>
              <w:widowControl w:val="0"/>
              <w:autoSpaceDE w:val="0"/>
              <w:autoSpaceDN w:val="0"/>
              <w:adjustRightInd w:val="0"/>
              <w:snapToGrid w:val="0"/>
              <w:jc w:val="both"/>
              <w:rPr>
                <w:rFonts w:ascii="Arial Narrow" w:hAnsi="Arial Narrow"/>
                <w:color w:val="000000"/>
              </w:rPr>
            </w:pPr>
          </w:p>
          <w:p w:rsidR="00EA74C4" w:rsidRPr="00D05F65" w:rsidRDefault="00EA74C4" w:rsidP="00D05F65">
            <w:pPr>
              <w:widowControl w:val="0"/>
              <w:autoSpaceDE w:val="0"/>
              <w:autoSpaceDN w:val="0"/>
              <w:adjustRightInd w:val="0"/>
              <w:snapToGrid w:val="0"/>
              <w:jc w:val="both"/>
              <w:rPr>
                <w:rFonts w:ascii="Arial Narrow" w:hAnsi="Arial Narrow"/>
                <w:color w:val="000000"/>
              </w:rPr>
            </w:pPr>
            <w:r w:rsidRPr="00D05F65">
              <w:rPr>
                <w:rFonts w:ascii="Arial Narrow" w:hAnsi="Arial Narrow"/>
                <w:color w:val="000000"/>
              </w:rPr>
              <w:t>The limit of 20% was considered inadequate and restrictive and it impacted the</w:t>
            </w:r>
            <w:r w:rsidRPr="00D05F65">
              <w:rPr>
                <w:rFonts w:ascii="Arial Narrow" w:hAnsi="Arial Narrow"/>
              </w:rPr>
              <w:t xml:space="preserve"> </w:t>
            </w:r>
            <w:r w:rsidRPr="00D05F65">
              <w:rPr>
                <w:rFonts w:ascii="Arial Narrow" w:hAnsi="Arial Narrow"/>
                <w:color w:val="000000"/>
              </w:rPr>
              <w:t>competitiveness of Indian Software Industry in global market. Consequently, the matter</w:t>
            </w:r>
            <w:r w:rsidRPr="00D05F65">
              <w:rPr>
                <w:rFonts w:ascii="Arial Narrow" w:hAnsi="Arial Narrow"/>
              </w:rPr>
              <w:t xml:space="preserve"> </w:t>
            </w:r>
            <w:r w:rsidRPr="00D05F65">
              <w:rPr>
                <w:rFonts w:ascii="Arial Narrow" w:hAnsi="Arial Narrow"/>
                <w:color w:val="000000"/>
              </w:rPr>
              <w:t>was re-examined by the CBDT, and in supersession of Circular No.12/2014 dated 18</w:t>
            </w:r>
            <w:r w:rsidRPr="00D05F65">
              <w:rPr>
                <w:rFonts w:ascii="Arial Narrow" w:hAnsi="Arial Narrow"/>
                <w:color w:val="000000"/>
                <w:vertAlign w:val="superscript"/>
              </w:rPr>
              <w:t>th</w:t>
            </w:r>
            <w:r w:rsidRPr="00D05F65">
              <w:rPr>
                <w:rFonts w:ascii="Arial Narrow" w:hAnsi="Arial Narrow"/>
              </w:rPr>
              <w:t xml:space="preserve"> </w:t>
            </w:r>
            <w:r w:rsidRPr="00D05F65">
              <w:rPr>
                <w:rFonts w:ascii="Arial Narrow" w:hAnsi="Arial Narrow"/>
                <w:color w:val="000000"/>
              </w:rPr>
              <w:t>July, 2014, it has now been decided that the transfer or re-deployment of technical</w:t>
            </w:r>
            <w:r w:rsidRPr="00D05F65">
              <w:rPr>
                <w:rFonts w:ascii="Arial Narrow" w:hAnsi="Arial Narrow"/>
              </w:rPr>
              <w:t xml:space="preserve"> </w:t>
            </w:r>
            <w:r w:rsidRPr="00D05F65">
              <w:rPr>
                <w:rFonts w:ascii="Arial Narrow" w:hAnsi="Arial Narrow"/>
                <w:color w:val="000000"/>
              </w:rPr>
              <w:t>manpower from existing unit to a new unit located in SEZ, in the first year of</w:t>
            </w:r>
            <w:r w:rsidRPr="00D05F65">
              <w:rPr>
                <w:rFonts w:ascii="Arial Narrow" w:hAnsi="Arial Narrow"/>
              </w:rPr>
              <w:t xml:space="preserve"> </w:t>
            </w:r>
            <w:r w:rsidRPr="00D05F65">
              <w:rPr>
                <w:rFonts w:ascii="Arial Narrow" w:hAnsi="Arial Narrow"/>
                <w:color w:val="000000"/>
              </w:rPr>
              <w:t>commencement of business, shall not be construed as splitting up or reconstruction of an</w:t>
            </w:r>
            <w:r w:rsidRPr="00D05F65">
              <w:rPr>
                <w:rFonts w:ascii="Arial Narrow" w:hAnsi="Arial Narrow"/>
              </w:rPr>
              <w:t xml:space="preserve"> </w:t>
            </w:r>
            <w:r w:rsidRPr="00D05F65">
              <w:rPr>
                <w:rFonts w:ascii="Arial Narrow" w:hAnsi="Arial Narrow"/>
                <w:color w:val="000000"/>
              </w:rPr>
              <w:t>existing business, provided the number of technical manpower so transferred as at the</w:t>
            </w:r>
            <w:r w:rsidRPr="00D05F65">
              <w:rPr>
                <w:rFonts w:ascii="Arial Narrow" w:hAnsi="Arial Narrow"/>
              </w:rPr>
              <w:t xml:space="preserve"> </w:t>
            </w:r>
            <w:r w:rsidRPr="00D05F65">
              <w:rPr>
                <w:rFonts w:ascii="Arial Narrow" w:hAnsi="Arial Narrow"/>
                <w:color w:val="000000"/>
              </w:rPr>
              <w:t>end of the financial year should not exceed 50% of the total technical manpower actually</w:t>
            </w:r>
            <w:r w:rsidRPr="00D05F65">
              <w:rPr>
                <w:rFonts w:ascii="Arial Narrow" w:hAnsi="Arial Narrow"/>
              </w:rPr>
              <w:t xml:space="preserve"> </w:t>
            </w:r>
            <w:r w:rsidRPr="00D05F65">
              <w:rPr>
                <w:rFonts w:ascii="Arial Narrow" w:hAnsi="Arial Narrow"/>
                <w:color w:val="000000"/>
              </w:rPr>
              <w:t>engaged in development of software or IT enabled products in the new unit. Alternatively,</w:t>
            </w:r>
            <w:r w:rsidRPr="00D05F65">
              <w:rPr>
                <w:rFonts w:ascii="Arial Narrow" w:hAnsi="Arial Narrow"/>
              </w:rPr>
              <w:t xml:space="preserve"> </w:t>
            </w:r>
            <w:r w:rsidRPr="00D05F65">
              <w:rPr>
                <w:rFonts w:ascii="Arial Narrow" w:hAnsi="Arial Narrow"/>
                <w:color w:val="000000"/>
              </w:rPr>
              <w:t>if the assessee-enterprise is able to demonstrate that the net addition of the new</w:t>
            </w:r>
            <w:r w:rsidRPr="00D05F65">
              <w:rPr>
                <w:rFonts w:ascii="Arial Narrow" w:hAnsi="Arial Narrow"/>
              </w:rPr>
              <w:t xml:space="preserve"> </w:t>
            </w:r>
            <w:r w:rsidRPr="00D05F65">
              <w:rPr>
                <w:rFonts w:ascii="Arial Narrow" w:hAnsi="Arial Narrow"/>
                <w:color w:val="000000"/>
              </w:rPr>
              <w:t>technical manpower in all units of the assessee-enterprise is at least equal to the number</w:t>
            </w:r>
            <w:r w:rsidRPr="00D05F65">
              <w:rPr>
                <w:rFonts w:ascii="Arial Narrow" w:hAnsi="Arial Narrow"/>
              </w:rPr>
              <w:t xml:space="preserve"> </w:t>
            </w:r>
            <w:r w:rsidRPr="00D05F65">
              <w:rPr>
                <w:rFonts w:ascii="Arial Narrow" w:hAnsi="Arial Narrow"/>
                <w:color w:val="000000"/>
              </w:rPr>
              <w:t>that represents 50% of the total technical manpower of the new SEZ unit during such</w:t>
            </w:r>
            <w:r w:rsidRPr="00D05F65">
              <w:rPr>
                <w:rFonts w:ascii="Arial Narrow" w:hAnsi="Arial Narrow"/>
              </w:rPr>
              <w:t xml:space="preserve"> </w:t>
            </w:r>
            <w:r w:rsidRPr="00D05F65">
              <w:rPr>
                <w:rFonts w:ascii="Arial Narrow" w:hAnsi="Arial Narrow"/>
                <w:color w:val="000000"/>
              </w:rPr>
              <w:t>previous year, deduction under section 10AA would not be denied provided the other</w:t>
            </w:r>
            <w:r w:rsidRPr="00D05F65">
              <w:rPr>
                <w:rFonts w:ascii="Arial Narrow" w:hAnsi="Arial Narrow"/>
              </w:rPr>
              <w:t xml:space="preserve"> </w:t>
            </w:r>
            <w:r w:rsidRPr="00D05F65">
              <w:rPr>
                <w:rFonts w:ascii="Arial Narrow" w:hAnsi="Arial Narrow"/>
                <w:color w:val="000000"/>
              </w:rPr>
              <w:t>prescribed conditions are also satisfied. The assessee-enterprise will have the choice of</w:t>
            </w:r>
            <w:r w:rsidRPr="00D05F65">
              <w:rPr>
                <w:rFonts w:ascii="Arial Narrow" w:hAnsi="Arial Narrow"/>
              </w:rPr>
              <w:t xml:space="preserve"> </w:t>
            </w:r>
            <w:r w:rsidRPr="00D05F65">
              <w:rPr>
                <w:rFonts w:ascii="Arial Narrow" w:hAnsi="Arial Narrow"/>
                <w:color w:val="000000"/>
              </w:rPr>
              <w:t>complying with any one of the two alternatives given above to avail the benefit of</w:t>
            </w:r>
            <w:r w:rsidRPr="00D05F65">
              <w:rPr>
                <w:rFonts w:ascii="Arial Narrow" w:hAnsi="Arial Narrow"/>
              </w:rPr>
              <w:t xml:space="preserve"> </w:t>
            </w:r>
            <w:r w:rsidRPr="00D05F65">
              <w:rPr>
                <w:rFonts w:ascii="Arial Narrow" w:hAnsi="Arial Narrow"/>
                <w:color w:val="000000"/>
              </w:rPr>
              <w:t>deduction under section 10AA.</w:t>
            </w:r>
          </w:p>
          <w:p w:rsidR="00EA74C4" w:rsidRPr="00D05F65" w:rsidRDefault="00EA74C4" w:rsidP="00D05F65">
            <w:pPr>
              <w:widowControl w:val="0"/>
              <w:autoSpaceDE w:val="0"/>
              <w:autoSpaceDN w:val="0"/>
              <w:adjustRightInd w:val="0"/>
              <w:snapToGrid w:val="0"/>
              <w:jc w:val="both"/>
              <w:rPr>
                <w:rFonts w:ascii="Arial Narrow" w:hAnsi="Arial Narrow"/>
                <w:color w:val="000000"/>
              </w:rPr>
            </w:pPr>
          </w:p>
          <w:p w:rsidR="00EA74C4" w:rsidRPr="00D05F65" w:rsidRDefault="00EA74C4" w:rsidP="00D05F65">
            <w:pPr>
              <w:widowControl w:val="0"/>
              <w:autoSpaceDE w:val="0"/>
              <w:autoSpaceDN w:val="0"/>
              <w:adjustRightInd w:val="0"/>
              <w:snapToGrid w:val="0"/>
              <w:jc w:val="both"/>
              <w:rPr>
                <w:rFonts w:ascii="Arial Narrow" w:hAnsi="Arial Narrow"/>
              </w:rPr>
            </w:pPr>
            <w:r w:rsidRPr="00D05F65">
              <w:rPr>
                <w:rFonts w:ascii="Arial Narrow" w:hAnsi="Arial Narrow"/>
                <w:color w:val="000000"/>
              </w:rPr>
              <w:t>The Circular also clarifies that:</w:t>
            </w:r>
          </w:p>
          <w:p w:rsidR="00EA74C4" w:rsidRPr="00D05F65" w:rsidRDefault="00EA74C4" w:rsidP="00D05F65">
            <w:pPr>
              <w:pStyle w:val="ListParagraph"/>
              <w:widowControl w:val="0"/>
              <w:numPr>
                <w:ilvl w:val="0"/>
                <w:numId w:val="2"/>
              </w:numPr>
              <w:autoSpaceDE w:val="0"/>
              <w:autoSpaceDN w:val="0"/>
              <w:adjustRightInd w:val="0"/>
              <w:snapToGrid w:val="0"/>
              <w:spacing w:after="0" w:line="240" w:lineRule="auto"/>
              <w:jc w:val="both"/>
              <w:rPr>
                <w:rFonts w:ascii="Arial Narrow" w:hAnsi="Arial Narrow"/>
                <w:color w:val="000000"/>
              </w:rPr>
            </w:pPr>
            <w:r w:rsidRPr="00D05F65">
              <w:rPr>
                <w:rFonts w:ascii="Arial Narrow" w:hAnsi="Arial Narrow"/>
                <w:color w:val="000000"/>
              </w:rPr>
              <w:t>it shall be applicable only in the case of assessees engaged in the development of</w:t>
            </w:r>
            <w:r w:rsidRPr="00D05F65">
              <w:rPr>
                <w:rFonts w:ascii="Arial Narrow" w:hAnsi="Arial Narrow"/>
              </w:rPr>
              <w:t xml:space="preserve"> </w:t>
            </w:r>
            <w:r w:rsidRPr="00D05F65">
              <w:rPr>
                <w:rFonts w:ascii="Arial Narrow" w:hAnsi="Arial Narrow"/>
                <w:color w:val="000000"/>
              </w:rPr>
              <w:t>software or in providing IT enabled services in SEZ units eligible for deduction</w:t>
            </w:r>
            <w:r w:rsidRPr="00D05F65">
              <w:rPr>
                <w:rFonts w:ascii="Arial Narrow" w:hAnsi="Arial Narrow"/>
              </w:rPr>
              <w:t xml:space="preserve"> </w:t>
            </w:r>
            <w:r w:rsidRPr="00D05F65">
              <w:rPr>
                <w:rFonts w:ascii="Arial Narrow" w:hAnsi="Arial Narrow"/>
                <w:color w:val="000000"/>
              </w:rPr>
              <w:t xml:space="preserve">under section 10AA. </w:t>
            </w:r>
          </w:p>
          <w:p w:rsidR="00EA74C4" w:rsidRPr="00D05F65" w:rsidRDefault="00EA74C4" w:rsidP="00D05F65">
            <w:pPr>
              <w:pStyle w:val="ListParagraph"/>
              <w:widowControl w:val="0"/>
              <w:numPr>
                <w:ilvl w:val="0"/>
                <w:numId w:val="2"/>
              </w:numPr>
              <w:autoSpaceDE w:val="0"/>
              <w:autoSpaceDN w:val="0"/>
              <w:adjustRightInd w:val="0"/>
              <w:snapToGrid w:val="0"/>
              <w:spacing w:after="0" w:line="240" w:lineRule="auto"/>
              <w:jc w:val="both"/>
              <w:rPr>
                <w:rFonts w:ascii="Arial Narrow" w:hAnsi="Arial Narrow"/>
              </w:rPr>
            </w:pPr>
            <w:r w:rsidRPr="00D05F65">
              <w:rPr>
                <w:rFonts w:ascii="Arial Narrow" w:hAnsi="Arial Narrow"/>
                <w:color w:val="000000"/>
              </w:rPr>
              <w:t>It shall not apply to the assessments which have already been completed. Further,</w:t>
            </w:r>
            <w:r w:rsidRPr="00D05F65">
              <w:rPr>
                <w:rFonts w:ascii="Arial Narrow" w:hAnsi="Arial Narrow"/>
              </w:rPr>
              <w:t xml:space="preserve"> </w:t>
            </w:r>
            <w:r w:rsidRPr="00D05F65">
              <w:rPr>
                <w:rFonts w:ascii="Arial Narrow" w:hAnsi="Arial Narrow"/>
                <w:color w:val="000000"/>
              </w:rPr>
              <w:t>no appeal shall be filed by the Department in cases where the issue is decided by</w:t>
            </w:r>
            <w:r w:rsidRPr="00D05F65">
              <w:rPr>
                <w:rFonts w:ascii="Arial Narrow" w:hAnsi="Arial Narrow"/>
              </w:rPr>
              <w:t xml:space="preserve"> </w:t>
            </w:r>
            <w:r w:rsidRPr="00D05F65">
              <w:rPr>
                <w:rFonts w:ascii="Arial Narrow" w:hAnsi="Arial Narrow"/>
                <w:color w:val="000000"/>
              </w:rPr>
              <w:t>an appellate authority in consonance with this circular.</w:t>
            </w:r>
          </w:p>
          <w:p w:rsidR="00EA74C4" w:rsidRPr="00D05F65" w:rsidRDefault="00EA74C4" w:rsidP="00D05F65">
            <w:pPr>
              <w:widowControl w:val="0"/>
              <w:autoSpaceDE w:val="0"/>
              <w:autoSpaceDN w:val="0"/>
              <w:adjustRightInd w:val="0"/>
              <w:snapToGrid w:val="0"/>
              <w:jc w:val="both"/>
              <w:rPr>
                <w:rFonts w:ascii="Arial Narrow" w:hAnsi="Arial Narrow"/>
                <w:b/>
                <w:color w:val="000000"/>
              </w:rPr>
            </w:pPr>
          </w:p>
        </w:tc>
      </w:tr>
      <w:tr w:rsidR="00EA74C4" w:rsidRPr="00D05F65" w:rsidTr="00DB75EF">
        <w:tc>
          <w:tcPr>
            <w:tcW w:w="1242" w:type="dxa"/>
            <w:tcBorders>
              <w:bottom w:val="single" w:sz="4" w:space="0" w:color="000000"/>
            </w:tcBorders>
          </w:tcPr>
          <w:p w:rsidR="00EA74C4" w:rsidRPr="00D05F65" w:rsidRDefault="00EA74C4">
            <w:pPr>
              <w:rPr>
                <w:rFonts w:ascii="Arial Narrow" w:hAnsi="Arial Narrow"/>
              </w:rPr>
            </w:pPr>
            <w:r w:rsidRPr="00D05F65">
              <w:rPr>
                <w:rFonts w:ascii="Arial Narrow" w:hAnsi="Arial Narrow"/>
              </w:rPr>
              <w:t>15/2014 dt. 17.10.2014</w:t>
            </w:r>
          </w:p>
        </w:tc>
        <w:tc>
          <w:tcPr>
            <w:tcW w:w="9214" w:type="dxa"/>
            <w:tcBorders>
              <w:bottom w:val="single" w:sz="4" w:space="0" w:color="000000"/>
            </w:tcBorders>
          </w:tcPr>
          <w:p w:rsidR="00FE1100" w:rsidRPr="00D05F65" w:rsidRDefault="00FE1100" w:rsidP="00D05F65">
            <w:pPr>
              <w:pStyle w:val="ListParagraph"/>
              <w:widowControl w:val="0"/>
              <w:autoSpaceDE w:val="0"/>
              <w:autoSpaceDN w:val="0"/>
              <w:adjustRightInd w:val="0"/>
              <w:snapToGrid w:val="0"/>
              <w:spacing w:after="0" w:line="240" w:lineRule="auto"/>
              <w:ind w:left="0"/>
              <w:jc w:val="both"/>
              <w:rPr>
                <w:rFonts w:ascii="Arial Narrow" w:hAnsi="Arial Narrow"/>
                <w:b/>
                <w:color w:val="000000"/>
                <w:u w:val="single"/>
              </w:rPr>
            </w:pPr>
            <w:r w:rsidRPr="00D05F65">
              <w:rPr>
                <w:rFonts w:ascii="Arial Narrow" w:hAnsi="Arial Narrow"/>
                <w:b/>
                <w:color w:val="000000"/>
                <w:u w:val="single"/>
              </w:rPr>
              <w:t>In reference to section 194LC of the Income Tax Act 1961 the CBDT through this circular has conveyed the approval of Central</w:t>
            </w:r>
            <w:r w:rsidRPr="00D05F65">
              <w:rPr>
                <w:rFonts w:ascii="Arial Narrow" w:hAnsi="Arial Narrow"/>
                <w:b/>
                <w:u w:val="single"/>
              </w:rPr>
              <w:t xml:space="preserve"> </w:t>
            </w:r>
            <w:r w:rsidRPr="00D05F65">
              <w:rPr>
                <w:rFonts w:ascii="Arial Narrow" w:hAnsi="Arial Narrow"/>
                <w:b/>
                <w:color w:val="000000"/>
                <w:u w:val="single"/>
              </w:rPr>
              <w:t>Government for issue of long-term bonds including long-term infrastructure bonds by</w:t>
            </w:r>
            <w:r w:rsidRPr="00D05F65">
              <w:rPr>
                <w:rFonts w:ascii="Arial Narrow" w:hAnsi="Arial Narrow"/>
                <w:b/>
                <w:u w:val="single"/>
              </w:rPr>
              <w:t xml:space="preserve"> </w:t>
            </w:r>
            <w:r w:rsidRPr="00D05F65">
              <w:rPr>
                <w:rFonts w:ascii="Arial Narrow" w:hAnsi="Arial Narrow"/>
                <w:b/>
                <w:color w:val="000000"/>
                <w:u w:val="single"/>
              </w:rPr>
              <w:t>Indian companies which satisfy the following conditions:</w:t>
            </w:r>
          </w:p>
          <w:p w:rsidR="00FE1100" w:rsidRPr="00D05F65" w:rsidRDefault="00FE1100" w:rsidP="00D05F65">
            <w:pPr>
              <w:pStyle w:val="ListParagraph"/>
              <w:widowControl w:val="0"/>
              <w:autoSpaceDE w:val="0"/>
              <w:autoSpaceDN w:val="0"/>
              <w:adjustRightInd w:val="0"/>
              <w:snapToGrid w:val="0"/>
              <w:spacing w:after="0" w:line="240" w:lineRule="auto"/>
              <w:ind w:left="0"/>
              <w:jc w:val="both"/>
              <w:rPr>
                <w:rFonts w:ascii="Arial Narrow" w:hAnsi="Arial Narrow"/>
                <w:color w:val="000000"/>
              </w:rPr>
            </w:pPr>
          </w:p>
          <w:p w:rsidR="00FE1100" w:rsidRPr="00D05F65" w:rsidRDefault="0033031F" w:rsidP="00D05F65">
            <w:pPr>
              <w:widowControl w:val="0"/>
              <w:autoSpaceDE w:val="0"/>
              <w:autoSpaceDN w:val="0"/>
              <w:adjustRightInd w:val="0"/>
              <w:snapToGrid w:val="0"/>
              <w:jc w:val="both"/>
              <w:rPr>
                <w:rFonts w:ascii="Arial Narrow" w:hAnsi="Arial Narrow"/>
              </w:rPr>
            </w:pPr>
            <w:r w:rsidRPr="00D05F65">
              <w:rPr>
                <w:rFonts w:ascii="Arial Narrow" w:hAnsi="Arial Narrow"/>
                <w:color w:val="000000"/>
              </w:rPr>
              <w:t xml:space="preserve">a).  </w:t>
            </w:r>
            <w:r w:rsidR="00FE1100" w:rsidRPr="00D05F65">
              <w:rPr>
                <w:rFonts w:ascii="Arial Narrow" w:hAnsi="Arial Narrow"/>
                <w:color w:val="000000"/>
              </w:rPr>
              <w:t>The bond shall be issued at any time on or after 1st October, 2014 but before 1</w:t>
            </w:r>
            <w:r w:rsidR="00FE1100" w:rsidRPr="00D05F65">
              <w:rPr>
                <w:rFonts w:ascii="Arial Narrow" w:hAnsi="Arial Narrow"/>
                <w:color w:val="000000"/>
                <w:vertAlign w:val="superscript"/>
              </w:rPr>
              <w:t>st</w:t>
            </w:r>
            <w:r w:rsidRPr="00D05F65">
              <w:rPr>
                <w:rFonts w:ascii="Arial Narrow" w:hAnsi="Arial Narrow"/>
              </w:rPr>
              <w:t xml:space="preserve"> </w:t>
            </w:r>
            <w:r w:rsidR="00FE1100" w:rsidRPr="00D05F65">
              <w:rPr>
                <w:rFonts w:ascii="Arial Narrow" w:hAnsi="Arial Narrow"/>
                <w:color w:val="000000"/>
              </w:rPr>
              <w:t>July, 2017.</w:t>
            </w:r>
          </w:p>
          <w:p w:rsidR="00FE1100" w:rsidRPr="00D05F65" w:rsidRDefault="0033031F" w:rsidP="00D05F65">
            <w:pPr>
              <w:widowControl w:val="0"/>
              <w:tabs>
                <w:tab w:val="left" w:pos="360"/>
              </w:tabs>
              <w:autoSpaceDE w:val="0"/>
              <w:autoSpaceDN w:val="0"/>
              <w:adjustRightInd w:val="0"/>
              <w:snapToGrid w:val="0"/>
              <w:jc w:val="both"/>
              <w:rPr>
                <w:rFonts w:ascii="Arial Narrow" w:hAnsi="Arial Narrow"/>
                <w:color w:val="000000"/>
              </w:rPr>
            </w:pPr>
            <w:r w:rsidRPr="00D05F65">
              <w:rPr>
                <w:rFonts w:ascii="Arial Narrow" w:hAnsi="Arial Narrow"/>
                <w:color w:val="000000"/>
              </w:rPr>
              <w:t xml:space="preserve">b). </w:t>
            </w:r>
            <w:r w:rsidR="00FE1100" w:rsidRPr="00D05F65">
              <w:rPr>
                <w:rFonts w:ascii="Arial Narrow" w:hAnsi="Arial Narrow"/>
                <w:color w:val="000000"/>
              </w:rPr>
              <w:t>The bond issue shall comply the relevant provisions of Foreign Exchange</w:t>
            </w:r>
            <w:r w:rsidR="00FE1100" w:rsidRPr="00D05F65">
              <w:rPr>
                <w:rFonts w:ascii="Arial Narrow" w:hAnsi="Arial Narrow"/>
              </w:rPr>
              <w:t xml:space="preserve"> </w:t>
            </w:r>
            <w:r w:rsidR="00FE1100" w:rsidRPr="00D05F65">
              <w:rPr>
                <w:rFonts w:ascii="Arial Narrow" w:hAnsi="Arial Narrow"/>
                <w:color w:val="000000"/>
              </w:rPr>
              <w:t>Management Act, 1999, read with relevant ECB regulations, either under automatic</w:t>
            </w:r>
            <w:r w:rsidR="00FE1100" w:rsidRPr="00D05F65">
              <w:rPr>
                <w:rFonts w:ascii="Arial Narrow" w:hAnsi="Arial Narrow"/>
              </w:rPr>
              <w:t xml:space="preserve"> </w:t>
            </w:r>
            <w:r w:rsidR="00FE1100" w:rsidRPr="00D05F65">
              <w:rPr>
                <w:rFonts w:ascii="Arial Narrow" w:hAnsi="Arial Narrow"/>
                <w:color w:val="000000"/>
              </w:rPr>
              <w:t>route or approval route.</w:t>
            </w:r>
          </w:p>
          <w:p w:rsidR="0033031F" w:rsidRPr="00D05F65" w:rsidRDefault="0033031F" w:rsidP="00D05F65">
            <w:pPr>
              <w:widowControl w:val="0"/>
              <w:autoSpaceDE w:val="0"/>
              <w:autoSpaceDN w:val="0"/>
              <w:adjustRightInd w:val="0"/>
              <w:snapToGrid w:val="0"/>
              <w:jc w:val="both"/>
              <w:rPr>
                <w:rFonts w:ascii="Arial Narrow" w:hAnsi="Arial Narrow"/>
              </w:rPr>
            </w:pPr>
            <w:r w:rsidRPr="00D05F65">
              <w:rPr>
                <w:rFonts w:ascii="Arial Narrow" w:hAnsi="Arial Narrow"/>
                <w:color w:val="000000"/>
              </w:rPr>
              <w:t xml:space="preserve">c). </w:t>
            </w:r>
            <w:r w:rsidR="00FE1100" w:rsidRPr="00D05F65">
              <w:rPr>
                <w:rFonts w:ascii="Arial Narrow" w:hAnsi="Arial Narrow"/>
                <w:color w:val="000000"/>
              </w:rPr>
              <w:t>The bond issue should have Loan Registration Number issued by Reserve Bank of</w:t>
            </w:r>
            <w:r w:rsidR="00FE1100" w:rsidRPr="00D05F65">
              <w:rPr>
                <w:rFonts w:ascii="Arial Narrow" w:hAnsi="Arial Narrow"/>
              </w:rPr>
              <w:t xml:space="preserve"> </w:t>
            </w:r>
            <w:r w:rsidR="00FE1100" w:rsidRPr="00D05F65">
              <w:rPr>
                <w:rFonts w:ascii="Arial Narrow" w:hAnsi="Arial Narrow"/>
                <w:color w:val="000000"/>
              </w:rPr>
              <w:t>India.</w:t>
            </w:r>
          </w:p>
          <w:p w:rsidR="00EA74C4" w:rsidRPr="00D05F65" w:rsidRDefault="0033031F" w:rsidP="00D05F65">
            <w:pPr>
              <w:widowControl w:val="0"/>
              <w:autoSpaceDE w:val="0"/>
              <w:autoSpaceDN w:val="0"/>
              <w:adjustRightInd w:val="0"/>
              <w:snapToGrid w:val="0"/>
              <w:jc w:val="both"/>
              <w:rPr>
                <w:rFonts w:ascii="Arial Narrow" w:hAnsi="Arial Narrow"/>
                <w:b/>
                <w:color w:val="000000"/>
              </w:rPr>
            </w:pPr>
            <w:r w:rsidRPr="00D05F65">
              <w:rPr>
                <w:rFonts w:ascii="Arial Narrow" w:hAnsi="Arial Narrow"/>
              </w:rPr>
              <w:t xml:space="preserve">d). </w:t>
            </w:r>
            <w:r w:rsidR="00FE1100" w:rsidRPr="00D05F65">
              <w:rPr>
                <w:rFonts w:ascii="Arial Narrow" w:hAnsi="Arial Narrow"/>
                <w:color w:val="000000"/>
              </w:rPr>
              <w:t>The term “long term” means that the bond to be issued should have original maturity</w:t>
            </w:r>
            <w:r w:rsidR="00FE1100" w:rsidRPr="00D05F65">
              <w:rPr>
                <w:rFonts w:ascii="Arial Narrow" w:hAnsi="Arial Narrow"/>
              </w:rPr>
              <w:t xml:space="preserve"> </w:t>
            </w:r>
            <w:r w:rsidR="00FE1100" w:rsidRPr="00D05F65">
              <w:rPr>
                <w:rFonts w:ascii="Arial Narrow" w:hAnsi="Arial Narrow"/>
                <w:color w:val="000000"/>
              </w:rPr>
              <w:t>term of three years or more</w:t>
            </w:r>
            <w:r w:rsidR="00FF6C82">
              <w:rPr>
                <w:rFonts w:ascii="Arial Narrow" w:hAnsi="Arial Narrow"/>
                <w:color w:val="000000"/>
              </w:rPr>
              <w:t>.</w:t>
            </w:r>
          </w:p>
          <w:p w:rsidR="00FF6C82" w:rsidRDefault="00FF6C82" w:rsidP="00D05F65">
            <w:pPr>
              <w:widowControl w:val="0"/>
              <w:autoSpaceDE w:val="0"/>
              <w:autoSpaceDN w:val="0"/>
              <w:adjustRightInd w:val="0"/>
              <w:snapToGrid w:val="0"/>
              <w:jc w:val="both"/>
              <w:rPr>
                <w:rFonts w:ascii="Arial Narrow" w:hAnsi="Arial Narrow"/>
                <w:color w:val="000000"/>
              </w:rPr>
            </w:pPr>
          </w:p>
          <w:p w:rsidR="00FE1100" w:rsidRDefault="00FE1100" w:rsidP="00D05F65">
            <w:pPr>
              <w:widowControl w:val="0"/>
              <w:autoSpaceDE w:val="0"/>
              <w:autoSpaceDN w:val="0"/>
              <w:adjustRightInd w:val="0"/>
              <w:snapToGrid w:val="0"/>
              <w:jc w:val="both"/>
              <w:rPr>
                <w:rFonts w:ascii="Arial Narrow" w:hAnsi="Arial Narrow"/>
                <w:color w:val="000000"/>
              </w:rPr>
            </w:pPr>
            <w:r w:rsidRPr="00D05F65">
              <w:rPr>
                <w:rFonts w:ascii="Arial Narrow" w:hAnsi="Arial Narrow"/>
                <w:color w:val="000000"/>
              </w:rPr>
              <w:t>Any bond issue satisfying the above conditions would be treated as approved by the</w:t>
            </w:r>
            <w:r w:rsidRPr="00D05F65">
              <w:rPr>
                <w:rFonts w:ascii="Arial Narrow" w:hAnsi="Arial Narrow"/>
              </w:rPr>
              <w:t xml:space="preserve"> </w:t>
            </w:r>
            <w:r w:rsidRPr="00D05F65">
              <w:rPr>
                <w:rFonts w:ascii="Arial Narrow" w:hAnsi="Arial Narrow"/>
                <w:color w:val="000000"/>
              </w:rPr>
              <w:t xml:space="preserve">Central Government for the purpose of section 194LC and consequentially a concessional withholding tax rate of 5% shall apply. </w:t>
            </w:r>
          </w:p>
          <w:p w:rsidR="00FF6C82" w:rsidRPr="00D05F65" w:rsidRDefault="00FF6C82" w:rsidP="00D05F65">
            <w:pPr>
              <w:widowControl w:val="0"/>
              <w:autoSpaceDE w:val="0"/>
              <w:autoSpaceDN w:val="0"/>
              <w:adjustRightInd w:val="0"/>
              <w:snapToGrid w:val="0"/>
              <w:jc w:val="both"/>
              <w:rPr>
                <w:rFonts w:ascii="Arial Narrow" w:hAnsi="Arial Narrow"/>
                <w:b/>
                <w:color w:val="000000"/>
              </w:rPr>
            </w:pPr>
          </w:p>
        </w:tc>
      </w:tr>
      <w:tr w:rsidR="00A06CBC" w:rsidRPr="00D05F65" w:rsidTr="00DB75EF">
        <w:tc>
          <w:tcPr>
            <w:tcW w:w="1242" w:type="dxa"/>
            <w:shd w:val="clear" w:color="auto" w:fill="DDD9C3"/>
          </w:tcPr>
          <w:p w:rsidR="00A06CBC" w:rsidRPr="00D05F65" w:rsidRDefault="00A06CBC">
            <w:pPr>
              <w:rPr>
                <w:rFonts w:ascii="Arial Narrow" w:hAnsi="Arial Narrow"/>
              </w:rPr>
            </w:pPr>
            <w:r>
              <w:rPr>
                <w:rFonts w:ascii="Arial Narrow" w:hAnsi="Arial Narrow"/>
              </w:rPr>
              <w:t>2/2015 dt. 10.2.2015</w:t>
            </w:r>
          </w:p>
        </w:tc>
        <w:tc>
          <w:tcPr>
            <w:tcW w:w="9214" w:type="dxa"/>
            <w:shd w:val="clear" w:color="auto" w:fill="DDD9C3"/>
          </w:tcPr>
          <w:p w:rsidR="00A06CBC" w:rsidRDefault="00A06CBC" w:rsidP="00D05F65">
            <w:pPr>
              <w:pStyle w:val="ListParagraph"/>
              <w:widowControl w:val="0"/>
              <w:autoSpaceDE w:val="0"/>
              <w:autoSpaceDN w:val="0"/>
              <w:adjustRightInd w:val="0"/>
              <w:snapToGrid w:val="0"/>
              <w:spacing w:after="0" w:line="240" w:lineRule="auto"/>
              <w:ind w:left="0"/>
              <w:jc w:val="both"/>
              <w:rPr>
                <w:rFonts w:ascii="Arial Narrow" w:hAnsi="Arial Narrow"/>
                <w:b/>
                <w:color w:val="000000"/>
                <w:u w:val="single"/>
              </w:rPr>
            </w:pPr>
            <w:r>
              <w:rPr>
                <w:rFonts w:ascii="Arial Narrow" w:hAnsi="Arial Narrow"/>
                <w:b/>
                <w:color w:val="000000"/>
                <w:u w:val="single"/>
              </w:rPr>
              <w:t xml:space="preserve">Interest u/s 234A not chargeable on self assessment tax paid before the due date of filing return of income. </w:t>
            </w:r>
          </w:p>
          <w:p w:rsidR="00A06CBC" w:rsidRDefault="00A06CBC" w:rsidP="00D05F65">
            <w:pPr>
              <w:pStyle w:val="ListParagraph"/>
              <w:widowControl w:val="0"/>
              <w:autoSpaceDE w:val="0"/>
              <w:autoSpaceDN w:val="0"/>
              <w:adjustRightInd w:val="0"/>
              <w:snapToGrid w:val="0"/>
              <w:spacing w:after="0" w:line="240" w:lineRule="auto"/>
              <w:ind w:left="0"/>
              <w:jc w:val="both"/>
              <w:rPr>
                <w:rFonts w:ascii="Arial Narrow" w:hAnsi="Arial Narrow"/>
                <w:b/>
                <w:color w:val="000000"/>
                <w:u w:val="single"/>
              </w:rPr>
            </w:pPr>
          </w:p>
          <w:p w:rsidR="00A06CBC" w:rsidRDefault="00A06CBC" w:rsidP="00D05F65">
            <w:pPr>
              <w:pStyle w:val="ListParagraph"/>
              <w:widowControl w:val="0"/>
              <w:autoSpaceDE w:val="0"/>
              <w:autoSpaceDN w:val="0"/>
              <w:adjustRightInd w:val="0"/>
              <w:snapToGrid w:val="0"/>
              <w:spacing w:after="0" w:line="240" w:lineRule="auto"/>
              <w:ind w:left="0"/>
              <w:jc w:val="both"/>
              <w:rPr>
                <w:rFonts w:ascii="Arial Narrow" w:hAnsi="Arial Narrow"/>
                <w:color w:val="000000"/>
              </w:rPr>
            </w:pPr>
            <w:r>
              <w:rPr>
                <w:rFonts w:ascii="Arial Narrow" w:hAnsi="Arial Narrow"/>
                <w:color w:val="000000"/>
              </w:rPr>
              <w:t xml:space="preserve">In line with the judgment passed by Hon’ble SC in the case of CIT vs. Prannoy Roy 309 ITR 231 (2009) the CBDT has clarified that no interest u/s 234A shall be charged on the self assessment tax paid by the assessee before the due date of filing return of income. </w:t>
            </w:r>
          </w:p>
          <w:p w:rsidR="00A06CBC" w:rsidRPr="00A06CBC" w:rsidRDefault="00A06CBC" w:rsidP="00D05F65">
            <w:pPr>
              <w:pStyle w:val="ListParagraph"/>
              <w:widowControl w:val="0"/>
              <w:autoSpaceDE w:val="0"/>
              <w:autoSpaceDN w:val="0"/>
              <w:adjustRightInd w:val="0"/>
              <w:snapToGrid w:val="0"/>
              <w:spacing w:after="0" w:line="240" w:lineRule="auto"/>
              <w:ind w:left="0"/>
              <w:jc w:val="both"/>
              <w:rPr>
                <w:rFonts w:ascii="Arial Narrow" w:hAnsi="Arial Narrow"/>
                <w:color w:val="000000"/>
              </w:rPr>
            </w:pPr>
          </w:p>
        </w:tc>
      </w:tr>
      <w:tr w:rsidR="00A06CBC" w:rsidRPr="00D05F65" w:rsidTr="00DB75EF">
        <w:tc>
          <w:tcPr>
            <w:tcW w:w="1242" w:type="dxa"/>
            <w:shd w:val="clear" w:color="auto" w:fill="DDD9C3"/>
          </w:tcPr>
          <w:p w:rsidR="00A06CBC" w:rsidRDefault="00A06CBC">
            <w:pPr>
              <w:rPr>
                <w:rFonts w:ascii="Arial Narrow" w:hAnsi="Arial Narrow"/>
              </w:rPr>
            </w:pPr>
            <w:r>
              <w:rPr>
                <w:rFonts w:ascii="Arial Narrow" w:hAnsi="Arial Narrow"/>
              </w:rPr>
              <w:t>3/2015 dt. 12.2.2015</w:t>
            </w:r>
          </w:p>
        </w:tc>
        <w:tc>
          <w:tcPr>
            <w:tcW w:w="9214" w:type="dxa"/>
            <w:shd w:val="clear" w:color="auto" w:fill="DDD9C3"/>
          </w:tcPr>
          <w:p w:rsidR="00A06CBC" w:rsidRDefault="00A06CBC" w:rsidP="00D05F65">
            <w:pPr>
              <w:pStyle w:val="ListParagraph"/>
              <w:widowControl w:val="0"/>
              <w:autoSpaceDE w:val="0"/>
              <w:autoSpaceDN w:val="0"/>
              <w:adjustRightInd w:val="0"/>
              <w:snapToGrid w:val="0"/>
              <w:spacing w:after="0" w:line="240" w:lineRule="auto"/>
              <w:ind w:left="0"/>
              <w:jc w:val="both"/>
              <w:rPr>
                <w:rFonts w:ascii="Arial Narrow" w:hAnsi="Arial Narrow"/>
                <w:b/>
                <w:color w:val="000000"/>
                <w:u w:val="single"/>
              </w:rPr>
            </w:pPr>
            <w:r>
              <w:rPr>
                <w:rFonts w:ascii="Arial Narrow" w:hAnsi="Arial Narrow"/>
                <w:b/>
                <w:color w:val="000000"/>
                <w:u w:val="single"/>
              </w:rPr>
              <w:t>Clarification regarding disallowance of ‘other sum chargeable’ under section 40(a)(ia)</w:t>
            </w:r>
          </w:p>
          <w:p w:rsidR="00A06CBC" w:rsidRDefault="00A06CBC" w:rsidP="00D05F65">
            <w:pPr>
              <w:pStyle w:val="ListParagraph"/>
              <w:widowControl w:val="0"/>
              <w:autoSpaceDE w:val="0"/>
              <w:autoSpaceDN w:val="0"/>
              <w:adjustRightInd w:val="0"/>
              <w:snapToGrid w:val="0"/>
              <w:spacing w:after="0" w:line="240" w:lineRule="auto"/>
              <w:ind w:left="0"/>
              <w:jc w:val="both"/>
              <w:rPr>
                <w:rFonts w:ascii="Arial Narrow" w:hAnsi="Arial Narrow"/>
                <w:b/>
                <w:color w:val="000000"/>
                <w:u w:val="single"/>
              </w:rPr>
            </w:pPr>
          </w:p>
          <w:p w:rsidR="00A06CBC" w:rsidRDefault="00A06CBC" w:rsidP="00D05F65">
            <w:pPr>
              <w:pStyle w:val="ListParagraph"/>
              <w:widowControl w:val="0"/>
              <w:autoSpaceDE w:val="0"/>
              <w:autoSpaceDN w:val="0"/>
              <w:adjustRightInd w:val="0"/>
              <w:snapToGrid w:val="0"/>
              <w:spacing w:after="0" w:line="240" w:lineRule="auto"/>
              <w:ind w:left="0"/>
              <w:jc w:val="both"/>
              <w:rPr>
                <w:rFonts w:ascii="Arial Narrow" w:hAnsi="Arial Narrow"/>
                <w:color w:val="000000"/>
              </w:rPr>
            </w:pPr>
            <w:r>
              <w:rPr>
                <w:rFonts w:ascii="Arial Narrow" w:hAnsi="Arial Narrow"/>
                <w:color w:val="000000"/>
              </w:rPr>
              <w:t xml:space="preserve">Any kind of failure to deduct tax at source from the payment made to a non-resident results into disallowance of deduction u/s 40(a)(i) of the Income Tax Act 1961. The section is applicable in respect of payments which are in the nature of any interest, royalty, fees for technical services, or “other sum chargeable” under the Act. </w:t>
            </w:r>
          </w:p>
          <w:p w:rsidR="00A06CBC" w:rsidRDefault="00A06CBC" w:rsidP="00D05F65">
            <w:pPr>
              <w:pStyle w:val="ListParagraph"/>
              <w:widowControl w:val="0"/>
              <w:autoSpaceDE w:val="0"/>
              <w:autoSpaceDN w:val="0"/>
              <w:adjustRightInd w:val="0"/>
              <w:snapToGrid w:val="0"/>
              <w:spacing w:after="0" w:line="240" w:lineRule="auto"/>
              <w:ind w:left="0"/>
              <w:jc w:val="both"/>
              <w:rPr>
                <w:rFonts w:ascii="Arial Narrow" w:hAnsi="Arial Narrow"/>
                <w:color w:val="000000"/>
              </w:rPr>
            </w:pPr>
          </w:p>
          <w:p w:rsidR="00A06CBC" w:rsidRDefault="00A06CBC" w:rsidP="00D05F65">
            <w:pPr>
              <w:pStyle w:val="ListParagraph"/>
              <w:widowControl w:val="0"/>
              <w:autoSpaceDE w:val="0"/>
              <w:autoSpaceDN w:val="0"/>
              <w:adjustRightInd w:val="0"/>
              <w:snapToGrid w:val="0"/>
              <w:spacing w:after="0" w:line="240" w:lineRule="auto"/>
              <w:ind w:left="0"/>
              <w:jc w:val="both"/>
              <w:rPr>
                <w:rFonts w:ascii="Arial Narrow" w:hAnsi="Arial Narrow"/>
                <w:color w:val="000000"/>
              </w:rPr>
            </w:pPr>
            <w:r>
              <w:rPr>
                <w:rFonts w:ascii="Arial Narrow" w:hAnsi="Arial Narrow"/>
                <w:color w:val="000000"/>
              </w:rPr>
              <w:t xml:space="preserve">Such expression ‘other sum chargeable’ may include some portion on which tax was deductible and not the full amount therefore the disallowance of full amount of expense or payment to take place needed a clarification. This circular therefore </w:t>
            </w:r>
            <w:r w:rsidR="00A9211F">
              <w:rPr>
                <w:rFonts w:ascii="Arial Narrow" w:hAnsi="Arial Narrow"/>
                <w:color w:val="000000"/>
              </w:rPr>
              <w:t xml:space="preserve">has clarified that for the purposes of making disallowance u/s 40(a)(ia) the appropriate portion of the sum which is chargeable to tax shall form the basis of disallowance. Here appropriate portion shall be the sum as will be determined by the AO having jurisdiction for the purposes of section 195(1). </w:t>
            </w:r>
          </w:p>
          <w:p w:rsidR="00A9211F" w:rsidRDefault="00A9211F" w:rsidP="00D05F65">
            <w:pPr>
              <w:pStyle w:val="ListParagraph"/>
              <w:widowControl w:val="0"/>
              <w:autoSpaceDE w:val="0"/>
              <w:autoSpaceDN w:val="0"/>
              <w:adjustRightInd w:val="0"/>
              <w:snapToGrid w:val="0"/>
              <w:spacing w:after="0" w:line="240" w:lineRule="auto"/>
              <w:ind w:left="0"/>
              <w:jc w:val="both"/>
              <w:rPr>
                <w:rFonts w:ascii="Arial Narrow" w:hAnsi="Arial Narrow"/>
                <w:color w:val="000000"/>
              </w:rPr>
            </w:pPr>
          </w:p>
          <w:p w:rsidR="00A9211F" w:rsidRDefault="00A9211F" w:rsidP="00D05F65">
            <w:pPr>
              <w:pStyle w:val="ListParagraph"/>
              <w:widowControl w:val="0"/>
              <w:autoSpaceDE w:val="0"/>
              <w:autoSpaceDN w:val="0"/>
              <w:adjustRightInd w:val="0"/>
              <w:snapToGrid w:val="0"/>
              <w:spacing w:after="0" w:line="240" w:lineRule="auto"/>
              <w:ind w:left="0"/>
              <w:jc w:val="both"/>
              <w:rPr>
                <w:rFonts w:ascii="Arial Narrow" w:hAnsi="Arial Narrow"/>
                <w:color w:val="000000"/>
              </w:rPr>
            </w:pPr>
            <w:r>
              <w:rPr>
                <w:rFonts w:ascii="Arial Narrow" w:hAnsi="Arial Narrow"/>
                <w:color w:val="000000"/>
              </w:rPr>
              <w:t>Where the determination of ‘other sum chargeable’ has been already made by the AO under sub-section (2), (3) or (7) of section 195 such determination shall form the basis of disallowance.</w:t>
            </w:r>
          </w:p>
          <w:p w:rsidR="00A9211F" w:rsidRPr="00A06CBC" w:rsidRDefault="00A9211F" w:rsidP="00D05F65">
            <w:pPr>
              <w:pStyle w:val="ListParagraph"/>
              <w:widowControl w:val="0"/>
              <w:autoSpaceDE w:val="0"/>
              <w:autoSpaceDN w:val="0"/>
              <w:adjustRightInd w:val="0"/>
              <w:snapToGrid w:val="0"/>
              <w:spacing w:after="0" w:line="240" w:lineRule="auto"/>
              <w:ind w:left="0"/>
              <w:jc w:val="both"/>
              <w:rPr>
                <w:rFonts w:ascii="Arial Narrow" w:hAnsi="Arial Narrow"/>
                <w:color w:val="000000"/>
              </w:rPr>
            </w:pPr>
          </w:p>
        </w:tc>
      </w:tr>
      <w:tr w:rsidR="00A9211F" w:rsidRPr="00D05F65" w:rsidTr="00DB75EF">
        <w:tc>
          <w:tcPr>
            <w:tcW w:w="1242" w:type="dxa"/>
            <w:shd w:val="clear" w:color="auto" w:fill="DDD9C3"/>
          </w:tcPr>
          <w:p w:rsidR="00A9211F" w:rsidRDefault="00A9211F">
            <w:pPr>
              <w:rPr>
                <w:rFonts w:ascii="Arial Narrow" w:hAnsi="Arial Narrow"/>
              </w:rPr>
            </w:pPr>
            <w:r>
              <w:rPr>
                <w:rFonts w:ascii="Arial Narrow" w:hAnsi="Arial Narrow"/>
              </w:rPr>
              <w:t>4/2015 dt. 26.03.2015</w:t>
            </w:r>
          </w:p>
        </w:tc>
        <w:tc>
          <w:tcPr>
            <w:tcW w:w="9214" w:type="dxa"/>
            <w:shd w:val="clear" w:color="auto" w:fill="DDD9C3"/>
          </w:tcPr>
          <w:p w:rsidR="00A9211F" w:rsidRDefault="00A9211F" w:rsidP="00D05F65">
            <w:pPr>
              <w:pStyle w:val="ListParagraph"/>
              <w:widowControl w:val="0"/>
              <w:autoSpaceDE w:val="0"/>
              <w:autoSpaceDN w:val="0"/>
              <w:adjustRightInd w:val="0"/>
              <w:snapToGrid w:val="0"/>
              <w:spacing w:after="0" w:line="240" w:lineRule="auto"/>
              <w:ind w:left="0"/>
              <w:jc w:val="both"/>
              <w:rPr>
                <w:rFonts w:ascii="Arial Narrow" w:hAnsi="Arial Narrow"/>
                <w:b/>
                <w:color w:val="000000"/>
                <w:u w:val="single"/>
              </w:rPr>
            </w:pPr>
            <w:r>
              <w:rPr>
                <w:rFonts w:ascii="Arial Narrow" w:hAnsi="Arial Narrow"/>
                <w:b/>
                <w:color w:val="000000"/>
                <w:u w:val="single"/>
              </w:rPr>
              <w:t>Clarification regarding the applicablility of Explanation 5 to Section 9(1)(i) to the dividend declared and paid by a foreign company outside India in respect of shares which derive its value substantially from the assets located in India</w:t>
            </w:r>
          </w:p>
          <w:p w:rsidR="00A9211F" w:rsidRDefault="00A9211F" w:rsidP="00D05F65">
            <w:pPr>
              <w:pStyle w:val="ListParagraph"/>
              <w:widowControl w:val="0"/>
              <w:autoSpaceDE w:val="0"/>
              <w:autoSpaceDN w:val="0"/>
              <w:adjustRightInd w:val="0"/>
              <w:snapToGrid w:val="0"/>
              <w:spacing w:after="0" w:line="240" w:lineRule="auto"/>
              <w:ind w:left="0"/>
              <w:jc w:val="both"/>
              <w:rPr>
                <w:rFonts w:ascii="Arial Narrow" w:hAnsi="Arial Narrow"/>
                <w:b/>
                <w:color w:val="000000"/>
                <w:u w:val="single"/>
              </w:rPr>
            </w:pPr>
          </w:p>
          <w:p w:rsidR="00A9211F" w:rsidRDefault="00A9211F" w:rsidP="00D05F65">
            <w:pPr>
              <w:pStyle w:val="ListParagraph"/>
              <w:widowControl w:val="0"/>
              <w:autoSpaceDE w:val="0"/>
              <w:autoSpaceDN w:val="0"/>
              <w:adjustRightInd w:val="0"/>
              <w:snapToGrid w:val="0"/>
              <w:spacing w:after="0" w:line="240" w:lineRule="auto"/>
              <w:ind w:left="0"/>
              <w:jc w:val="both"/>
              <w:rPr>
                <w:rFonts w:ascii="Arial Narrow" w:hAnsi="Arial Narrow"/>
                <w:color w:val="000000"/>
              </w:rPr>
            </w:pPr>
            <w:r>
              <w:rPr>
                <w:rFonts w:ascii="Arial Narrow" w:hAnsi="Arial Narrow"/>
                <w:color w:val="000000"/>
              </w:rPr>
              <w:t>An explanation 5 was inserted in Section 9(1)(i) by the Finance Act 2012 to clarify that an asset or a capital asset being any share or interest in a company or entity registered or incorporated outside India shall be deemed to be and shall always deemed to have been situated in India, if the share or interest derives, directly or indirectly, its value substantially from assets located in India. The root-cause of su</w:t>
            </w:r>
            <w:r w:rsidR="00D62408">
              <w:rPr>
                <w:rFonts w:ascii="Arial Narrow" w:hAnsi="Arial Narrow"/>
                <w:color w:val="000000"/>
              </w:rPr>
              <w:t xml:space="preserve">ch insertion was Vodafone case and the purpose was to tax any capital gain income arising out of such transactions. </w:t>
            </w:r>
          </w:p>
          <w:p w:rsidR="00A9211F" w:rsidRDefault="00A9211F" w:rsidP="00D05F65">
            <w:pPr>
              <w:pStyle w:val="ListParagraph"/>
              <w:widowControl w:val="0"/>
              <w:autoSpaceDE w:val="0"/>
              <w:autoSpaceDN w:val="0"/>
              <w:adjustRightInd w:val="0"/>
              <w:snapToGrid w:val="0"/>
              <w:spacing w:after="0" w:line="240" w:lineRule="auto"/>
              <w:ind w:left="0"/>
              <w:jc w:val="both"/>
              <w:rPr>
                <w:rFonts w:ascii="Arial Narrow" w:hAnsi="Arial Narrow"/>
                <w:color w:val="000000"/>
              </w:rPr>
            </w:pPr>
          </w:p>
          <w:p w:rsidR="00A9211F" w:rsidRDefault="00A9211F" w:rsidP="00D05F65">
            <w:pPr>
              <w:pStyle w:val="ListParagraph"/>
              <w:widowControl w:val="0"/>
              <w:autoSpaceDE w:val="0"/>
              <w:autoSpaceDN w:val="0"/>
              <w:adjustRightInd w:val="0"/>
              <w:snapToGrid w:val="0"/>
              <w:spacing w:after="0" w:line="240" w:lineRule="auto"/>
              <w:ind w:left="0"/>
              <w:jc w:val="both"/>
              <w:rPr>
                <w:rFonts w:ascii="Arial Narrow" w:hAnsi="Arial Narrow"/>
                <w:color w:val="000000"/>
              </w:rPr>
            </w:pPr>
            <w:r>
              <w:rPr>
                <w:rFonts w:ascii="Arial Narrow" w:hAnsi="Arial Narrow"/>
                <w:color w:val="000000"/>
              </w:rPr>
              <w:t xml:space="preserve">However such explanation might also result into taxation of dividend distributed by a foreign company outside India in India if the share of such forign company derives, directly or indirectly, its value substantially from assets located in India, </w:t>
            </w:r>
            <w:r w:rsidR="00D62408">
              <w:rPr>
                <w:rFonts w:ascii="Arial Narrow" w:hAnsi="Arial Narrow"/>
                <w:color w:val="000000"/>
              </w:rPr>
              <w:t xml:space="preserve">which was not the intent of amendment. Thus this circular has clarified that, the dividend declared and paid by a forign company outside India, in respect of shares which derive their value substantially from assets situated in India would not be deemed to be income accruing or arising in India. </w:t>
            </w:r>
          </w:p>
          <w:p w:rsidR="00D62408" w:rsidRPr="00A9211F" w:rsidRDefault="00D62408" w:rsidP="00D05F65">
            <w:pPr>
              <w:pStyle w:val="ListParagraph"/>
              <w:widowControl w:val="0"/>
              <w:autoSpaceDE w:val="0"/>
              <w:autoSpaceDN w:val="0"/>
              <w:adjustRightInd w:val="0"/>
              <w:snapToGrid w:val="0"/>
              <w:spacing w:after="0" w:line="240" w:lineRule="auto"/>
              <w:ind w:left="0"/>
              <w:jc w:val="both"/>
              <w:rPr>
                <w:rFonts w:ascii="Arial Narrow" w:hAnsi="Arial Narrow"/>
                <w:color w:val="000000"/>
              </w:rPr>
            </w:pPr>
          </w:p>
        </w:tc>
      </w:tr>
      <w:tr w:rsidR="00A9211F" w:rsidRPr="00D05F65" w:rsidTr="00DB75EF">
        <w:tc>
          <w:tcPr>
            <w:tcW w:w="1242" w:type="dxa"/>
            <w:shd w:val="clear" w:color="auto" w:fill="DDD9C3"/>
          </w:tcPr>
          <w:p w:rsidR="00A9211F" w:rsidRDefault="00D62408">
            <w:pPr>
              <w:rPr>
                <w:rFonts w:ascii="Arial Narrow" w:hAnsi="Arial Narrow"/>
              </w:rPr>
            </w:pPr>
            <w:r>
              <w:rPr>
                <w:rFonts w:ascii="Arial Narrow" w:hAnsi="Arial Narrow"/>
              </w:rPr>
              <w:t>6/2015 dt. 9.4.2015</w:t>
            </w:r>
          </w:p>
        </w:tc>
        <w:tc>
          <w:tcPr>
            <w:tcW w:w="9214" w:type="dxa"/>
            <w:shd w:val="clear" w:color="auto" w:fill="DDD9C3"/>
          </w:tcPr>
          <w:p w:rsidR="00A9211F" w:rsidRDefault="00D62408" w:rsidP="00D05F65">
            <w:pPr>
              <w:pStyle w:val="ListParagraph"/>
              <w:widowControl w:val="0"/>
              <w:autoSpaceDE w:val="0"/>
              <w:autoSpaceDN w:val="0"/>
              <w:adjustRightInd w:val="0"/>
              <w:snapToGrid w:val="0"/>
              <w:spacing w:after="0" w:line="240" w:lineRule="auto"/>
              <w:ind w:left="0"/>
              <w:jc w:val="both"/>
              <w:rPr>
                <w:rFonts w:ascii="Arial Narrow" w:hAnsi="Arial Narrow"/>
                <w:b/>
                <w:color w:val="000000"/>
                <w:u w:val="single"/>
              </w:rPr>
            </w:pPr>
            <w:r>
              <w:rPr>
                <w:rFonts w:ascii="Arial Narrow" w:hAnsi="Arial Narrow"/>
                <w:b/>
                <w:color w:val="000000"/>
                <w:u w:val="single"/>
              </w:rPr>
              <w:t>Applicability of tax on Capital Gains in the hands of unit holder where the term of units of Mutual Funds under the Fixed Maturity Plans (FMP) has been extended</w:t>
            </w:r>
          </w:p>
          <w:p w:rsidR="00D62408" w:rsidRDefault="00D62408" w:rsidP="00D05F65">
            <w:pPr>
              <w:pStyle w:val="ListParagraph"/>
              <w:widowControl w:val="0"/>
              <w:autoSpaceDE w:val="0"/>
              <w:autoSpaceDN w:val="0"/>
              <w:adjustRightInd w:val="0"/>
              <w:snapToGrid w:val="0"/>
              <w:spacing w:after="0" w:line="240" w:lineRule="auto"/>
              <w:ind w:left="0"/>
              <w:jc w:val="both"/>
              <w:rPr>
                <w:rFonts w:ascii="Arial Narrow" w:hAnsi="Arial Narrow"/>
                <w:b/>
                <w:color w:val="000000"/>
                <w:u w:val="single"/>
              </w:rPr>
            </w:pPr>
          </w:p>
          <w:p w:rsidR="00D62408" w:rsidRDefault="00D62408" w:rsidP="00D05F65">
            <w:pPr>
              <w:pStyle w:val="ListParagraph"/>
              <w:widowControl w:val="0"/>
              <w:autoSpaceDE w:val="0"/>
              <w:autoSpaceDN w:val="0"/>
              <w:adjustRightInd w:val="0"/>
              <w:snapToGrid w:val="0"/>
              <w:spacing w:after="0" w:line="240" w:lineRule="auto"/>
              <w:ind w:left="0"/>
              <w:jc w:val="both"/>
              <w:rPr>
                <w:rFonts w:ascii="Arial Narrow" w:hAnsi="Arial Narrow"/>
                <w:color w:val="000000"/>
              </w:rPr>
            </w:pPr>
            <w:r>
              <w:rPr>
                <w:rFonts w:ascii="Arial Narrow" w:hAnsi="Arial Narrow"/>
                <w:color w:val="000000"/>
              </w:rPr>
              <w:t xml:space="preserve">Due to amendment made in section 2(42A) by the Finance (No.2) Act 2014 the period of holding for treating long term capital asset in the case of unlisted shares and the units of mutual funds (except equity oriented mutual fund) should be more than 36 months to quality as long term capital asset. </w:t>
            </w:r>
          </w:p>
          <w:p w:rsidR="00D62408" w:rsidRDefault="00D62408" w:rsidP="00D05F65">
            <w:pPr>
              <w:pStyle w:val="ListParagraph"/>
              <w:widowControl w:val="0"/>
              <w:autoSpaceDE w:val="0"/>
              <w:autoSpaceDN w:val="0"/>
              <w:adjustRightInd w:val="0"/>
              <w:snapToGrid w:val="0"/>
              <w:spacing w:after="0" w:line="240" w:lineRule="auto"/>
              <w:ind w:left="0"/>
              <w:jc w:val="both"/>
              <w:rPr>
                <w:rFonts w:ascii="Arial Narrow" w:hAnsi="Arial Narrow"/>
                <w:color w:val="000000"/>
              </w:rPr>
            </w:pPr>
          </w:p>
          <w:p w:rsidR="00D62408" w:rsidRDefault="00D62408" w:rsidP="00D62408">
            <w:pPr>
              <w:pStyle w:val="ListParagraph"/>
              <w:widowControl w:val="0"/>
              <w:autoSpaceDE w:val="0"/>
              <w:autoSpaceDN w:val="0"/>
              <w:adjustRightInd w:val="0"/>
              <w:snapToGrid w:val="0"/>
              <w:spacing w:after="0" w:line="240" w:lineRule="auto"/>
              <w:ind w:left="0"/>
              <w:jc w:val="both"/>
              <w:rPr>
                <w:rFonts w:ascii="Arial Narrow" w:hAnsi="Arial Narrow"/>
                <w:color w:val="000000"/>
              </w:rPr>
            </w:pPr>
            <w:r>
              <w:rPr>
                <w:rFonts w:ascii="Arial Narrow" w:hAnsi="Arial Narrow"/>
                <w:color w:val="000000"/>
              </w:rPr>
              <w:t xml:space="preserve">Thus any FMP units sold after 10.7.2014 if transferred without holding them for a period more than 36 months shall be treated as short term asset transfer. However to enable such transfers as long term relevant mutual funds have given option to the investor by offering extension of the duration of the FMP to a date beyond 36 months from the date of original investment by providing a roll-over option in accordance with SEBI guidelines. </w:t>
            </w:r>
          </w:p>
          <w:p w:rsidR="00D62408" w:rsidRDefault="00D62408" w:rsidP="00D62408">
            <w:pPr>
              <w:pStyle w:val="ListParagraph"/>
              <w:widowControl w:val="0"/>
              <w:autoSpaceDE w:val="0"/>
              <w:autoSpaceDN w:val="0"/>
              <w:adjustRightInd w:val="0"/>
              <w:snapToGrid w:val="0"/>
              <w:spacing w:after="0" w:line="240" w:lineRule="auto"/>
              <w:ind w:left="0"/>
              <w:jc w:val="both"/>
              <w:rPr>
                <w:rFonts w:ascii="Arial Narrow" w:hAnsi="Arial Narrow"/>
                <w:color w:val="000000"/>
              </w:rPr>
            </w:pPr>
          </w:p>
          <w:p w:rsidR="00886BDB" w:rsidRDefault="00886BDB" w:rsidP="00D62408">
            <w:pPr>
              <w:pStyle w:val="ListParagraph"/>
              <w:widowControl w:val="0"/>
              <w:autoSpaceDE w:val="0"/>
              <w:autoSpaceDN w:val="0"/>
              <w:adjustRightInd w:val="0"/>
              <w:snapToGrid w:val="0"/>
              <w:spacing w:after="0" w:line="240" w:lineRule="auto"/>
              <w:ind w:left="0"/>
              <w:jc w:val="both"/>
              <w:rPr>
                <w:rFonts w:ascii="Arial Narrow" w:hAnsi="Arial Narrow"/>
                <w:color w:val="000000"/>
              </w:rPr>
            </w:pPr>
            <w:r>
              <w:rPr>
                <w:rFonts w:ascii="Arial Narrow" w:hAnsi="Arial Narrow"/>
                <w:color w:val="000000"/>
              </w:rPr>
              <w:t xml:space="preserve">CBDT through this circular has clarified that roll-over in accordance with the aforesaid manner will not amount to transfer as the scheme remains the same. </w:t>
            </w:r>
          </w:p>
          <w:p w:rsidR="00D62408" w:rsidRPr="00D62408" w:rsidRDefault="00886BDB" w:rsidP="00D62408">
            <w:pPr>
              <w:pStyle w:val="ListParagraph"/>
              <w:widowControl w:val="0"/>
              <w:autoSpaceDE w:val="0"/>
              <w:autoSpaceDN w:val="0"/>
              <w:adjustRightInd w:val="0"/>
              <w:snapToGrid w:val="0"/>
              <w:spacing w:after="0" w:line="240" w:lineRule="auto"/>
              <w:ind w:left="0"/>
              <w:jc w:val="both"/>
              <w:rPr>
                <w:rFonts w:ascii="Arial Narrow" w:hAnsi="Arial Narrow"/>
                <w:color w:val="000000"/>
              </w:rPr>
            </w:pPr>
            <w:r>
              <w:rPr>
                <w:rFonts w:ascii="Arial Narrow" w:hAnsi="Arial Narrow"/>
                <w:color w:val="000000"/>
              </w:rPr>
              <w:t xml:space="preserve"> </w:t>
            </w:r>
          </w:p>
        </w:tc>
      </w:tr>
      <w:tr w:rsidR="00886BDB" w:rsidRPr="00D05F65" w:rsidTr="00DB75EF">
        <w:tc>
          <w:tcPr>
            <w:tcW w:w="1242" w:type="dxa"/>
            <w:shd w:val="clear" w:color="auto" w:fill="DDD9C3"/>
          </w:tcPr>
          <w:p w:rsidR="00886BDB" w:rsidRDefault="00886BDB">
            <w:pPr>
              <w:rPr>
                <w:rFonts w:ascii="Arial Narrow" w:hAnsi="Arial Narrow"/>
              </w:rPr>
            </w:pPr>
            <w:r>
              <w:rPr>
                <w:rFonts w:ascii="Arial Narrow" w:hAnsi="Arial Narrow"/>
              </w:rPr>
              <w:t>7/2015 dt. 23.4.2015</w:t>
            </w:r>
          </w:p>
        </w:tc>
        <w:tc>
          <w:tcPr>
            <w:tcW w:w="9214" w:type="dxa"/>
            <w:shd w:val="clear" w:color="auto" w:fill="DDD9C3"/>
          </w:tcPr>
          <w:p w:rsidR="00886BDB" w:rsidRDefault="00886BDB" w:rsidP="00D05F65">
            <w:pPr>
              <w:pStyle w:val="ListParagraph"/>
              <w:widowControl w:val="0"/>
              <w:autoSpaceDE w:val="0"/>
              <w:autoSpaceDN w:val="0"/>
              <w:adjustRightInd w:val="0"/>
              <w:snapToGrid w:val="0"/>
              <w:spacing w:after="0" w:line="240" w:lineRule="auto"/>
              <w:ind w:left="0"/>
              <w:jc w:val="both"/>
              <w:rPr>
                <w:rFonts w:ascii="Arial Narrow" w:hAnsi="Arial Narrow"/>
                <w:b/>
                <w:color w:val="000000"/>
                <w:u w:val="single"/>
              </w:rPr>
            </w:pPr>
            <w:r>
              <w:rPr>
                <w:rFonts w:ascii="Arial Narrow" w:hAnsi="Arial Narrow"/>
                <w:b/>
                <w:color w:val="000000"/>
                <w:u w:val="single"/>
              </w:rPr>
              <w:t xml:space="preserve">Non-applicability of TDS provisions on payments made to Corporations whose income is exempt u/s 10(26BBB) </w:t>
            </w:r>
          </w:p>
          <w:p w:rsidR="00886BDB" w:rsidRDefault="00886BDB" w:rsidP="00557B2D">
            <w:pPr>
              <w:pStyle w:val="ListParagraph"/>
              <w:widowControl w:val="0"/>
              <w:tabs>
                <w:tab w:val="left" w:pos="5875"/>
              </w:tabs>
              <w:autoSpaceDE w:val="0"/>
              <w:autoSpaceDN w:val="0"/>
              <w:adjustRightInd w:val="0"/>
              <w:snapToGrid w:val="0"/>
              <w:spacing w:after="0" w:line="240" w:lineRule="auto"/>
              <w:ind w:left="0"/>
              <w:jc w:val="both"/>
              <w:rPr>
                <w:rFonts w:ascii="Arial Narrow" w:hAnsi="Arial Narrow"/>
                <w:b/>
                <w:color w:val="000000"/>
                <w:u w:val="single"/>
              </w:rPr>
            </w:pPr>
          </w:p>
          <w:p w:rsidR="00886BDB" w:rsidRDefault="00886BDB" w:rsidP="00D05F65">
            <w:pPr>
              <w:pStyle w:val="ListParagraph"/>
              <w:widowControl w:val="0"/>
              <w:autoSpaceDE w:val="0"/>
              <w:autoSpaceDN w:val="0"/>
              <w:adjustRightInd w:val="0"/>
              <w:snapToGrid w:val="0"/>
              <w:spacing w:after="0" w:line="240" w:lineRule="auto"/>
              <w:ind w:left="0"/>
              <w:jc w:val="both"/>
              <w:rPr>
                <w:rFonts w:ascii="Arial Narrow" w:hAnsi="Arial Narrow"/>
                <w:color w:val="000000"/>
              </w:rPr>
            </w:pPr>
            <w:r>
              <w:rPr>
                <w:rFonts w:ascii="Arial Narrow" w:hAnsi="Arial Narrow"/>
                <w:color w:val="000000"/>
              </w:rPr>
              <w:t xml:space="preserve">This circular exempts institutions claiming exceptions u/s </w:t>
            </w:r>
            <w:r w:rsidR="00ED7A6D">
              <w:rPr>
                <w:rFonts w:ascii="Arial Narrow" w:hAnsi="Arial Narrow"/>
                <w:color w:val="000000"/>
              </w:rPr>
              <w:t xml:space="preserve">10(26BBB) i.e. corporations established by a Central, State or Provincial Act for the welfare and economic upliftment of ex-servicemen being the citizen of India. </w:t>
            </w:r>
          </w:p>
          <w:p w:rsidR="00ED7A6D" w:rsidRPr="00886BDB" w:rsidRDefault="00ED7A6D" w:rsidP="00D05F65">
            <w:pPr>
              <w:pStyle w:val="ListParagraph"/>
              <w:widowControl w:val="0"/>
              <w:autoSpaceDE w:val="0"/>
              <w:autoSpaceDN w:val="0"/>
              <w:adjustRightInd w:val="0"/>
              <w:snapToGrid w:val="0"/>
              <w:spacing w:after="0" w:line="240" w:lineRule="auto"/>
              <w:ind w:left="0"/>
              <w:jc w:val="both"/>
              <w:rPr>
                <w:rFonts w:ascii="Arial Narrow" w:hAnsi="Arial Narrow"/>
                <w:color w:val="000000"/>
              </w:rPr>
            </w:pPr>
          </w:p>
        </w:tc>
      </w:tr>
    </w:tbl>
    <w:p w:rsidR="00EA74C4" w:rsidRPr="00D05F65" w:rsidRDefault="00EA74C4">
      <w:pPr>
        <w:rPr>
          <w:rFonts w:ascii="Arial Narrow" w:hAnsi="Arial Narrow"/>
        </w:rPr>
      </w:pPr>
    </w:p>
    <w:p w:rsidR="0033031F" w:rsidRPr="00D05F65" w:rsidRDefault="0033031F">
      <w:pPr>
        <w:rPr>
          <w:rFonts w:ascii="Arial Narrow" w:hAnsi="Arial Narrow"/>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84"/>
        <w:gridCol w:w="9072"/>
      </w:tblGrid>
      <w:tr w:rsidR="00BB3BEB" w:rsidRPr="00D05F65" w:rsidTr="00FF6C82">
        <w:tc>
          <w:tcPr>
            <w:tcW w:w="1384" w:type="dxa"/>
            <w:shd w:val="clear" w:color="auto" w:fill="DDD9C3"/>
          </w:tcPr>
          <w:p w:rsidR="0033031F" w:rsidRPr="00D05F65" w:rsidRDefault="0033031F" w:rsidP="001D2576">
            <w:pPr>
              <w:rPr>
                <w:rFonts w:ascii="Arial Narrow" w:hAnsi="Arial Narrow"/>
                <w:b/>
              </w:rPr>
            </w:pPr>
            <w:r w:rsidRPr="00D05F65">
              <w:rPr>
                <w:rFonts w:ascii="Arial Narrow" w:hAnsi="Arial Narrow"/>
                <w:b/>
              </w:rPr>
              <w:t>Notification No. &amp; Date</w:t>
            </w:r>
          </w:p>
        </w:tc>
        <w:tc>
          <w:tcPr>
            <w:tcW w:w="9072" w:type="dxa"/>
            <w:shd w:val="clear" w:color="auto" w:fill="DDD9C3"/>
          </w:tcPr>
          <w:p w:rsidR="0033031F" w:rsidRPr="00D05F65" w:rsidRDefault="0033031F" w:rsidP="001D2576">
            <w:pPr>
              <w:rPr>
                <w:rFonts w:ascii="Arial Narrow" w:hAnsi="Arial Narrow"/>
                <w:b/>
              </w:rPr>
            </w:pPr>
            <w:r w:rsidRPr="00D05F65">
              <w:rPr>
                <w:rFonts w:ascii="Arial Narrow" w:hAnsi="Arial Narrow"/>
                <w:b/>
              </w:rPr>
              <w:t>Summary/Content</w:t>
            </w:r>
          </w:p>
        </w:tc>
      </w:tr>
      <w:tr w:rsidR="00BB3BEB" w:rsidRPr="00D05F65" w:rsidTr="00FF6C82">
        <w:tc>
          <w:tcPr>
            <w:tcW w:w="1384" w:type="dxa"/>
          </w:tcPr>
          <w:p w:rsidR="0033031F" w:rsidRPr="00D05F65" w:rsidRDefault="0033031F" w:rsidP="001D2576">
            <w:pPr>
              <w:rPr>
                <w:rFonts w:ascii="Arial Narrow" w:hAnsi="Arial Narrow"/>
              </w:rPr>
            </w:pPr>
          </w:p>
          <w:p w:rsidR="0033031F" w:rsidRPr="00D05F65" w:rsidRDefault="0033031F" w:rsidP="001D2576">
            <w:pPr>
              <w:rPr>
                <w:rFonts w:ascii="Arial Narrow" w:hAnsi="Arial Narrow"/>
              </w:rPr>
            </w:pPr>
            <w:r w:rsidRPr="00D05F65">
              <w:rPr>
                <w:rFonts w:ascii="Arial Narrow" w:hAnsi="Arial Narrow"/>
              </w:rPr>
              <w:t xml:space="preserve">39/2013 dt. 31.05.2013 </w:t>
            </w:r>
          </w:p>
        </w:tc>
        <w:tc>
          <w:tcPr>
            <w:tcW w:w="9072" w:type="dxa"/>
          </w:tcPr>
          <w:p w:rsidR="0033031F" w:rsidRPr="00D05F65" w:rsidRDefault="0033031F" w:rsidP="00D05F65">
            <w:pPr>
              <w:widowControl w:val="0"/>
              <w:autoSpaceDE w:val="0"/>
              <w:autoSpaceDN w:val="0"/>
              <w:adjustRightInd w:val="0"/>
              <w:snapToGrid w:val="0"/>
              <w:jc w:val="both"/>
              <w:rPr>
                <w:rFonts w:ascii="Arial Narrow" w:hAnsi="Arial Narrow" w:cs="ArialNarrow"/>
                <w:color w:val="000000"/>
              </w:rPr>
            </w:pPr>
          </w:p>
          <w:p w:rsidR="0033031F" w:rsidRPr="00D05F65" w:rsidRDefault="0033031F" w:rsidP="00D05F65">
            <w:pPr>
              <w:widowControl w:val="0"/>
              <w:autoSpaceDE w:val="0"/>
              <w:autoSpaceDN w:val="0"/>
              <w:adjustRightInd w:val="0"/>
              <w:snapToGrid w:val="0"/>
              <w:jc w:val="both"/>
              <w:rPr>
                <w:rFonts w:ascii="Arial Narrow" w:hAnsi="Arial Narrow"/>
              </w:rPr>
            </w:pPr>
            <w:r w:rsidRPr="00D05F65">
              <w:rPr>
                <w:rFonts w:ascii="Arial Narrow" w:hAnsi="Arial Narrow" w:cs="ArialNarrow"/>
                <w:color w:val="000000"/>
              </w:rPr>
              <w:t>Section 194-IA was inserted by Finance Act, 2013, requiring every transferee responsible for paying any sum as consideration for transfer of immovable property (land,</w:t>
            </w:r>
            <w:r w:rsidR="00D05F65" w:rsidRPr="00D05F65">
              <w:rPr>
                <w:rFonts w:ascii="Arial Narrow" w:hAnsi="Arial Narrow" w:cs="ArialNarrow"/>
                <w:color w:val="000000"/>
              </w:rPr>
              <w:t xml:space="preserve"> </w:t>
            </w:r>
            <w:r w:rsidRPr="00D05F65">
              <w:rPr>
                <w:rFonts w:ascii="Arial Narrow" w:hAnsi="Arial Narrow" w:cs="ArialNarrow"/>
                <w:color w:val="000000"/>
              </w:rPr>
              <w:t>other than agricultural land, or building or part of building) to deduct tax, at the rate 1% of such sum, at the time of credit of such sum to the account of the resident transferor or at the time of payment of such sum to a resident transferor, whichever is earlier.</w:t>
            </w:r>
          </w:p>
          <w:p w:rsidR="0033031F" w:rsidRPr="00D05F65" w:rsidRDefault="0033031F" w:rsidP="00D05F65">
            <w:pPr>
              <w:widowControl w:val="0"/>
              <w:autoSpaceDE w:val="0"/>
              <w:autoSpaceDN w:val="0"/>
              <w:adjustRightInd w:val="0"/>
              <w:snapToGrid w:val="0"/>
              <w:rPr>
                <w:rFonts w:ascii="Arial Narrow" w:hAnsi="Arial Narrow" w:cs="Times New Roman Bold"/>
                <w:color w:val="000000"/>
              </w:rPr>
            </w:pPr>
          </w:p>
          <w:p w:rsidR="0033031F" w:rsidRPr="00D05F65" w:rsidRDefault="0033031F" w:rsidP="00D05F65">
            <w:pPr>
              <w:widowControl w:val="0"/>
              <w:autoSpaceDE w:val="0"/>
              <w:autoSpaceDN w:val="0"/>
              <w:adjustRightInd w:val="0"/>
              <w:snapToGrid w:val="0"/>
              <w:jc w:val="both"/>
              <w:rPr>
                <w:rFonts w:ascii="Arial Narrow" w:hAnsi="Arial Narrow"/>
              </w:rPr>
            </w:pPr>
            <w:r w:rsidRPr="00D05F65">
              <w:rPr>
                <w:rFonts w:ascii="Arial Narrow" w:hAnsi="Arial Narrow" w:cs="ArialNarrow"/>
                <w:color w:val="000000"/>
              </w:rPr>
              <w:t>The time and mode of, payment of tax deducted at source under section 194-IA, furnishing Challan-cum-statement and TDS Certificate have been provided, by amending Rules 30, 31A &amp; 31, respectively -</w:t>
            </w:r>
          </w:p>
          <w:p w:rsidR="0033031F" w:rsidRPr="00D05F65" w:rsidRDefault="0033031F" w:rsidP="00D05F65">
            <w:pPr>
              <w:jc w:val="both"/>
              <w:rPr>
                <w:rFonts w:ascii="Arial Narrow" w:hAnsi="Arial Narrow"/>
              </w:rPr>
            </w:pPr>
          </w:p>
          <w:p w:rsidR="00FF6C82" w:rsidRPr="00FF6C82" w:rsidRDefault="0033031F" w:rsidP="00FF6C82">
            <w:pPr>
              <w:pStyle w:val="ListParagraph"/>
              <w:widowControl w:val="0"/>
              <w:numPr>
                <w:ilvl w:val="0"/>
                <w:numId w:val="5"/>
              </w:numPr>
              <w:autoSpaceDE w:val="0"/>
              <w:autoSpaceDN w:val="0"/>
              <w:adjustRightInd w:val="0"/>
              <w:snapToGrid w:val="0"/>
              <w:ind w:left="743" w:hanging="383"/>
              <w:jc w:val="both"/>
              <w:rPr>
                <w:rFonts w:ascii="Arial Narrow" w:hAnsi="Arial Narrow"/>
              </w:rPr>
            </w:pPr>
            <w:r w:rsidRPr="00FF6C82">
              <w:rPr>
                <w:rFonts w:ascii="Arial Narrow" w:hAnsi="Arial Narrow" w:cs="ArialNarrow"/>
                <w:color w:val="000000"/>
              </w:rPr>
              <w:t xml:space="preserve">Such sum deducted under section 194-IA shall be paid to the credit of the Central Government within a period of seven days from the end of the month in which the deduction is made and shall be accompanied by a challan-cum-statement in Form No.26QB </w:t>
            </w:r>
            <w:r w:rsidRPr="00FF6C82">
              <w:rPr>
                <w:rFonts w:ascii="Arial Narrow" w:hAnsi="Arial Narrow" w:cs="ArialNarrow Italic"/>
                <w:color w:val="000000"/>
              </w:rPr>
              <w:t>[Rule 30].</w:t>
            </w:r>
          </w:p>
          <w:p w:rsidR="0033031F" w:rsidRPr="00FF6C82" w:rsidRDefault="0033031F" w:rsidP="00FF6C82">
            <w:pPr>
              <w:pStyle w:val="ListParagraph"/>
              <w:widowControl w:val="0"/>
              <w:numPr>
                <w:ilvl w:val="0"/>
                <w:numId w:val="5"/>
              </w:numPr>
              <w:autoSpaceDE w:val="0"/>
              <w:autoSpaceDN w:val="0"/>
              <w:adjustRightInd w:val="0"/>
              <w:snapToGrid w:val="0"/>
              <w:ind w:left="743" w:hanging="383"/>
              <w:jc w:val="both"/>
              <w:rPr>
                <w:rFonts w:ascii="Arial Narrow" w:hAnsi="Arial Narrow"/>
              </w:rPr>
            </w:pPr>
            <w:r w:rsidRPr="00FF6C82">
              <w:rPr>
                <w:rFonts w:ascii="Arial Narrow" w:hAnsi="Arial Narrow" w:cs="ArialNarrow"/>
                <w:color w:val="000000"/>
              </w:rPr>
              <w:t xml:space="preserve">The amount so deducted has to be deposited to the credit of the Central Government by electronic remittance within the above mentioned time limit, into RBI, SBI or any authorized bank </w:t>
            </w:r>
            <w:r w:rsidRPr="00FF6C82">
              <w:rPr>
                <w:rFonts w:ascii="Arial Narrow" w:hAnsi="Arial Narrow" w:cs="ArialNarrow Italic"/>
                <w:color w:val="000000"/>
              </w:rPr>
              <w:t>[Rule 30].</w:t>
            </w:r>
          </w:p>
          <w:p w:rsidR="0033031F" w:rsidRPr="00D05F65" w:rsidRDefault="0033031F" w:rsidP="00FF6C82">
            <w:pPr>
              <w:pStyle w:val="ListParagraph"/>
              <w:widowControl w:val="0"/>
              <w:numPr>
                <w:ilvl w:val="0"/>
                <w:numId w:val="5"/>
              </w:numPr>
              <w:autoSpaceDE w:val="0"/>
              <w:autoSpaceDN w:val="0"/>
              <w:adjustRightInd w:val="0"/>
              <w:snapToGrid w:val="0"/>
              <w:ind w:left="743" w:hanging="383"/>
              <w:jc w:val="both"/>
              <w:rPr>
                <w:rFonts w:ascii="Arial Narrow" w:hAnsi="Arial Narrow"/>
              </w:rPr>
            </w:pPr>
            <w:r w:rsidRPr="00D05F65">
              <w:rPr>
                <w:rFonts w:ascii="Arial Narrow" w:hAnsi="Arial Narrow" w:cs="ArialNarrow"/>
                <w:color w:val="000000"/>
              </w:rPr>
              <w:t xml:space="preserve">Every person responsible for deduction of tax under section 194-IA shall also furnish to the DGIT (Systems) or any person authorized by him, a challan-cum- statement in Form No.26QB electronically within seven days from the end of the month in which the deduction is made </w:t>
            </w:r>
            <w:r w:rsidRPr="00D05F65">
              <w:rPr>
                <w:rFonts w:ascii="Arial Narrow" w:hAnsi="Arial Narrow" w:cs="ArialNarrow Italic"/>
                <w:color w:val="000000"/>
              </w:rPr>
              <w:t>[Rule 31A].</w:t>
            </w:r>
          </w:p>
          <w:p w:rsidR="0033031F" w:rsidRPr="00D05F65" w:rsidRDefault="0033031F" w:rsidP="00FF6C82">
            <w:pPr>
              <w:pStyle w:val="ListParagraph"/>
              <w:widowControl w:val="0"/>
              <w:numPr>
                <w:ilvl w:val="0"/>
                <w:numId w:val="5"/>
              </w:numPr>
              <w:autoSpaceDE w:val="0"/>
              <w:autoSpaceDN w:val="0"/>
              <w:adjustRightInd w:val="0"/>
              <w:snapToGrid w:val="0"/>
              <w:ind w:left="743" w:hanging="383"/>
              <w:rPr>
                <w:rFonts w:ascii="Arial Narrow" w:hAnsi="Arial Narrow"/>
              </w:rPr>
            </w:pPr>
            <w:r w:rsidRPr="00D05F65">
              <w:rPr>
                <w:rFonts w:ascii="Arial Narrow" w:hAnsi="Arial Narrow" w:cs="ArialNarrow"/>
                <w:color w:val="000000"/>
              </w:rPr>
              <w:t xml:space="preserve">Every person responsible for deduction of tax under section 194-IA shall furnish the TDS certificate in Form No.16B to the payee within 15 days from the due date for furnishing the challan-cum-statement in Form No.26QB under Rule 31A, after generating and downloading the same from the web portal specified by the DGIT (Systems) or the person authorized by him </w:t>
            </w:r>
            <w:r w:rsidRPr="00D05F65">
              <w:rPr>
                <w:rFonts w:ascii="Arial Narrow" w:hAnsi="Arial Narrow" w:cs="ArialNarrow Italic"/>
                <w:color w:val="000000"/>
              </w:rPr>
              <w:t>[Rule 31].</w:t>
            </w:r>
          </w:p>
        </w:tc>
      </w:tr>
      <w:tr w:rsidR="00BB3BEB" w:rsidRPr="00D05F65" w:rsidTr="00FF6C82">
        <w:tc>
          <w:tcPr>
            <w:tcW w:w="1384" w:type="dxa"/>
          </w:tcPr>
          <w:p w:rsidR="0033031F" w:rsidRPr="00D05F65" w:rsidRDefault="0033031F" w:rsidP="001D2576">
            <w:pPr>
              <w:rPr>
                <w:rFonts w:ascii="Arial Narrow" w:hAnsi="Arial Narrow"/>
              </w:rPr>
            </w:pPr>
            <w:r w:rsidRPr="00D05F65">
              <w:rPr>
                <w:rFonts w:ascii="Arial Narrow" w:hAnsi="Arial Narrow"/>
              </w:rPr>
              <w:t>54/2013 dt. 15.07.2013</w:t>
            </w:r>
          </w:p>
        </w:tc>
        <w:tc>
          <w:tcPr>
            <w:tcW w:w="9072" w:type="dxa"/>
          </w:tcPr>
          <w:p w:rsidR="0033031F" w:rsidRPr="00D05F65" w:rsidRDefault="0033031F" w:rsidP="00D05F65">
            <w:pPr>
              <w:jc w:val="both"/>
              <w:rPr>
                <w:rFonts w:ascii="Arial Narrow" w:hAnsi="Arial Narrow"/>
              </w:rPr>
            </w:pPr>
            <w:r w:rsidRPr="00D05F65">
              <w:rPr>
                <w:rFonts w:ascii="Arial Narrow" w:hAnsi="Arial Narrow"/>
              </w:rPr>
              <w:t xml:space="preserve">Through this notification the Central Government has prescribed the conditions and guidelines for approval of an a Skill Development Project eligible for weighted deduction of 150% under section 35CCD of the Income Tax Act 1961. </w:t>
            </w:r>
          </w:p>
          <w:p w:rsidR="0033031F" w:rsidRPr="00D05F65" w:rsidRDefault="0033031F" w:rsidP="00D05F65">
            <w:pPr>
              <w:jc w:val="both"/>
              <w:rPr>
                <w:rFonts w:ascii="Arial Narrow" w:hAnsi="Arial Narrow"/>
              </w:rPr>
            </w:pPr>
          </w:p>
        </w:tc>
      </w:tr>
      <w:tr w:rsidR="00BB3BEB" w:rsidRPr="00D05F65" w:rsidTr="00FF6C82">
        <w:tc>
          <w:tcPr>
            <w:tcW w:w="1384" w:type="dxa"/>
          </w:tcPr>
          <w:p w:rsidR="0033031F" w:rsidRPr="00D05F65" w:rsidRDefault="0033031F" w:rsidP="001D2576">
            <w:pPr>
              <w:rPr>
                <w:rFonts w:ascii="Arial Narrow" w:hAnsi="Arial Narrow"/>
              </w:rPr>
            </w:pPr>
            <w:r w:rsidRPr="00D05F65">
              <w:rPr>
                <w:rFonts w:ascii="Arial Narrow" w:hAnsi="Arial Narrow"/>
              </w:rPr>
              <w:t>57/2013 01.08.2013</w:t>
            </w:r>
          </w:p>
        </w:tc>
        <w:tc>
          <w:tcPr>
            <w:tcW w:w="9072" w:type="dxa"/>
          </w:tcPr>
          <w:p w:rsidR="0033031F" w:rsidRPr="00D05F65" w:rsidRDefault="0033031F" w:rsidP="00D05F65">
            <w:pPr>
              <w:jc w:val="both"/>
              <w:rPr>
                <w:rFonts w:ascii="Arial Narrow" w:hAnsi="Arial Narrow"/>
              </w:rPr>
            </w:pPr>
            <w:r w:rsidRPr="00D05F65">
              <w:rPr>
                <w:rFonts w:ascii="Arial Narrow" w:hAnsi="Arial Narrow"/>
              </w:rPr>
              <w:t xml:space="preserve">Through this notification the Central Government has prescribed the documents and information, which are required to be furnished by the assessee for claiming treaty benefits under section 90 of the Income Tax Act 1961. </w:t>
            </w:r>
          </w:p>
          <w:p w:rsidR="0033031F" w:rsidRPr="00D05F65" w:rsidRDefault="0033031F" w:rsidP="00D05F65">
            <w:pPr>
              <w:jc w:val="both"/>
              <w:rPr>
                <w:rFonts w:ascii="Arial Narrow" w:hAnsi="Arial Narrow"/>
              </w:rPr>
            </w:pPr>
          </w:p>
          <w:p w:rsidR="0033031F" w:rsidRPr="00D05F65" w:rsidRDefault="0033031F" w:rsidP="00D05F65">
            <w:pPr>
              <w:widowControl w:val="0"/>
              <w:autoSpaceDE w:val="0"/>
              <w:autoSpaceDN w:val="0"/>
              <w:adjustRightInd w:val="0"/>
              <w:snapToGrid w:val="0"/>
              <w:jc w:val="both"/>
              <w:rPr>
                <w:rFonts w:ascii="Arial Narrow" w:hAnsi="Arial Narrow" w:cs="ArialNarrow"/>
                <w:color w:val="000000"/>
              </w:rPr>
            </w:pPr>
            <w:r w:rsidRPr="00D05F65">
              <w:rPr>
                <w:rFonts w:ascii="Arial Narrow" w:hAnsi="Arial Narrow" w:cs="ArialNarrow"/>
                <w:color w:val="000000"/>
              </w:rPr>
              <w:t xml:space="preserve">Accordingly, the assessee shall provide the following information in Form No.10F: </w:t>
            </w:r>
          </w:p>
          <w:p w:rsidR="0033031F" w:rsidRPr="00D05F65" w:rsidRDefault="0033031F" w:rsidP="00FF6C82">
            <w:pPr>
              <w:pStyle w:val="ListParagraph"/>
              <w:widowControl w:val="0"/>
              <w:numPr>
                <w:ilvl w:val="0"/>
                <w:numId w:val="3"/>
              </w:numPr>
              <w:autoSpaceDE w:val="0"/>
              <w:autoSpaceDN w:val="0"/>
              <w:adjustRightInd w:val="0"/>
              <w:snapToGrid w:val="0"/>
              <w:ind w:left="743" w:hanging="383"/>
              <w:jc w:val="both"/>
              <w:rPr>
                <w:rFonts w:ascii="Arial Narrow" w:hAnsi="Arial Narrow"/>
              </w:rPr>
            </w:pPr>
            <w:r w:rsidRPr="00D05F65">
              <w:rPr>
                <w:rFonts w:ascii="Arial Narrow" w:hAnsi="Arial Narrow" w:cs="ArialNarrow"/>
                <w:color w:val="000000"/>
              </w:rPr>
              <w:t>Status (individual, company, firm etc.) of the assessee;</w:t>
            </w:r>
          </w:p>
          <w:p w:rsidR="0033031F" w:rsidRPr="00D05F65" w:rsidRDefault="0033031F" w:rsidP="00FF6C82">
            <w:pPr>
              <w:pStyle w:val="ListParagraph"/>
              <w:widowControl w:val="0"/>
              <w:numPr>
                <w:ilvl w:val="0"/>
                <w:numId w:val="3"/>
              </w:numPr>
              <w:autoSpaceDE w:val="0"/>
              <w:autoSpaceDN w:val="0"/>
              <w:adjustRightInd w:val="0"/>
              <w:snapToGrid w:val="0"/>
              <w:ind w:left="743" w:hanging="383"/>
              <w:jc w:val="both"/>
              <w:rPr>
                <w:rFonts w:ascii="Arial Narrow" w:hAnsi="Arial Narrow"/>
              </w:rPr>
            </w:pPr>
            <w:r w:rsidRPr="00D05F65">
              <w:rPr>
                <w:rFonts w:ascii="Arial Narrow" w:hAnsi="Arial Narrow" w:cs="ArialNarrow"/>
                <w:color w:val="000000"/>
              </w:rPr>
              <w:t>Nationality (in case of an individual) or country or specified territory of incorporation or registration (in case of others);</w:t>
            </w:r>
          </w:p>
          <w:p w:rsidR="0033031F" w:rsidRPr="00D05F65" w:rsidRDefault="0033031F" w:rsidP="00FF6C82">
            <w:pPr>
              <w:pStyle w:val="ListParagraph"/>
              <w:widowControl w:val="0"/>
              <w:numPr>
                <w:ilvl w:val="0"/>
                <w:numId w:val="3"/>
              </w:numPr>
              <w:autoSpaceDE w:val="0"/>
              <w:autoSpaceDN w:val="0"/>
              <w:adjustRightInd w:val="0"/>
              <w:snapToGrid w:val="0"/>
              <w:ind w:left="743" w:hanging="383"/>
              <w:jc w:val="both"/>
              <w:rPr>
                <w:rFonts w:ascii="Arial Narrow" w:hAnsi="Arial Narrow"/>
              </w:rPr>
            </w:pPr>
            <w:r w:rsidRPr="00D05F65">
              <w:rPr>
                <w:rFonts w:ascii="Arial Narrow" w:hAnsi="Arial Narrow" w:cs="ArialNarrow"/>
                <w:color w:val="000000"/>
              </w:rPr>
              <w:t>Assessee's tax identification number in the country or specified territory of residence and in case there is no such number, then, a unique number on the basis of which the person is identified by the Government of the country or the specified territory of which the assessee claims to be a resident;</w:t>
            </w:r>
          </w:p>
          <w:p w:rsidR="0033031F" w:rsidRPr="00D05F65" w:rsidRDefault="0033031F" w:rsidP="00FF6C82">
            <w:pPr>
              <w:pStyle w:val="ListParagraph"/>
              <w:widowControl w:val="0"/>
              <w:numPr>
                <w:ilvl w:val="0"/>
                <w:numId w:val="3"/>
              </w:numPr>
              <w:autoSpaceDE w:val="0"/>
              <w:autoSpaceDN w:val="0"/>
              <w:adjustRightInd w:val="0"/>
              <w:snapToGrid w:val="0"/>
              <w:ind w:left="743" w:hanging="383"/>
              <w:jc w:val="both"/>
              <w:rPr>
                <w:rFonts w:ascii="Arial Narrow" w:hAnsi="Arial Narrow"/>
              </w:rPr>
            </w:pPr>
            <w:r w:rsidRPr="00D05F65">
              <w:rPr>
                <w:rFonts w:ascii="Arial Narrow" w:hAnsi="Arial Narrow" w:cs="ArialNarrow"/>
                <w:color w:val="000000"/>
              </w:rPr>
              <w:t>Period for which the residential status, as mentioned in the certificate referred to in section 90(4) or section 90A(4), is applicable; and</w:t>
            </w:r>
          </w:p>
          <w:p w:rsidR="0033031F" w:rsidRPr="00D05F65" w:rsidRDefault="0033031F" w:rsidP="00D05F65">
            <w:pPr>
              <w:pStyle w:val="ListParagraph"/>
              <w:widowControl w:val="0"/>
              <w:numPr>
                <w:ilvl w:val="0"/>
                <w:numId w:val="3"/>
              </w:numPr>
              <w:autoSpaceDE w:val="0"/>
              <w:autoSpaceDN w:val="0"/>
              <w:adjustRightInd w:val="0"/>
              <w:snapToGrid w:val="0"/>
              <w:jc w:val="both"/>
              <w:rPr>
                <w:rFonts w:ascii="Arial Narrow" w:hAnsi="Arial Narrow"/>
              </w:rPr>
            </w:pPr>
            <w:r w:rsidRPr="00D05F65">
              <w:rPr>
                <w:rFonts w:ascii="Arial Narrow" w:hAnsi="Arial Narrow" w:cs="ArialNarrow"/>
                <w:color w:val="000000"/>
              </w:rPr>
              <w:t>Address of the assessee in the country or specified territory outside India, during the period for which the certificate, as mentioned in (iv) above, is applicable.</w:t>
            </w:r>
          </w:p>
        </w:tc>
      </w:tr>
      <w:tr w:rsidR="00BB3BEB" w:rsidRPr="00D05F65" w:rsidTr="00FF6C82">
        <w:tc>
          <w:tcPr>
            <w:tcW w:w="1384" w:type="dxa"/>
          </w:tcPr>
          <w:p w:rsidR="0033031F" w:rsidRPr="00D05F65" w:rsidRDefault="0033031F" w:rsidP="001D2576">
            <w:pPr>
              <w:rPr>
                <w:rFonts w:ascii="Arial Narrow" w:hAnsi="Arial Narrow"/>
              </w:rPr>
            </w:pPr>
            <w:r w:rsidRPr="00D05F65">
              <w:rPr>
                <w:rFonts w:ascii="Arial Narrow" w:hAnsi="Arial Narrow"/>
              </w:rPr>
              <w:t>73/2013 dt. 18.09.2013</w:t>
            </w:r>
          </w:p>
        </w:tc>
        <w:tc>
          <w:tcPr>
            <w:tcW w:w="9072" w:type="dxa"/>
          </w:tcPr>
          <w:p w:rsidR="0033031F" w:rsidRPr="00D05F65" w:rsidRDefault="0033031F" w:rsidP="00D05F65">
            <w:pPr>
              <w:widowControl w:val="0"/>
              <w:autoSpaceDE w:val="0"/>
              <w:autoSpaceDN w:val="0"/>
              <w:adjustRightInd w:val="0"/>
              <w:snapToGrid w:val="0"/>
              <w:jc w:val="both"/>
              <w:rPr>
                <w:rFonts w:ascii="Arial Narrow" w:hAnsi="Arial Narrow" w:cs="ArialNarrow Bold"/>
                <w:b/>
                <w:color w:val="000000"/>
                <w:u w:val="single"/>
              </w:rPr>
            </w:pPr>
            <w:r w:rsidRPr="00D05F65">
              <w:rPr>
                <w:rFonts w:ascii="Arial Narrow" w:hAnsi="Arial Narrow" w:cs="ArialNarrow Bold"/>
                <w:b/>
                <w:color w:val="000000"/>
                <w:u w:val="single"/>
              </w:rPr>
              <w:t xml:space="preserve">Notification of Safe Harbour Rules </w:t>
            </w:r>
          </w:p>
          <w:p w:rsidR="0033031F" w:rsidRPr="00D05F65" w:rsidRDefault="0033031F" w:rsidP="00D05F65">
            <w:pPr>
              <w:widowControl w:val="0"/>
              <w:autoSpaceDE w:val="0"/>
              <w:autoSpaceDN w:val="0"/>
              <w:adjustRightInd w:val="0"/>
              <w:snapToGrid w:val="0"/>
              <w:jc w:val="both"/>
              <w:rPr>
                <w:rFonts w:ascii="Arial Narrow" w:hAnsi="Arial Narrow" w:cs="ArialNarrow Bold"/>
                <w:color w:val="000000"/>
              </w:rPr>
            </w:pPr>
          </w:p>
          <w:p w:rsidR="0033031F" w:rsidRPr="00D05F65" w:rsidRDefault="0033031F" w:rsidP="00D05F65">
            <w:pPr>
              <w:widowControl w:val="0"/>
              <w:autoSpaceDE w:val="0"/>
              <w:autoSpaceDN w:val="0"/>
              <w:adjustRightInd w:val="0"/>
              <w:snapToGrid w:val="0"/>
              <w:jc w:val="both"/>
              <w:rPr>
                <w:rFonts w:ascii="Arial Narrow" w:hAnsi="Arial Narrow"/>
              </w:rPr>
            </w:pPr>
            <w:r w:rsidRPr="00D05F65">
              <w:rPr>
                <w:rFonts w:ascii="Arial Narrow" w:hAnsi="Arial Narrow" w:cs="ArialNarrow"/>
                <w:color w:val="000000"/>
              </w:rPr>
              <w:t>Section 92CB(1) provides that the determination of arm’s length price under section 92C or section 92CA shall be subject to safe harbour rules. Safe harbour means circumstances in which the income tax authorities shall accept the transfer price declared by the assessee.</w:t>
            </w:r>
          </w:p>
          <w:p w:rsidR="0033031F" w:rsidRPr="00D05F65" w:rsidRDefault="0033031F" w:rsidP="00D05F65">
            <w:pPr>
              <w:widowControl w:val="0"/>
              <w:autoSpaceDE w:val="0"/>
              <w:autoSpaceDN w:val="0"/>
              <w:adjustRightInd w:val="0"/>
              <w:snapToGrid w:val="0"/>
              <w:jc w:val="both"/>
              <w:rPr>
                <w:rFonts w:ascii="Arial Narrow" w:hAnsi="Arial Narrow" w:cs="ArialNarrow Bold"/>
                <w:color w:val="000000"/>
              </w:rPr>
            </w:pPr>
          </w:p>
          <w:p w:rsidR="0033031F" w:rsidRPr="00D05F65" w:rsidRDefault="0033031F" w:rsidP="00D05F65">
            <w:pPr>
              <w:widowControl w:val="0"/>
              <w:autoSpaceDE w:val="0"/>
              <w:autoSpaceDN w:val="0"/>
              <w:adjustRightInd w:val="0"/>
              <w:snapToGrid w:val="0"/>
              <w:jc w:val="both"/>
              <w:rPr>
                <w:rFonts w:ascii="Arial Narrow" w:hAnsi="Arial Narrow" w:cs="ArialNarrow"/>
                <w:color w:val="000000"/>
              </w:rPr>
            </w:pPr>
            <w:r w:rsidRPr="00D05F65">
              <w:rPr>
                <w:rFonts w:ascii="Arial Narrow" w:hAnsi="Arial Narrow" w:cs="ArialNarrow"/>
                <w:color w:val="000000"/>
              </w:rPr>
              <w:t>Section 92CB(2) empowers the CBDT to prescribe such safe harbour rules or circumstances under which the transfer price declared by the assessee shall be accepted by the Income-tax Authorities.</w:t>
            </w:r>
          </w:p>
          <w:p w:rsidR="0033031F" w:rsidRPr="00D05F65" w:rsidRDefault="0033031F" w:rsidP="00D05F65">
            <w:pPr>
              <w:widowControl w:val="0"/>
              <w:autoSpaceDE w:val="0"/>
              <w:autoSpaceDN w:val="0"/>
              <w:adjustRightInd w:val="0"/>
              <w:snapToGrid w:val="0"/>
              <w:jc w:val="both"/>
              <w:rPr>
                <w:rFonts w:ascii="Arial Narrow" w:hAnsi="Arial Narrow" w:cs="ArialNarrow"/>
                <w:color w:val="000000"/>
              </w:rPr>
            </w:pPr>
          </w:p>
          <w:p w:rsidR="0033031F" w:rsidRPr="00D05F65" w:rsidRDefault="0033031F" w:rsidP="00D05F65">
            <w:pPr>
              <w:widowControl w:val="0"/>
              <w:autoSpaceDE w:val="0"/>
              <w:autoSpaceDN w:val="0"/>
              <w:adjustRightInd w:val="0"/>
              <w:snapToGrid w:val="0"/>
              <w:jc w:val="both"/>
              <w:rPr>
                <w:rFonts w:ascii="Arial Narrow" w:hAnsi="Arial Narrow"/>
              </w:rPr>
            </w:pPr>
            <w:r w:rsidRPr="00D05F65">
              <w:rPr>
                <w:rFonts w:ascii="Arial Narrow" w:hAnsi="Arial Narrow" w:cs="ArialNarrow Bold"/>
                <w:color w:val="000000"/>
              </w:rPr>
              <w:t>Relevant rules are: Rule 10TD read with Rule 10TA, Rule 10TB and Rule 10TC</w:t>
            </w:r>
          </w:p>
          <w:p w:rsidR="0033031F" w:rsidRPr="00D05F65" w:rsidRDefault="0033031F" w:rsidP="00D05F65">
            <w:pPr>
              <w:widowControl w:val="0"/>
              <w:autoSpaceDE w:val="0"/>
              <w:autoSpaceDN w:val="0"/>
              <w:adjustRightInd w:val="0"/>
              <w:snapToGrid w:val="0"/>
              <w:jc w:val="both"/>
              <w:rPr>
                <w:rFonts w:ascii="Arial Narrow" w:hAnsi="Arial Narrow" w:cs="ArialNarrow Bold"/>
                <w:color w:val="000000"/>
              </w:rPr>
            </w:pPr>
          </w:p>
          <w:p w:rsidR="0033031F" w:rsidRPr="00D05F65" w:rsidRDefault="0033031F" w:rsidP="00D05F65">
            <w:pPr>
              <w:widowControl w:val="0"/>
              <w:autoSpaceDE w:val="0"/>
              <w:autoSpaceDN w:val="0"/>
              <w:adjustRightInd w:val="0"/>
              <w:snapToGrid w:val="0"/>
              <w:jc w:val="both"/>
              <w:rPr>
                <w:rFonts w:ascii="Arial Narrow" w:hAnsi="Arial Narrow" w:cs="ArialNarrow Bold"/>
                <w:b/>
                <w:color w:val="000000"/>
              </w:rPr>
            </w:pPr>
            <w:r w:rsidRPr="00D05F65">
              <w:rPr>
                <w:rFonts w:ascii="Arial Narrow" w:hAnsi="Arial Narrow" w:cs="ArialNarrow Bold"/>
                <w:b/>
                <w:color w:val="000000"/>
              </w:rPr>
              <w:t xml:space="preserve">(Students are advised to go through the complete set of rules mentioned above, in the opinion of author a practical question on applicability of safe harbor rules is important topic from exam point of view). </w:t>
            </w:r>
          </w:p>
          <w:p w:rsidR="0033031F" w:rsidRPr="00D05F65" w:rsidRDefault="0033031F" w:rsidP="00D05F65">
            <w:pPr>
              <w:widowControl w:val="0"/>
              <w:autoSpaceDE w:val="0"/>
              <w:autoSpaceDN w:val="0"/>
              <w:adjustRightInd w:val="0"/>
              <w:snapToGrid w:val="0"/>
              <w:jc w:val="both"/>
              <w:rPr>
                <w:rFonts w:ascii="Arial Narrow" w:hAnsi="Arial Narrow" w:cs="ArialNarrow Bold"/>
                <w:color w:val="000000"/>
              </w:rPr>
            </w:pPr>
          </w:p>
        </w:tc>
      </w:tr>
      <w:tr w:rsidR="00BB3BEB" w:rsidRPr="00D05F65" w:rsidTr="00FF6C82">
        <w:tc>
          <w:tcPr>
            <w:tcW w:w="1384" w:type="dxa"/>
          </w:tcPr>
          <w:p w:rsidR="0033031F" w:rsidRPr="00D05F65" w:rsidRDefault="0033031F" w:rsidP="001D2576">
            <w:pPr>
              <w:rPr>
                <w:rFonts w:ascii="Arial Narrow" w:hAnsi="Arial Narrow"/>
              </w:rPr>
            </w:pPr>
            <w:r w:rsidRPr="00D05F65">
              <w:rPr>
                <w:rFonts w:ascii="Arial Narrow" w:hAnsi="Arial Narrow"/>
              </w:rPr>
              <w:t>79/2013 dt. 07.10.2013</w:t>
            </w:r>
          </w:p>
        </w:tc>
        <w:tc>
          <w:tcPr>
            <w:tcW w:w="9072" w:type="dxa"/>
          </w:tcPr>
          <w:p w:rsidR="0033031F" w:rsidRPr="00D05F65" w:rsidRDefault="0033031F" w:rsidP="00D05F65">
            <w:pPr>
              <w:widowControl w:val="0"/>
              <w:autoSpaceDE w:val="0"/>
              <w:autoSpaceDN w:val="0"/>
              <w:adjustRightInd w:val="0"/>
              <w:snapToGrid w:val="0"/>
              <w:jc w:val="both"/>
              <w:rPr>
                <w:rFonts w:ascii="Arial Narrow" w:hAnsi="Arial Narrow" w:cs="ArialNarrow Bold"/>
                <w:color w:val="000000"/>
              </w:rPr>
            </w:pPr>
            <w:r w:rsidRPr="00D05F65">
              <w:rPr>
                <w:rFonts w:ascii="Arial Narrow" w:hAnsi="Arial Narrow" w:cs="ArialNarrow Bold"/>
                <w:color w:val="000000"/>
              </w:rPr>
              <w:t>Through this notification the Reverse Mortgage Scheme is amended to include within its scope, disbursement to an annuity sourcing institution for periodic payments by way of annuity to the Reverse Mortgagor</w:t>
            </w:r>
          </w:p>
          <w:p w:rsidR="0033031F" w:rsidRPr="00D05F65" w:rsidRDefault="0033031F" w:rsidP="00D05F65">
            <w:pPr>
              <w:widowControl w:val="0"/>
              <w:autoSpaceDE w:val="0"/>
              <w:autoSpaceDN w:val="0"/>
              <w:adjustRightInd w:val="0"/>
              <w:snapToGrid w:val="0"/>
              <w:jc w:val="both"/>
              <w:rPr>
                <w:rFonts w:ascii="Arial Narrow" w:hAnsi="Arial Narrow"/>
              </w:rPr>
            </w:pPr>
          </w:p>
        </w:tc>
      </w:tr>
      <w:tr w:rsidR="00BB3BEB" w:rsidRPr="00D05F65" w:rsidTr="00FF6C82">
        <w:tc>
          <w:tcPr>
            <w:tcW w:w="1384" w:type="dxa"/>
          </w:tcPr>
          <w:p w:rsidR="0033031F" w:rsidRPr="00D05F65" w:rsidRDefault="0033031F" w:rsidP="001D2576">
            <w:pPr>
              <w:rPr>
                <w:rFonts w:ascii="Arial Narrow" w:hAnsi="Arial Narrow"/>
                <w:b/>
              </w:rPr>
            </w:pPr>
            <w:r w:rsidRPr="00D05F65">
              <w:rPr>
                <w:rFonts w:ascii="Arial Narrow" w:hAnsi="Arial Narrow"/>
                <w:b/>
              </w:rPr>
              <w:t>86/2013 01.11.2013</w:t>
            </w:r>
          </w:p>
          <w:p w:rsidR="0033031F" w:rsidRPr="00D05F65" w:rsidRDefault="0033031F" w:rsidP="001D2576">
            <w:pPr>
              <w:rPr>
                <w:rFonts w:ascii="Arial Narrow" w:hAnsi="Arial Narrow"/>
                <w:b/>
              </w:rPr>
            </w:pPr>
          </w:p>
        </w:tc>
        <w:tc>
          <w:tcPr>
            <w:tcW w:w="9072" w:type="dxa"/>
          </w:tcPr>
          <w:p w:rsidR="0033031F" w:rsidRPr="00D05F65" w:rsidRDefault="0033031F" w:rsidP="00D05F65">
            <w:pPr>
              <w:widowControl w:val="0"/>
              <w:autoSpaceDE w:val="0"/>
              <w:autoSpaceDN w:val="0"/>
              <w:adjustRightInd w:val="0"/>
              <w:snapToGrid w:val="0"/>
              <w:jc w:val="both"/>
              <w:rPr>
                <w:rFonts w:ascii="Arial Narrow" w:hAnsi="Arial Narrow"/>
                <w:b/>
              </w:rPr>
            </w:pPr>
            <w:r w:rsidRPr="00D05F65">
              <w:rPr>
                <w:rFonts w:ascii="Arial Narrow" w:hAnsi="Arial Narrow" w:cs="ArialNarrow Bold"/>
                <w:b/>
                <w:color w:val="000000"/>
              </w:rPr>
              <w:t xml:space="preserve">Notification of </w:t>
            </w:r>
            <w:r w:rsidRPr="00D05F65">
              <w:rPr>
                <w:rFonts w:ascii="Arial Narrow" w:hAnsi="Arial Narrow" w:cs="ArialNarrow Bold"/>
                <w:b/>
                <w:color w:val="000000"/>
                <w:u w:val="single"/>
              </w:rPr>
              <w:t>‘Cyprus’</w:t>
            </w:r>
            <w:r w:rsidRPr="00D05F65">
              <w:rPr>
                <w:rFonts w:ascii="Arial Narrow" w:hAnsi="Arial Narrow" w:cs="ArialNarrow Bold"/>
                <w:b/>
                <w:color w:val="000000"/>
              </w:rPr>
              <w:t xml:space="preserve"> as a Notified Jurisdictional Area under section 94A. </w:t>
            </w:r>
          </w:p>
          <w:p w:rsidR="0033031F" w:rsidRPr="00D05F65" w:rsidRDefault="0033031F" w:rsidP="00D05F65">
            <w:pPr>
              <w:widowControl w:val="0"/>
              <w:autoSpaceDE w:val="0"/>
              <w:autoSpaceDN w:val="0"/>
              <w:adjustRightInd w:val="0"/>
              <w:snapToGrid w:val="0"/>
              <w:jc w:val="both"/>
              <w:rPr>
                <w:rFonts w:ascii="Arial Narrow" w:hAnsi="Arial Narrow" w:cs="ArialNarrow Bold"/>
                <w:color w:val="000000"/>
              </w:rPr>
            </w:pPr>
          </w:p>
        </w:tc>
      </w:tr>
      <w:tr w:rsidR="00BB3BEB" w:rsidRPr="00D05F65" w:rsidTr="00FF6C82">
        <w:tc>
          <w:tcPr>
            <w:tcW w:w="1384" w:type="dxa"/>
          </w:tcPr>
          <w:p w:rsidR="0033031F" w:rsidRPr="00D05F65" w:rsidRDefault="0033031F" w:rsidP="001D2576">
            <w:pPr>
              <w:rPr>
                <w:rFonts w:ascii="Arial Narrow" w:hAnsi="Arial Narrow"/>
              </w:rPr>
            </w:pPr>
            <w:r w:rsidRPr="00D05F65">
              <w:rPr>
                <w:rFonts w:ascii="Arial Narrow" w:hAnsi="Arial Narrow"/>
              </w:rPr>
              <w:t>94/2013 dt. 18.12.2013</w:t>
            </w:r>
          </w:p>
        </w:tc>
        <w:tc>
          <w:tcPr>
            <w:tcW w:w="9072" w:type="dxa"/>
          </w:tcPr>
          <w:p w:rsidR="0033031F" w:rsidRPr="00D05F65" w:rsidRDefault="0033031F" w:rsidP="00D05F65">
            <w:pPr>
              <w:widowControl w:val="0"/>
              <w:autoSpaceDE w:val="0"/>
              <w:autoSpaceDN w:val="0"/>
              <w:adjustRightInd w:val="0"/>
              <w:snapToGrid w:val="0"/>
              <w:jc w:val="both"/>
              <w:rPr>
                <w:rFonts w:ascii="Arial Narrow" w:hAnsi="Arial Narrow" w:cs="ArialNarrow Bold"/>
                <w:color w:val="000000"/>
              </w:rPr>
            </w:pPr>
            <w:r w:rsidRPr="00D05F65">
              <w:rPr>
                <w:rFonts w:ascii="Arial Narrow" w:hAnsi="Arial Narrow" w:cs="ArialNarrow Bold"/>
                <w:color w:val="000000"/>
              </w:rPr>
              <w:t>Though this notification the Central Government has notified the amended Rajiv Gandhi Equity Saving Scheme 2013 for claiming deduction under section 80CCG of the Income Tax Act 1961.</w:t>
            </w:r>
          </w:p>
          <w:p w:rsidR="0033031F" w:rsidRPr="00D05F65" w:rsidRDefault="0033031F" w:rsidP="00D05F65">
            <w:pPr>
              <w:widowControl w:val="0"/>
              <w:autoSpaceDE w:val="0"/>
              <w:autoSpaceDN w:val="0"/>
              <w:adjustRightInd w:val="0"/>
              <w:snapToGrid w:val="0"/>
              <w:jc w:val="both"/>
              <w:rPr>
                <w:rFonts w:ascii="Arial Narrow" w:hAnsi="Arial Narrow" w:cs="ArialNarrow Bold"/>
                <w:color w:val="000000"/>
              </w:rPr>
            </w:pPr>
          </w:p>
        </w:tc>
      </w:tr>
      <w:tr w:rsidR="00BB3BEB" w:rsidRPr="00D05F65" w:rsidTr="00FF6C82">
        <w:tc>
          <w:tcPr>
            <w:tcW w:w="1384" w:type="dxa"/>
          </w:tcPr>
          <w:p w:rsidR="0033031F" w:rsidRPr="00D05F65" w:rsidRDefault="0033031F" w:rsidP="001D2576">
            <w:pPr>
              <w:rPr>
                <w:rFonts w:ascii="Arial Narrow" w:hAnsi="Arial Narrow"/>
              </w:rPr>
            </w:pPr>
            <w:r w:rsidRPr="00D05F65">
              <w:rPr>
                <w:rFonts w:ascii="Arial Narrow" w:hAnsi="Arial Narrow"/>
              </w:rPr>
              <w:t>18/2014 dt. 21.03.2014</w:t>
            </w:r>
          </w:p>
        </w:tc>
        <w:tc>
          <w:tcPr>
            <w:tcW w:w="9072" w:type="dxa"/>
          </w:tcPr>
          <w:p w:rsidR="0033031F" w:rsidRPr="00D05F65" w:rsidRDefault="0033031F" w:rsidP="00D05F65">
            <w:pPr>
              <w:jc w:val="both"/>
              <w:rPr>
                <w:rFonts w:ascii="Arial Narrow" w:hAnsi="Arial Narrow"/>
              </w:rPr>
            </w:pPr>
            <w:r w:rsidRPr="00D05F65">
              <w:rPr>
                <w:rFonts w:ascii="Arial Narrow" w:hAnsi="Arial Narrow"/>
              </w:rPr>
              <w:t xml:space="preserve">Through this notification the Central Government has prescribed the conditions and guidelines for approval of an Agriculture Extension Project eligible for weighted deduction of 150% under section 35CCC of the Income Tax Act 1961. </w:t>
            </w:r>
          </w:p>
          <w:p w:rsidR="0033031F" w:rsidRPr="00D05F65" w:rsidRDefault="0033031F" w:rsidP="001D2576">
            <w:pPr>
              <w:rPr>
                <w:rFonts w:ascii="Arial Narrow" w:hAnsi="Arial Narrow"/>
              </w:rPr>
            </w:pPr>
          </w:p>
        </w:tc>
      </w:tr>
      <w:tr w:rsidR="00BB3BEB" w:rsidRPr="00D05F65" w:rsidTr="00FF6C82">
        <w:tc>
          <w:tcPr>
            <w:tcW w:w="1384" w:type="dxa"/>
          </w:tcPr>
          <w:p w:rsidR="0033031F" w:rsidRPr="00D05F65" w:rsidRDefault="0033031F" w:rsidP="00D05F65">
            <w:pPr>
              <w:jc w:val="both"/>
              <w:rPr>
                <w:rFonts w:ascii="Arial Narrow" w:hAnsi="Arial Narrow"/>
                <w:b/>
              </w:rPr>
            </w:pPr>
            <w:r w:rsidRPr="00D05F65">
              <w:rPr>
                <w:rFonts w:ascii="Arial Narrow" w:hAnsi="Arial Narrow"/>
                <w:b/>
              </w:rPr>
              <w:t>31/2014 dt. 11.06.2014</w:t>
            </w:r>
          </w:p>
          <w:p w:rsidR="0033031F" w:rsidRPr="00D05F65" w:rsidRDefault="0033031F" w:rsidP="001D2576">
            <w:pPr>
              <w:rPr>
                <w:rFonts w:ascii="Arial Narrow" w:hAnsi="Arial Narrow"/>
              </w:rPr>
            </w:pPr>
          </w:p>
        </w:tc>
        <w:tc>
          <w:tcPr>
            <w:tcW w:w="9072" w:type="dxa"/>
          </w:tcPr>
          <w:p w:rsidR="0033031F" w:rsidRPr="00D05F65" w:rsidRDefault="0033031F" w:rsidP="00D05F65">
            <w:pPr>
              <w:jc w:val="both"/>
              <w:rPr>
                <w:rFonts w:ascii="Arial Narrow" w:hAnsi="Arial Narrow"/>
                <w:b/>
              </w:rPr>
            </w:pPr>
            <w:r w:rsidRPr="00D05F65">
              <w:rPr>
                <w:rFonts w:ascii="Arial Narrow" w:hAnsi="Arial Narrow"/>
                <w:b/>
              </w:rPr>
              <w:t>Cost Inflation Index for FY 2014-15 is notified as 1024</w:t>
            </w:r>
          </w:p>
        </w:tc>
      </w:tr>
      <w:tr w:rsidR="00BB3BEB" w:rsidRPr="00D05F65" w:rsidTr="00FF6C82">
        <w:tc>
          <w:tcPr>
            <w:tcW w:w="1384" w:type="dxa"/>
          </w:tcPr>
          <w:p w:rsidR="0033031F" w:rsidRPr="00D05F65" w:rsidRDefault="0033031F" w:rsidP="001D2576">
            <w:pPr>
              <w:rPr>
                <w:rFonts w:ascii="Arial Narrow" w:hAnsi="Arial Narrow"/>
                <w:b/>
              </w:rPr>
            </w:pPr>
            <w:r w:rsidRPr="00D05F65">
              <w:rPr>
                <w:rFonts w:ascii="Arial Narrow" w:hAnsi="Arial Narrow"/>
                <w:b/>
              </w:rPr>
              <w:t>GSR 588 (E) dt. 13.08.2014</w:t>
            </w:r>
          </w:p>
          <w:p w:rsidR="0033031F" w:rsidRPr="00D05F65" w:rsidRDefault="0033031F" w:rsidP="001D2576">
            <w:pPr>
              <w:rPr>
                <w:rFonts w:ascii="Arial Narrow" w:hAnsi="Arial Narrow"/>
              </w:rPr>
            </w:pPr>
          </w:p>
        </w:tc>
        <w:tc>
          <w:tcPr>
            <w:tcW w:w="9072" w:type="dxa"/>
          </w:tcPr>
          <w:p w:rsidR="0033031F" w:rsidRPr="00D05F65" w:rsidRDefault="0033031F" w:rsidP="00D05F65">
            <w:pPr>
              <w:jc w:val="both"/>
              <w:rPr>
                <w:rFonts w:ascii="Arial Narrow" w:hAnsi="Arial Narrow"/>
                <w:b/>
              </w:rPr>
            </w:pPr>
            <w:r w:rsidRPr="00D05F65">
              <w:rPr>
                <w:rFonts w:ascii="Arial Narrow" w:hAnsi="Arial Narrow"/>
                <w:b/>
              </w:rPr>
              <w:t>Ciling limit for investment in PPF account increased from Rs. 1 lac to Rs. 1.5 lacs.</w:t>
            </w:r>
          </w:p>
        </w:tc>
      </w:tr>
      <w:tr w:rsidR="00BB3BEB" w:rsidRPr="00D05F65" w:rsidTr="00FF6C82">
        <w:tc>
          <w:tcPr>
            <w:tcW w:w="1384" w:type="dxa"/>
          </w:tcPr>
          <w:p w:rsidR="0033031F" w:rsidRPr="00D05F65" w:rsidRDefault="0033031F" w:rsidP="001D2576">
            <w:pPr>
              <w:rPr>
                <w:rFonts w:ascii="Arial Narrow" w:hAnsi="Arial Narrow"/>
                <w:b/>
              </w:rPr>
            </w:pPr>
            <w:r w:rsidRPr="00D05F65">
              <w:rPr>
                <w:rFonts w:ascii="Arial Narrow" w:hAnsi="Arial Narrow"/>
                <w:b/>
              </w:rPr>
              <w:t>43/2014 dt. 16.09.2014</w:t>
            </w:r>
          </w:p>
          <w:p w:rsidR="00D05F65" w:rsidRPr="00D05F65" w:rsidRDefault="00D05F65" w:rsidP="001D2576">
            <w:pPr>
              <w:rPr>
                <w:rFonts w:ascii="Arial Narrow" w:hAnsi="Arial Narrow"/>
                <w:b/>
              </w:rPr>
            </w:pPr>
          </w:p>
        </w:tc>
        <w:tc>
          <w:tcPr>
            <w:tcW w:w="9072" w:type="dxa"/>
          </w:tcPr>
          <w:p w:rsidR="0033031F" w:rsidRPr="00D05F65" w:rsidRDefault="0033031F" w:rsidP="00D05F65">
            <w:pPr>
              <w:jc w:val="left"/>
              <w:rPr>
                <w:rFonts w:ascii="Arial Narrow" w:hAnsi="Arial Narrow"/>
                <w:b/>
              </w:rPr>
            </w:pPr>
            <w:r w:rsidRPr="00D05F65">
              <w:rPr>
                <w:rFonts w:ascii="Arial Narrow" w:hAnsi="Arial Narrow"/>
                <w:b/>
              </w:rPr>
              <w:t>Windmills installed on &amp; after 1.4.2014 shall be entitled to a depreciation rate of 80%</w:t>
            </w:r>
          </w:p>
          <w:p w:rsidR="0033031F" w:rsidRPr="00D05F65" w:rsidRDefault="0033031F" w:rsidP="001D2576">
            <w:pPr>
              <w:rPr>
                <w:rFonts w:ascii="Arial Narrow" w:hAnsi="Arial Narrow"/>
              </w:rPr>
            </w:pPr>
          </w:p>
        </w:tc>
      </w:tr>
      <w:tr w:rsidR="00BB3BEB" w:rsidRPr="00D05F65" w:rsidTr="00FF6C82">
        <w:tc>
          <w:tcPr>
            <w:tcW w:w="1384" w:type="dxa"/>
          </w:tcPr>
          <w:p w:rsidR="0033031F" w:rsidRPr="00D05F65" w:rsidRDefault="0033031F" w:rsidP="001D2576">
            <w:pPr>
              <w:rPr>
                <w:rFonts w:ascii="Arial Narrow" w:hAnsi="Arial Narrow"/>
              </w:rPr>
            </w:pPr>
            <w:r w:rsidRPr="00D05F65">
              <w:rPr>
                <w:rFonts w:ascii="Arial Narrow" w:hAnsi="Arial Narrow"/>
              </w:rPr>
              <w:t>64/2013 dt.19.08.2013</w:t>
            </w:r>
          </w:p>
        </w:tc>
        <w:tc>
          <w:tcPr>
            <w:tcW w:w="9072" w:type="dxa"/>
          </w:tcPr>
          <w:p w:rsidR="0033031F" w:rsidRPr="00D05F65" w:rsidRDefault="0033031F" w:rsidP="00D05F65">
            <w:pPr>
              <w:widowControl w:val="0"/>
              <w:autoSpaceDE w:val="0"/>
              <w:autoSpaceDN w:val="0"/>
              <w:adjustRightInd w:val="0"/>
              <w:snapToGrid w:val="0"/>
              <w:jc w:val="both"/>
              <w:rPr>
                <w:rFonts w:ascii="Arial Narrow" w:hAnsi="Arial Narrow"/>
              </w:rPr>
            </w:pPr>
            <w:r w:rsidRPr="00D05F65">
              <w:rPr>
                <w:rFonts w:ascii="Arial Narrow" w:hAnsi="Arial Narrow" w:cs="ArialNarrow"/>
                <w:color w:val="000000"/>
              </w:rPr>
              <w:t>Income received by a foreign company in India in Indian currency from sale of crude oil, any other goods or rendering of services, as may be notified by the  Central Government in this behalf, to any person in India is exempt under section 10(48). For this purpose, the foreign company, as well as the arrangement or agreement, should be notified by the Central Government having regard to the national interest. The foreign company should not be engaged in any other activity in India, except receipt of income under such arrangement or agreement.</w:t>
            </w:r>
          </w:p>
          <w:p w:rsidR="0033031F" w:rsidRPr="00D05F65" w:rsidRDefault="0033031F" w:rsidP="00D05F65">
            <w:pPr>
              <w:widowControl w:val="0"/>
              <w:autoSpaceDE w:val="0"/>
              <w:autoSpaceDN w:val="0"/>
              <w:adjustRightInd w:val="0"/>
              <w:snapToGrid w:val="0"/>
              <w:jc w:val="both"/>
              <w:rPr>
                <w:rFonts w:ascii="Arial Narrow" w:hAnsi="Arial Narrow" w:cs="ArialNarrow"/>
                <w:color w:val="000000"/>
              </w:rPr>
            </w:pPr>
          </w:p>
          <w:p w:rsidR="0033031F" w:rsidRPr="00D05F65" w:rsidRDefault="0033031F" w:rsidP="00D05F65">
            <w:pPr>
              <w:widowControl w:val="0"/>
              <w:autoSpaceDE w:val="0"/>
              <w:autoSpaceDN w:val="0"/>
              <w:adjustRightInd w:val="0"/>
              <w:snapToGrid w:val="0"/>
              <w:jc w:val="both"/>
              <w:rPr>
                <w:rFonts w:ascii="Arial Narrow" w:hAnsi="Arial Narrow"/>
              </w:rPr>
            </w:pPr>
            <w:r w:rsidRPr="00D05F65">
              <w:rPr>
                <w:rFonts w:ascii="Arial Narrow" w:hAnsi="Arial Narrow" w:cs="ArialNarrow"/>
                <w:color w:val="000000"/>
              </w:rPr>
              <w:t>The Central Government, having regard to the national interest, has notified for the purposes of the said clause, the National Iranian Oil Company, as the foreign  company and the Memorandum of Understanding entered between the Government of India in the Ministry of Petroleum and Natural Gas and the Central Bank of Iran on the 20th January, 2013, as the agreement subject to the condition that the said foreign company shall not engage in any activity in India , other than the receipt of income under the agreement aforesaid.</w:t>
            </w:r>
          </w:p>
          <w:p w:rsidR="0033031F" w:rsidRPr="00D05F65" w:rsidRDefault="0033031F" w:rsidP="001D2576">
            <w:pPr>
              <w:rPr>
                <w:rFonts w:ascii="Arial Narrow" w:hAnsi="Arial Narrow"/>
              </w:rPr>
            </w:pPr>
          </w:p>
        </w:tc>
      </w:tr>
    </w:tbl>
    <w:p w:rsidR="00095F6A" w:rsidRDefault="00095F6A" w:rsidP="0033031F">
      <w:pPr>
        <w:jc w:val="left"/>
        <w:rPr>
          <w:rFonts w:ascii="Arial Narrow" w:hAnsi="Arial Narrow"/>
          <w:b/>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4"/>
        <w:gridCol w:w="3402"/>
        <w:gridCol w:w="1842"/>
        <w:gridCol w:w="4678"/>
      </w:tblGrid>
      <w:tr w:rsidR="00FF6C82" w:rsidRPr="00446085" w:rsidTr="00FF6C82">
        <w:tc>
          <w:tcPr>
            <w:tcW w:w="10456" w:type="dxa"/>
            <w:gridSpan w:val="4"/>
            <w:shd w:val="clear" w:color="auto" w:fill="C4BC96"/>
          </w:tcPr>
          <w:p w:rsidR="00FF6C82" w:rsidRPr="00FF6C82" w:rsidRDefault="00FF6C82" w:rsidP="00FB07EE">
            <w:pPr>
              <w:rPr>
                <w:rFonts w:ascii="Arial Narrow" w:hAnsi="Arial Narrow"/>
                <w:b/>
                <w:sz w:val="28"/>
                <w:szCs w:val="28"/>
              </w:rPr>
            </w:pPr>
            <w:r w:rsidRPr="00FF6C82">
              <w:rPr>
                <w:rFonts w:ascii="Arial Narrow" w:hAnsi="Arial Narrow"/>
                <w:b/>
                <w:sz w:val="28"/>
                <w:szCs w:val="28"/>
              </w:rPr>
              <w:t>CASE LAWS for NOV 2015 Attempt : RTP Material</w:t>
            </w:r>
          </w:p>
        </w:tc>
      </w:tr>
      <w:tr w:rsidR="00446085" w:rsidRPr="00446085" w:rsidTr="00DB75EF">
        <w:tc>
          <w:tcPr>
            <w:tcW w:w="534" w:type="dxa"/>
          </w:tcPr>
          <w:p w:rsidR="00446085" w:rsidRPr="00446085" w:rsidRDefault="00446085" w:rsidP="00FB07EE">
            <w:pPr>
              <w:rPr>
                <w:rFonts w:ascii="Arial Narrow" w:hAnsi="Arial Narrow"/>
              </w:rPr>
            </w:pPr>
            <w:r w:rsidRPr="00446085">
              <w:rPr>
                <w:rFonts w:ascii="Arial Narrow" w:hAnsi="Arial Narrow"/>
              </w:rPr>
              <w:t>1</w:t>
            </w:r>
          </w:p>
        </w:tc>
        <w:tc>
          <w:tcPr>
            <w:tcW w:w="3402" w:type="dxa"/>
          </w:tcPr>
          <w:p w:rsidR="00446085" w:rsidRPr="00446085" w:rsidRDefault="00446085" w:rsidP="00FF6C82">
            <w:pPr>
              <w:jc w:val="both"/>
              <w:rPr>
                <w:rFonts w:ascii="Arial Narrow" w:hAnsi="Arial Narrow"/>
              </w:rPr>
            </w:pPr>
            <w:r w:rsidRPr="00446085">
              <w:rPr>
                <w:rFonts w:ascii="Arial Narrow" w:hAnsi="Arial Narrow"/>
              </w:rPr>
              <w:t xml:space="preserve">Can capital contribution of the individual partners credited to their accounts in the books of the firm be taxed as cash credit in the hands </w:t>
            </w:r>
            <w:bookmarkStart w:id="0" w:name="_GoBack"/>
            <w:bookmarkEnd w:id="0"/>
            <w:r w:rsidRPr="00446085">
              <w:rPr>
                <w:rFonts w:ascii="Arial Narrow" w:hAnsi="Arial Narrow"/>
              </w:rPr>
              <w:t>of the firm, where the partners have admitted their capital contribution but failed to explain satisfactorily the source of receipt in their individual hands?</w:t>
            </w:r>
          </w:p>
          <w:p w:rsidR="00446085" w:rsidRPr="00446085" w:rsidRDefault="00446085" w:rsidP="00FF6C82">
            <w:pPr>
              <w:jc w:val="both"/>
              <w:rPr>
                <w:rFonts w:ascii="Arial Narrow" w:hAnsi="Arial Narrow"/>
              </w:rPr>
            </w:pPr>
          </w:p>
        </w:tc>
        <w:tc>
          <w:tcPr>
            <w:tcW w:w="1842" w:type="dxa"/>
          </w:tcPr>
          <w:p w:rsidR="00446085" w:rsidRPr="005224FC" w:rsidRDefault="00446085" w:rsidP="00FB07EE">
            <w:pPr>
              <w:rPr>
                <w:rFonts w:ascii="Arial Narrow" w:hAnsi="Arial Narrow"/>
                <w:b/>
                <w:i/>
                <w:iCs/>
              </w:rPr>
            </w:pPr>
            <w:r w:rsidRPr="005224FC">
              <w:rPr>
                <w:rFonts w:ascii="Arial Narrow" w:hAnsi="Arial Narrow"/>
                <w:b/>
                <w:i/>
                <w:iCs/>
              </w:rPr>
              <w:t>CIT v. M.Venkateswara Rao (T &amp; AP High Court)</w:t>
            </w:r>
          </w:p>
        </w:tc>
        <w:tc>
          <w:tcPr>
            <w:tcW w:w="4678" w:type="dxa"/>
          </w:tcPr>
          <w:p w:rsidR="00446085" w:rsidRPr="00446085" w:rsidRDefault="00446085" w:rsidP="00FF6C82">
            <w:pPr>
              <w:jc w:val="both"/>
              <w:rPr>
                <w:rFonts w:ascii="Arial Narrow" w:hAnsi="Arial Narrow"/>
              </w:rPr>
            </w:pPr>
            <w:r w:rsidRPr="00446085">
              <w:rPr>
                <w:rFonts w:ascii="Arial Narrow" w:hAnsi="Arial Narrow"/>
              </w:rPr>
              <w:t>The High Court held that the view taken by the Assessing Officer that the partnership firm has to explain the source of income of the partners as regards the amount contributed by them towards capital of the firm, in the absence of which the same would be treated as the income of the firm, was not tenable.</w:t>
            </w:r>
          </w:p>
          <w:p w:rsidR="00446085" w:rsidRPr="00446085" w:rsidRDefault="00446085" w:rsidP="00FF6C82">
            <w:pPr>
              <w:jc w:val="both"/>
              <w:rPr>
                <w:rFonts w:ascii="Arial Narrow" w:hAnsi="Arial Narrow"/>
              </w:rPr>
            </w:pPr>
          </w:p>
        </w:tc>
      </w:tr>
      <w:tr w:rsidR="00446085" w:rsidRPr="00446085" w:rsidTr="00DB75EF">
        <w:tc>
          <w:tcPr>
            <w:tcW w:w="534" w:type="dxa"/>
          </w:tcPr>
          <w:p w:rsidR="00446085" w:rsidRPr="00446085" w:rsidRDefault="00446085" w:rsidP="00FB07EE">
            <w:pPr>
              <w:rPr>
                <w:rFonts w:ascii="Arial Narrow" w:hAnsi="Arial Narrow"/>
              </w:rPr>
            </w:pPr>
            <w:r w:rsidRPr="00446085">
              <w:rPr>
                <w:rFonts w:ascii="Arial Narrow" w:hAnsi="Arial Narrow"/>
              </w:rPr>
              <w:t>2</w:t>
            </w:r>
          </w:p>
        </w:tc>
        <w:tc>
          <w:tcPr>
            <w:tcW w:w="3402" w:type="dxa"/>
          </w:tcPr>
          <w:p w:rsidR="00446085" w:rsidRPr="00446085" w:rsidRDefault="00446085" w:rsidP="00FF6C82">
            <w:pPr>
              <w:jc w:val="both"/>
              <w:rPr>
                <w:rFonts w:ascii="Arial Narrow" w:hAnsi="Arial Narrow"/>
              </w:rPr>
            </w:pPr>
            <w:r w:rsidRPr="00446085">
              <w:rPr>
                <w:rFonts w:ascii="Arial Narrow" w:hAnsi="Arial Narrow"/>
              </w:rPr>
              <w:t>In a case where properties bequeathed to a trust could not be transferred to it due to ongoing court litigation and pendency of probate proceedings, can violation o f the provisions of section 11(5) be attracted?</w:t>
            </w:r>
          </w:p>
          <w:p w:rsidR="00446085" w:rsidRPr="00446085" w:rsidRDefault="00446085" w:rsidP="00FF6C82">
            <w:pPr>
              <w:jc w:val="both"/>
              <w:rPr>
                <w:rFonts w:ascii="Arial Narrow" w:hAnsi="Arial Narrow"/>
              </w:rPr>
            </w:pPr>
          </w:p>
        </w:tc>
        <w:tc>
          <w:tcPr>
            <w:tcW w:w="1842" w:type="dxa"/>
          </w:tcPr>
          <w:p w:rsidR="00446085" w:rsidRPr="00446085" w:rsidRDefault="00446085" w:rsidP="00FB07EE">
            <w:pPr>
              <w:rPr>
                <w:rFonts w:ascii="Arial Narrow" w:hAnsi="Arial Narrow"/>
                <w:i/>
                <w:iCs/>
              </w:rPr>
            </w:pPr>
            <w:r w:rsidRPr="00446085">
              <w:rPr>
                <w:rFonts w:ascii="Arial Narrow" w:hAnsi="Arial Narrow"/>
                <w:i/>
                <w:iCs/>
              </w:rPr>
              <w:t>DIT (Exemption) v. Khetri Trust (Del High Court)</w:t>
            </w:r>
          </w:p>
        </w:tc>
        <w:tc>
          <w:tcPr>
            <w:tcW w:w="4678" w:type="dxa"/>
          </w:tcPr>
          <w:p w:rsidR="00446085" w:rsidRPr="00446085" w:rsidRDefault="00446085" w:rsidP="00FF6C82">
            <w:pPr>
              <w:jc w:val="both"/>
              <w:rPr>
                <w:rFonts w:ascii="Arial Narrow" w:hAnsi="Arial Narrow"/>
              </w:rPr>
            </w:pPr>
            <w:r w:rsidRPr="00446085">
              <w:rPr>
                <w:rFonts w:ascii="Arial Narrow" w:hAnsi="Arial Narrow"/>
              </w:rPr>
              <w:t>The High Court, held that there was no violation of section 11(5) in this case.</w:t>
            </w:r>
          </w:p>
        </w:tc>
      </w:tr>
      <w:tr w:rsidR="00446085" w:rsidRPr="00446085" w:rsidTr="00DB75EF">
        <w:tc>
          <w:tcPr>
            <w:tcW w:w="534" w:type="dxa"/>
          </w:tcPr>
          <w:p w:rsidR="00446085" w:rsidRPr="00446085" w:rsidRDefault="00446085" w:rsidP="00FB07EE">
            <w:pPr>
              <w:rPr>
                <w:rFonts w:ascii="Arial Narrow" w:hAnsi="Arial Narrow"/>
              </w:rPr>
            </w:pPr>
            <w:r w:rsidRPr="00446085">
              <w:rPr>
                <w:rFonts w:ascii="Arial Narrow" w:hAnsi="Arial Narrow"/>
              </w:rPr>
              <w:t>3</w:t>
            </w:r>
          </w:p>
        </w:tc>
        <w:tc>
          <w:tcPr>
            <w:tcW w:w="3402" w:type="dxa"/>
          </w:tcPr>
          <w:p w:rsidR="00446085" w:rsidRPr="00446085" w:rsidRDefault="00446085" w:rsidP="00FF6C82">
            <w:pPr>
              <w:jc w:val="both"/>
              <w:rPr>
                <w:rFonts w:ascii="Arial Narrow" w:hAnsi="Arial Narrow"/>
              </w:rPr>
            </w:pPr>
            <w:r w:rsidRPr="00446085">
              <w:rPr>
                <w:rFonts w:ascii="Arial Narrow" w:hAnsi="Arial Narrow"/>
              </w:rPr>
              <w:t>Is the approval of Civil Court mandatory for amendment of trust deed, even in a case where the settler has given power to the trustees to alter the trust deed?</w:t>
            </w:r>
          </w:p>
        </w:tc>
        <w:tc>
          <w:tcPr>
            <w:tcW w:w="1842" w:type="dxa"/>
          </w:tcPr>
          <w:p w:rsidR="00446085" w:rsidRPr="00446085" w:rsidRDefault="00446085" w:rsidP="00FB07EE">
            <w:pPr>
              <w:rPr>
                <w:rFonts w:ascii="Arial Narrow" w:hAnsi="Arial Narrow"/>
                <w:i/>
                <w:iCs/>
              </w:rPr>
            </w:pPr>
            <w:r w:rsidRPr="00446085">
              <w:rPr>
                <w:rFonts w:ascii="Arial Narrow" w:hAnsi="Arial Narrow"/>
                <w:i/>
                <w:iCs/>
              </w:rPr>
              <w:t>DIT (Exemptions) v. Ramoji Foundation(AP High Court)</w:t>
            </w:r>
          </w:p>
        </w:tc>
        <w:tc>
          <w:tcPr>
            <w:tcW w:w="4678" w:type="dxa"/>
          </w:tcPr>
          <w:p w:rsidR="00446085" w:rsidRPr="00446085" w:rsidRDefault="00446085" w:rsidP="00FF6C82">
            <w:pPr>
              <w:jc w:val="both"/>
              <w:rPr>
                <w:rFonts w:ascii="Arial Narrow" w:hAnsi="Arial Narrow"/>
              </w:rPr>
            </w:pPr>
            <w:r w:rsidRPr="00446085">
              <w:rPr>
                <w:rFonts w:ascii="Arial Narrow" w:hAnsi="Arial Narrow"/>
              </w:rPr>
              <w:t>The High Court held that the Tribunal has correctly dealt with the matter and the trust deed amended by the trustees can be relied upon by the Revenue authorities for the purpose of granting registration under section 12AA.</w:t>
            </w:r>
          </w:p>
          <w:p w:rsidR="00446085" w:rsidRPr="00446085" w:rsidRDefault="00446085" w:rsidP="00FF6C82">
            <w:pPr>
              <w:jc w:val="both"/>
              <w:rPr>
                <w:rFonts w:ascii="Arial Narrow" w:hAnsi="Arial Narrow"/>
              </w:rPr>
            </w:pPr>
          </w:p>
        </w:tc>
      </w:tr>
      <w:tr w:rsidR="00446085" w:rsidRPr="00446085" w:rsidTr="00DB75EF">
        <w:tc>
          <w:tcPr>
            <w:tcW w:w="534" w:type="dxa"/>
          </w:tcPr>
          <w:p w:rsidR="00446085" w:rsidRPr="00446085" w:rsidRDefault="00446085" w:rsidP="00FB07EE">
            <w:pPr>
              <w:rPr>
                <w:rFonts w:ascii="Arial Narrow" w:hAnsi="Arial Narrow"/>
              </w:rPr>
            </w:pPr>
            <w:r w:rsidRPr="00446085">
              <w:rPr>
                <w:rFonts w:ascii="Arial Narrow" w:hAnsi="Arial Narrow"/>
              </w:rPr>
              <w:t>4</w:t>
            </w:r>
          </w:p>
        </w:tc>
        <w:tc>
          <w:tcPr>
            <w:tcW w:w="3402" w:type="dxa"/>
          </w:tcPr>
          <w:p w:rsidR="00446085" w:rsidRPr="00446085" w:rsidRDefault="00446085" w:rsidP="00FF6C82">
            <w:pPr>
              <w:jc w:val="both"/>
              <w:rPr>
                <w:rFonts w:ascii="Arial Narrow" w:hAnsi="Arial Narrow"/>
              </w:rPr>
            </w:pPr>
            <w:r w:rsidRPr="00446085">
              <w:rPr>
                <w:rFonts w:ascii="Arial Narrow" w:hAnsi="Arial Narrow"/>
              </w:rPr>
              <w:t xml:space="preserve"> Is the expenditure on replacement of dies and moulds, being parts of plant and machinery, deductible as current repairs? </w:t>
            </w:r>
          </w:p>
        </w:tc>
        <w:tc>
          <w:tcPr>
            <w:tcW w:w="1842" w:type="dxa"/>
          </w:tcPr>
          <w:p w:rsidR="00446085" w:rsidRPr="005224FC" w:rsidRDefault="00446085" w:rsidP="00FB07EE">
            <w:pPr>
              <w:rPr>
                <w:rFonts w:ascii="Arial Narrow" w:hAnsi="Arial Narrow"/>
                <w:b/>
                <w:i/>
                <w:iCs/>
              </w:rPr>
            </w:pPr>
            <w:r w:rsidRPr="005224FC">
              <w:rPr>
                <w:rFonts w:ascii="Arial Narrow" w:hAnsi="Arial Narrow"/>
                <w:b/>
                <w:i/>
                <w:iCs/>
              </w:rPr>
              <w:t>CIT v. TVS Motors Ltd (Mad)</w:t>
            </w:r>
          </w:p>
        </w:tc>
        <w:tc>
          <w:tcPr>
            <w:tcW w:w="4678" w:type="dxa"/>
          </w:tcPr>
          <w:p w:rsidR="00446085" w:rsidRPr="00446085" w:rsidRDefault="00446085" w:rsidP="00FF6C82">
            <w:pPr>
              <w:jc w:val="both"/>
              <w:rPr>
                <w:rFonts w:ascii="Arial Narrow" w:hAnsi="Arial Narrow"/>
              </w:rPr>
            </w:pPr>
            <w:r w:rsidRPr="00446085">
              <w:rPr>
                <w:rFonts w:ascii="Arial Narrow" w:hAnsi="Arial Narrow"/>
              </w:rPr>
              <w:t>The High Court, held that “moulds &amp; dies” are not independent of plant and machinery but are parts of plant and machinery. Once the dies are worn out, they had to be replaced so that the machine can produce the product according to business specifications. 5Thus, the expenditure in6curred by the assessee tow7ards replacement of parts8 of machinery to ensure9 its performance without10 bringing any new asset or advantage, is eligible for deduction as "current repairs</w:t>
            </w:r>
            <w:r w:rsidRPr="00446085">
              <w:t>‟</w:t>
            </w:r>
            <w:r w:rsidRPr="00446085">
              <w:rPr>
                <w:rFonts w:ascii="Arial Narrow" w:hAnsi="Arial Narrow"/>
              </w:rPr>
              <w:t xml:space="preserve"> under section 31.</w:t>
            </w:r>
          </w:p>
          <w:p w:rsidR="00446085" w:rsidRPr="00446085" w:rsidRDefault="00446085" w:rsidP="00FF6C82">
            <w:pPr>
              <w:jc w:val="both"/>
              <w:rPr>
                <w:rFonts w:ascii="Arial Narrow" w:hAnsi="Arial Narrow"/>
              </w:rPr>
            </w:pPr>
          </w:p>
        </w:tc>
      </w:tr>
      <w:tr w:rsidR="00446085" w:rsidRPr="00446085" w:rsidTr="00DB75EF">
        <w:tc>
          <w:tcPr>
            <w:tcW w:w="534" w:type="dxa"/>
          </w:tcPr>
          <w:p w:rsidR="00446085" w:rsidRPr="00446085" w:rsidRDefault="00446085" w:rsidP="00FB07EE">
            <w:pPr>
              <w:rPr>
                <w:rFonts w:ascii="Arial Narrow" w:hAnsi="Arial Narrow"/>
              </w:rPr>
            </w:pPr>
            <w:r w:rsidRPr="00446085">
              <w:rPr>
                <w:rFonts w:ascii="Arial Narrow" w:hAnsi="Arial Narrow"/>
              </w:rPr>
              <w:t>5</w:t>
            </w:r>
          </w:p>
        </w:tc>
        <w:tc>
          <w:tcPr>
            <w:tcW w:w="3402" w:type="dxa"/>
          </w:tcPr>
          <w:p w:rsidR="00446085" w:rsidRPr="00446085" w:rsidRDefault="00446085" w:rsidP="00FF6C82">
            <w:pPr>
              <w:jc w:val="both"/>
              <w:rPr>
                <w:rFonts w:ascii="Arial Narrow" w:hAnsi="Arial Narrow"/>
              </w:rPr>
            </w:pPr>
            <w:r w:rsidRPr="00446085">
              <w:rPr>
                <w:rFonts w:ascii="Arial Narrow" w:hAnsi="Arial Narrow"/>
              </w:rPr>
              <w:t>Is guarantee commission paid by a company to its employee directors deductible as its business expenditure, where such guarantee was given by the employee directors to the bank for enabling credit facility to the company?</w:t>
            </w:r>
          </w:p>
        </w:tc>
        <w:tc>
          <w:tcPr>
            <w:tcW w:w="1842" w:type="dxa"/>
          </w:tcPr>
          <w:p w:rsidR="00446085" w:rsidRPr="005224FC" w:rsidRDefault="00446085" w:rsidP="00FB07EE">
            <w:pPr>
              <w:rPr>
                <w:rFonts w:ascii="Arial Narrow" w:hAnsi="Arial Narrow"/>
                <w:b/>
                <w:i/>
                <w:iCs/>
              </w:rPr>
            </w:pPr>
            <w:r w:rsidRPr="005224FC">
              <w:rPr>
                <w:rFonts w:ascii="Arial Narrow" w:hAnsi="Arial Narrow"/>
                <w:b/>
                <w:i/>
                <w:iCs/>
              </w:rPr>
              <w:t>Controls &amp; Switchgear Contractors Ltd v. Dy.CIT (Del)</w:t>
            </w:r>
          </w:p>
        </w:tc>
        <w:tc>
          <w:tcPr>
            <w:tcW w:w="4678" w:type="dxa"/>
          </w:tcPr>
          <w:p w:rsidR="00446085" w:rsidRPr="005224FC" w:rsidRDefault="00446085" w:rsidP="00FF6C82">
            <w:pPr>
              <w:jc w:val="both"/>
              <w:rPr>
                <w:rFonts w:ascii="Arial Narrow" w:hAnsi="Arial Narrow"/>
                <w:b/>
              </w:rPr>
            </w:pPr>
            <w:r w:rsidRPr="00446085">
              <w:rPr>
                <w:rFonts w:ascii="Arial Narrow" w:hAnsi="Arial Narrow"/>
              </w:rPr>
              <w:t xml:space="preserve">The High Court observed that the directors of the company are employees of the company and are entitled to remuneration for the services rendered as employees. The assessee -company passed a resolution resolving that the directors be paid commission for providing their personal guarantees for the financial assistance availed by the assessee-company from the bank. This act of providing personal guarantee was clearly beyond the scope of their services as employees of the company. The assessee-company, in its commercial wisdom, had agreed to pay a commission for furnishing of such guarantees by the director employees, which cannot be faulted. In such a case, the Assessing Officer only has to determine whether the transactions are real and genuine. It is not within his jurisdiction to impose his views as regards the necessity or the quantum of expenditure undertaken by the assessee. As regards section 36(1)(ii) the recipient directors were not entitled to receive the amount as commission in lieu of bonus or dividend. Dividend is paid to all the shareholders and the recipient directors were not the only shareholders of the company. </w:t>
            </w:r>
            <w:r w:rsidRPr="005224FC">
              <w:rPr>
                <w:rFonts w:ascii="Arial Narrow" w:hAnsi="Arial Narrow"/>
                <w:b/>
              </w:rPr>
              <w:t>The payment of commission, hence, cannot be taken as payment of dividend, since payment of dividend would result in payment to all the shareholders and not to select shareholders. The High Court, therefore, set aside the Tribunal’s order and directed rectification of the disallowance of amount paid as commission to directors.</w:t>
            </w:r>
          </w:p>
          <w:p w:rsidR="00446085" w:rsidRPr="00446085" w:rsidRDefault="00446085" w:rsidP="00FB07EE">
            <w:pPr>
              <w:rPr>
                <w:rFonts w:ascii="Arial Narrow" w:hAnsi="Arial Narrow"/>
              </w:rPr>
            </w:pPr>
          </w:p>
        </w:tc>
      </w:tr>
      <w:tr w:rsidR="00446085" w:rsidRPr="00446085" w:rsidTr="00DB75EF">
        <w:tc>
          <w:tcPr>
            <w:tcW w:w="534" w:type="dxa"/>
          </w:tcPr>
          <w:p w:rsidR="00446085" w:rsidRPr="00446085" w:rsidRDefault="00446085" w:rsidP="00FB07EE">
            <w:pPr>
              <w:rPr>
                <w:rFonts w:ascii="Arial Narrow" w:hAnsi="Arial Narrow"/>
              </w:rPr>
            </w:pPr>
            <w:r w:rsidRPr="00446085">
              <w:rPr>
                <w:rFonts w:ascii="Arial Narrow" w:hAnsi="Arial Narrow"/>
              </w:rPr>
              <w:t>6</w:t>
            </w:r>
          </w:p>
        </w:tc>
        <w:tc>
          <w:tcPr>
            <w:tcW w:w="3402" w:type="dxa"/>
          </w:tcPr>
          <w:p w:rsidR="00446085" w:rsidRPr="00446085" w:rsidRDefault="00446085" w:rsidP="00FF6C82">
            <w:pPr>
              <w:jc w:val="both"/>
              <w:rPr>
                <w:rFonts w:ascii="Arial Narrow" w:hAnsi="Arial Narrow"/>
              </w:rPr>
            </w:pPr>
            <w:r w:rsidRPr="00446085">
              <w:rPr>
                <w:rFonts w:ascii="Arial Narrow" w:hAnsi="Arial Narrow"/>
              </w:rPr>
              <w:t xml:space="preserve"> Can employees contribution to Provident Fund and Employee’s State Insurance be allowed as deduction where the assesssee-employer had not remitted the same on or before the “due date” under the relevant Act but remitted the same on or before the due date for filing of return of income under section 139(1)? </w:t>
            </w:r>
          </w:p>
          <w:p w:rsidR="00446085" w:rsidRPr="00446085" w:rsidRDefault="00446085" w:rsidP="00FB07EE">
            <w:pPr>
              <w:rPr>
                <w:rFonts w:ascii="Arial Narrow" w:hAnsi="Arial Narrow"/>
              </w:rPr>
            </w:pPr>
          </w:p>
        </w:tc>
        <w:tc>
          <w:tcPr>
            <w:tcW w:w="1842" w:type="dxa"/>
          </w:tcPr>
          <w:p w:rsidR="00446085" w:rsidRPr="005224FC" w:rsidRDefault="00446085" w:rsidP="00FB07EE">
            <w:pPr>
              <w:rPr>
                <w:rFonts w:ascii="Arial Narrow" w:hAnsi="Arial Narrow"/>
                <w:b/>
                <w:i/>
                <w:iCs/>
              </w:rPr>
            </w:pPr>
            <w:r w:rsidRPr="005224FC">
              <w:rPr>
                <w:rFonts w:ascii="Arial Narrow" w:hAnsi="Arial Narrow"/>
                <w:b/>
                <w:i/>
                <w:iCs/>
              </w:rPr>
              <w:t>CIT v. Gujarat State Road Transport Corpn (Guj)</w:t>
            </w:r>
          </w:p>
        </w:tc>
        <w:tc>
          <w:tcPr>
            <w:tcW w:w="4678" w:type="dxa"/>
          </w:tcPr>
          <w:p w:rsidR="00446085" w:rsidRPr="00446085" w:rsidRDefault="00446085" w:rsidP="00FF6C82">
            <w:pPr>
              <w:jc w:val="both"/>
              <w:rPr>
                <w:rFonts w:ascii="Arial Narrow" w:hAnsi="Arial Narrow"/>
              </w:rPr>
            </w:pPr>
            <w:r w:rsidRPr="00446085">
              <w:rPr>
                <w:rFonts w:ascii="Arial Narrow" w:hAnsi="Arial Narrow"/>
              </w:rPr>
              <w:t>The High Court, held that the delayed remittance of employees</w:t>
            </w:r>
            <w:r w:rsidRPr="00446085">
              <w:t>‟</w:t>
            </w:r>
            <w:r w:rsidRPr="00446085">
              <w:rPr>
                <w:rFonts w:ascii="Arial Narrow" w:hAnsi="Arial Narrow"/>
              </w:rPr>
              <w:t xml:space="preserve"> contribution beyond the „due date</w:t>
            </w:r>
            <w:r w:rsidRPr="00446085">
              <w:t>‟</w:t>
            </w:r>
            <w:r w:rsidRPr="00446085">
              <w:rPr>
                <w:rFonts w:ascii="Arial Narrow" w:hAnsi="Arial Narrow"/>
              </w:rPr>
              <w:t xml:space="preserve"> prescribed in section 36(1)(va), is not deductible while computing the business income, even though such remittance has been made before the due date of filing of return of income under section 139(1).</w:t>
            </w:r>
          </w:p>
          <w:p w:rsidR="00446085" w:rsidRPr="00446085" w:rsidRDefault="00446085" w:rsidP="00FF6C82">
            <w:pPr>
              <w:tabs>
                <w:tab w:val="left" w:pos="2160"/>
              </w:tabs>
              <w:jc w:val="both"/>
              <w:rPr>
                <w:rFonts w:ascii="Arial Narrow" w:hAnsi="Arial Narrow"/>
              </w:rPr>
            </w:pPr>
            <w:r w:rsidRPr="00446085">
              <w:rPr>
                <w:rFonts w:ascii="Arial Narrow" w:hAnsi="Arial Narrow"/>
              </w:rPr>
              <w:tab/>
            </w:r>
          </w:p>
        </w:tc>
      </w:tr>
      <w:tr w:rsidR="00446085" w:rsidRPr="00446085" w:rsidTr="00DB75EF">
        <w:tc>
          <w:tcPr>
            <w:tcW w:w="534" w:type="dxa"/>
          </w:tcPr>
          <w:p w:rsidR="00446085" w:rsidRPr="00446085" w:rsidRDefault="00446085" w:rsidP="00FB07EE">
            <w:pPr>
              <w:rPr>
                <w:rFonts w:ascii="Arial Narrow" w:hAnsi="Arial Narrow"/>
              </w:rPr>
            </w:pPr>
            <w:r w:rsidRPr="00446085">
              <w:rPr>
                <w:rFonts w:ascii="Arial Narrow" w:hAnsi="Arial Narrow"/>
              </w:rPr>
              <w:t>7</w:t>
            </w:r>
          </w:p>
          <w:p w:rsidR="00446085" w:rsidRPr="00446085" w:rsidRDefault="00446085" w:rsidP="00FB07EE">
            <w:pPr>
              <w:rPr>
                <w:rFonts w:ascii="Arial Narrow" w:hAnsi="Arial Narrow"/>
              </w:rPr>
            </w:pPr>
          </w:p>
          <w:p w:rsidR="00446085" w:rsidRPr="00446085" w:rsidRDefault="00446085" w:rsidP="00FB07EE">
            <w:pPr>
              <w:rPr>
                <w:rFonts w:ascii="Arial Narrow" w:hAnsi="Arial Narrow"/>
              </w:rPr>
            </w:pPr>
          </w:p>
        </w:tc>
        <w:tc>
          <w:tcPr>
            <w:tcW w:w="3402" w:type="dxa"/>
          </w:tcPr>
          <w:p w:rsidR="00446085" w:rsidRPr="00446085" w:rsidRDefault="00446085" w:rsidP="00FF6C82">
            <w:pPr>
              <w:jc w:val="both"/>
              <w:rPr>
                <w:rFonts w:ascii="Arial Narrow" w:hAnsi="Arial Narrow"/>
              </w:rPr>
            </w:pPr>
            <w:r w:rsidRPr="00446085">
              <w:rPr>
                <w:rFonts w:ascii="Arial Narrow" w:hAnsi="Arial Narrow"/>
              </w:rPr>
              <w:t xml:space="preserve">Is interest paid by the holding company as guarantor for the amount borrowed by the subsidiary company deductible under section 36(1)(iii)? </w:t>
            </w:r>
          </w:p>
        </w:tc>
        <w:tc>
          <w:tcPr>
            <w:tcW w:w="1842" w:type="dxa"/>
          </w:tcPr>
          <w:p w:rsidR="00446085" w:rsidRPr="005224FC" w:rsidRDefault="00446085" w:rsidP="00FB07EE">
            <w:pPr>
              <w:rPr>
                <w:rFonts w:ascii="Arial Narrow" w:hAnsi="Arial Narrow"/>
                <w:b/>
                <w:i/>
                <w:iCs/>
              </w:rPr>
            </w:pPr>
            <w:r w:rsidRPr="005224FC">
              <w:rPr>
                <w:rFonts w:ascii="Arial Narrow" w:hAnsi="Arial Narrow"/>
                <w:b/>
                <w:i/>
                <w:iCs/>
              </w:rPr>
              <w:t>JK Synthetics Ltd v. CIT (All)</w:t>
            </w:r>
          </w:p>
        </w:tc>
        <w:tc>
          <w:tcPr>
            <w:tcW w:w="4678" w:type="dxa"/>
          </w:tcPr>
          <w:p w:rsidR="00446085" w:rsidRPr="00446085" w:rsidRDefault="00446085" w:rsidP="00FF6C82">
            <w:pPr>
              <w:jc w:val="both"/>
              <w:rPr>
                <w:rFonts w:ascii="Arial Narrow" w:hAnsi="Arial Narrow"/>
              </w:rPr>
            </w:pPr>
            <w:r w:rsidRPr="00446085">
              <w:rPr>
                <w:rFonts w:ascii="Arial Narrow" w:hAnsi="Arial Narrow"/>
              </w:rPr>
              <w:t>The High Court observed that the assessee had deep business interest in the existence of subsidiary and therefore, repaid installments of loan to financial institutions. Such loans were given for the purpose of business. The High Court, thus, held that the claim for deduction of interest by the assessee-holding company is allowable.</w:t>
            </w:r>
          </w:p>
          <w:p w:rsidR="00446085" w:rsidRPr="00446085" w:rsidRDefault="00446085" w:rsidP="00FB07EE">
            <w:pPr>
              <w:rPr>
                <w:rFonts w:ascii="Arial Narrow" w:hAnsi="Arial Narrow"/>
              </w:rPr>
            </w:pPr>
          </w:p>
        </w:tc>
      </w:tr>
      <w:tr w:rsidR="00446085" w:rsidRPr="00446085" w:rsidTr="00DB75EF">
        <w:tc>
          <w:tcPr>
            <w:tcW w:w="534" w:type="dxa"/>
          </w:tcPr>
          <w:p w:rsidR="00446085" w:rsidRPr="00446085" w:rsidRDefault="00446085" w:rsidP="00FB07EE">
            <w:pPr>
              <w:rPr>
                <w:rFonts w:ascii="Arial Narrow" w:hAnsi="Arial Narrow"/>
              </w:rPr>
            </w:pPr>
            <w:r w:rsidRPr="00446085">
              <w:rPr>
                <w:rFonts w:ascii="Arial Narrow" w:hAnsi="Arial Narrow"/>
              </w:rPr>
              <w:t>8</w:t>
            </w:r>
          </w:p>
          <w:p w:rsidR="00446085" w:rsidRPr="00446085" w:rsidRDefault="00446085" w:rsidP="00FB07EE">
            <w:pPr>
              <w:rPr>
                <w:rFonts w:ascii="Arial Narrow" w:hAnsi="Arial Narrow"/>
              </w:rPr>
            </w:pPr>
          </w:p>
          <w:p w:rsidR="00446085" w:rsidRPr="00446085" w:rsidRDefault="00446085" w:rsidP="00FB07EE">
            <w:pPr>
              <w:rPr>
                <w:rFonts w:ascii="Arial Narrow" w:hAnsi="Arial Narrow"/>
              </w:rPr>
            </w:pPr>
          </w:p>
        </w:tc>
        <w:tc>
          <w:tcPr>
            <w:tcW w:w="3402" w:type="dxa"/>
          </w:tcPr>
          <w:p w:rsidR="00446085" w:rsidRPr="00446085" w:rsidRDefault="00446085" w:rsidP="00FF6C82">
            <w:pPr>
              <w:jc w:val="both"/>
              <w:rPr>
                <w:rFonts w:ascii="Arial Narrow" w:hAnsi="Arial Narrow"/>
              </w:rPr>
            </w:pPr>
            <w:r w:rsidRPr="00446085">
              <w:rPr>
                <w:rFonts w:ascii="Arial Narrow" w:hAnsi="Arial Narrow"/>
              </w:rPr>
              <w:t xml:space="preserve">Is expenditure incurred for construction of transmission lines by the assessee for supply of power to UPPCL by the assessee deductible as revenue expenditure? </w:t>
            </w:r>
          </w:p>
          <w:p w:rsidR="00446085" w:rsidRPr="00446085" w:rsidRDefault="00446085" w:rsidP="00FF6C82">
            <w:pPr>
              <w:jc w:val="both"/>
              <w:rPr>
                <w:rFonts w:ascii="Arial Narrow" w:hAnsi="Arial Narrow"/>
              </w:rPr>
            </w:pPr>
          </w:p>
          <w:p w:rsidR="00446085" w:rsidRPr="00446085" w:rsidRDefault="00446085" w:rsidP="00FF6C82">
            <w:pPr>
              <w:jc w:val="both"/>
              <w:rPr>
                <w:rFonts w:ascii="Arial Narrow" w:hAnsi="Arial Narrow"/>
              </w:rPr>
            </w:pPr>
          </w:p>
          <w:p w:rsidR="00446085" w:rsidRPr="00446085" w:rsidRDefault="00446085" w:rsidP="00FF6C82">
            <w:pPr>
              <w:jc w:val="both"/>
              <w:rPr>
                <w:rFonts w:ascii="Arial Narrow" w:hAnsi="Arial Narrow"/>
              </w:rPr>
            </w:pPr>
          </w:p>
          <w:p w:rsidR="00446085" w:rsidRPr="00446085" w:rsidRDefault="00446085" w:rsidP="00FF6C82">
            <w:pPr>
              <w:jc w:val="both"/>
              <w:rPr>
                <w:rFonts w:ascii="Arial Narrow" w:hAnsi="Arial Narrow"/>
              </w:rPr>
            </w:pPr>
          </w:p>
        </w:tc>
        <w:tc>
          <w:tcPr>
            <w:tcW w:w="1842" w:type="dxa"/>
          </w:tcPr>
          <w:p w:rsidR="00446085" w:rsidRPr="00446085" w:rsidRDefault="00446085" w:rsidP="00FB07EE">
            <w:pPr>
              <w:rPr>
                <w:rFonts w:ascii="Arial Narrow" w:hAnsi="Arial Narrow"/>
                <w:i/>
                <w:iCs/>
              </w:rPr>
            </w:pPr>
            <w:r w:rsidRPr="00446085">
              <w:rPr>
                <w:rFonts w:ascii="Arial Narrow" w:hAnsi="Arial Narrow"/>
                <w:i/>
                <w:iCs/>
              </w:rPr>
              <w:t>Addtl. CIT v. Dharmpur Sugar Mill (All)</w:t>
            </w:r>
          </w:p>
        </w:tc>
        <w:tc>
          <w:tcPr>
            <w:tcW w:w="4678" w:type="dxa"/>
          </w:tcPr>
          <w:p w:rsidR="00446085" w:rsidRPr="00446085" w:rsidRDefault="00446085" w:rsidP="00FF6C82">
            <w:pPr>
              <w:jc w:val="both"/>
              <w:rPr>
                <w:rFonts w:ascii="Arial Narrow" w:hAnsi="Arial Narrow"/>
              </w:rPr>
            </w:pPr>
            <w:r w:rsidRPr="00446085">
              <w:rPr>
                <w:rFonts w:ascii="Arial Narrow" w:hAnsi="Arial Narrow"/>
              </w:rPr>
              <w:t xml:space="preserve">Following the principle of law laid down by the Supreme Court in </w:t>
            </w:r>
            <w:r w:rsidRPr="00446085">
              <w:rPr>
                <w:rFonts w:ascii="Arial Narrow" w:hAnsi="Arial Narrow"/>
                <w:i/>
                <w:iCs/>
              </w:rPr>
              <w:t xml:space="preserve">Empire Jute Mills’ </w:t>
            </w:r>
            <w:r w:rsidRPr="00446085">
              <w:rPr>
                <w:rFonts w:ascii="Arial Narrow" w:hAnsi="Arial Narrow"/>
              </w:rPr>
              <w:t>case, the Allahabad High Court, in this case, held that the expenditure which was incurred by the assessee in the laying of transmission lines was clearly on the revenue account. The transmission lines, upon erection, vested absolutely in UPPCL. The expenditure which was incurred by the assessee was for aiding efficient conduct of its business since the assessee had to supply electricity to its sole consumer UPPCL. This was not an advantage of a capital nature.</w:t>
            </w:r>
          </w:p>
          <w:p w:rsidR="00446085" w:rsidRPr="00446085" w:rsidRDefault="00446085" w:rsidP="00FB07EE">
            <w:pPr>
              <w:rPr>
                <w:rFonts w:ascii="Arial Narrow" w:hAnsi="Arial Narrow"/>
              </w:rPr>
            </w:pPr>
          </w:p>
        </w:tc>
      </w:tr>
      <w:tr w:rsidR="00446085" w:rsidRPr="00446085" w:rsidTr="00DB75EF">
        <w:tc>
          <w:tcPr>
            <w:tcW w:w="534" w:type="dxa"/>
          </w:tcPr>
          <w:p w:rsidR="00446085" w:rsidRPr="00446085" w:rsidRDefault="00446085" w:rsidP="00FB07EE">
            <w:pPr>
              <w:rPr>
                <w:rFonts w:ascii="Arial Narrow" w:hAnsi="Arial Narrow"/>
              </w:rPr>
            </w:pPr>
            <w:r w:rsidRPr="00446085">
              <w:rPr>
                <w:rFonts w:ascii="Arial Narrow" w:hAnsi="Arial Narrow"/>
              </w:rPr>
              <w:t>9</w:t>
            </w:r>
          </w:p>
        </w:tc>
        <w:tc>
          <w:tcPr>
            <w:tcW w:w="3402" w:type="dxa"/>
          </w:tcPr>
          <w:p w:rsidR="00446085" w:rsidRPr="00446085" w:rsidRDefault="00446085" w:rsidP="00FF6C82">
            <w:pPr>
              <w:jc w:val="both"/>
              <w:rPr>
                <w:rFonts w:ascii="Arial Narrow" w:hAnsi="Arial Narrow"/>
              </w:rPr>
            </w:pPr>
            <w:r w:rsidRPr="00446085">
              <w:rPr>
                <w:rFonts w:ascii="Arial Narrow" w:hAnsi="Arial Narrow"/>
              </w:rPr>
              <w:t xml:space="preserve">Where the assessee-company came into existence on bifurcation of a Joint Venture Company (JVC), can the amount paid by it to the JVC for use of customer database and transfer of trained personnel be claimed as revenue expenditure? </w:t>
            </w:r>
          </w:p>
        </w:tc>
        <w:tc>
          <w:tcPr>
            <w:tcW w:w="1842" w:type="dxa"/>
          </w:tcPr>
          <w:p w:rsidR="00446085" w:rsidRPr="005224FC" w:rsidRDefault="00446085" w:rsidP="00FB07EE">
            <w:pPr>
              <w:rPr>
                <w:rFonts w:ascii="Arial Narrow" w:hAnsi="Arial Narrow"/>
                <w:b/>
                <w:i/>
                <w:iCs/>
              </w:rPr>
            </w:pPr>
            <w:r w:rsidRPr="005224FC">
              <w:rPr>
                <w:rFonts w:ascii="Arial Narrow" w:hAnsi="Arial Narrow"/>
                <w:b/>
                <w:i/>
                <w:iCs/>
              </w:rPr>
              <w:t xml:space="preserve">CIT v. IBM Global Services India P Ltd (Karn) </w:t>
            </w:r>
          </w:p>
        </w:tc>
        <w:tc>
          <w:tcPr>
            <w:tcW w:w="4678" w:type="dxa"/>
          </w:tcPr>
          <w:p w:rsidR="00446085" w:rsidRPr="00446085" w:rsidRDefault="00446085" w:rsidP="00FF6C82">
            <w:pPr>
              <w:jc w:val="both"/>
              <w:rPr>
                <w:rFonts w:ascii="Arial Narrow" w:hAnsi="Arial Narrow"/>
              </w:rPr>
            </w:pPr>
            <w:r w:rsidRPr="00446085">
              <w:rPr>
                <w:rFonts w:ascii="Arial Narrow" w:hAnsi="Arial Narrow"/>
              </w:rPr>
              <w:t>The High Court observed that the expenditure incurred for use of customer database did not result in acquisition of any capital asset. The assessee got the right to use the database and the company which provided the database was not precluded from using such database. Therefore, the expenditure incurred was for use of data base and not for acquisition of such data base and, hence, is deductible as revenue expenditure.</w:t>
            </w:r>
            <w:r w:rsidRPr="00446085">
              <w:rPr>
                <w:rFonts w:ascii="Arial Narrow" w:hAnsi="Arial Narrow"/>
              </w:rPr>
              <w:br/>
              <w:t>As regards payment for obtaining trained and skilled employees, it was held that the joint venture company spent a lot of money to give training to employees who were transferred to the assessee-company. They were trained in the field of software. They have opted for employment with the assessee, and for their past services with the joint venture company, expenditure has been incurred. In effect, the payment made by the assessee-company was towards expenditure incurred for their training and recruitment. Such expenditure was in the revenue field, and therefore, the payment made by the assessee-company as per agreement to save such expenditure was also revenue in nature. Therefore, the expenditure incurred for obtaining trained and skilled employees cannot be termed as capital expenditure though the benefit may be of enduring nature. The High Court, thus, held that both the expenditures claimed were allowable as revenue expenditure.</w:t>
            </w:r>
          </w:p>
          <w:p w:rsidR="00446085" w:rsidRPr="00446085" w:rsidRDefault="00446085" w:rsidP="00FB07EE">
            <w:pPr>
              <w:rPr>
                <w:rFonts w:ascii="Arial Narrow" w:hAnsi="Arial Narrow"/>
              </w:rPr>
            </w:pPr>
          </w:p>
        </w:tc>
      </w:tr>
      <w:tr w:rsidR="00446085" w:rsidRPr="00446085" w:rsidTr="00DB75EF">
        <w:tc>
          <w:tcPr>
            <w:tcW w:w="534" w:type="dxa"/>
          </w:tcPr>
          <w:p w:rsidR="00446085" w:rsidRPr="00446085" w:rsidRDefault="00446085" w:rsidP="00FB07EE">
            <w:pPr>
              <w:rPr>
                <w:rFonts w:ascii="Arial Narrow" w:hAnsi="Arial Narrow"/>
              </w:rPr>
            </w:pPr>
            <w:r w:rsidRPr="00446085">
              <w:rPr>
                <w:rFonts w:ascii="Arial Narrow" w:hAnsi="Arial Narrow"/>
              </w:rPr>
              <w:t>10</w:t>
            </w:r>
          </w:p>
          <w:p w:rsidR="00446085" w:rsidRPr="00446085" w:rsidRDefault="00446085" w:rsidP="00FB07EE">
            <w:pPr>
              <w:rPr>
                <w:rFonts w:ascii="Arial Narrow" w:hAnsi="Arial Narrow"/>
              </w:rPr>
            </w:pPr>
          </w:p>
          <w:p w:rsidR="00446085" w:rsidRPr="00446085" w:rsidRDefault="00446085" w:rsidP="00FB07EE">
            <w:pPr>
              <w:rPr>
                <w:rFonts w:ascii="Arial Narrow" w:hAnsi="Arial Narrow"/>
              </w:rPr>
            </w:pPr>
          </w:p>
        </w:tc>
        <w:tc>
          <w:tcPr>
            <w:tcW w:w="3402" w:type="dxa"/>
          </w:tcPr>
          <w:p w:rsidR="00446085" w:rsidRPr="00446085" w:rsidRDefault="00446085" w:rsidP="00FF6C82">
            <w:pPr>
              <w:jc w:val="both"/>
              <w:rPr>
                <w:rFonts w:ascii="Arial Narrow" w:hAnsi="Arial Narrow"/>
              </w:rPr>
            </w:pPr>
            <w:r w:rsidRPr="00446085">
              <w:rPr>
                <w:rFonts w:ascii="Arial Narrow" w:hAnsi="Arial Narrow"/>
              </w:rPr>
              <w:t>Is release of retention money to the assessee-contractor on the basis of furnishing bank guarantee taxable as income of the assessee, where the assessee</w:t>
            </w:r>
            <w:r w:rsidR="00DB75EF">
              <w:t>’</w:t>
            </w:r>
            <w:r w:rsidRPr="00446085">
              <w:rPr>
                <w:rFonts w:ascii="Arial Narrow" w:hAnsi="Arial Narrow"/>
              </w:rPr>
              <w:t xml:space="preserve">s right to receive retention money is subject to certain conditions including certification by the engineer in-charge? </w:t>
            </w:r>
          </w:p>
        </w:tc>
        <w:tc>
          <w:tcPr>
            <w:tcW w:w="1842" w:type="dxa"/>
          </w:tcPr>
          <w:p w:rsidR="00446085" w:rsidRPr="00446085" w:rsidRDefault="00446085" w:rsidP="00FB07EE">
            <w:pPr>
              <w:rPr>
                <w:rFonts w:ascii="Arial Narrow" w:hAnsi="Arial Narrow"/>
                <w:i/>
                <w:iCs/>
              </w:rPr>
            </w:pPr>
            <w:r w:rsidRPr="00446085">
              <w:rPr>
                <w:rFonts w:ascii="Arial Narrow" w:hAnsi="Arial Narrow"/>
                <w:i/>
                <w:iCs/>
              </w:rPr>
              <w:t>Amarshiv Construction P Ltd v. Dy.CIT (Guj)</w:t>
            </w:r>
          </w:p>
        </w:tc>
        <w:tc>
          <w:tcPr>
            <w:tcW w:w="4678" w:type="dxa"/>
          </w:tcPr>
          <w:p w:rsidR="00446085" w:rsidRPr="00446085" w:rsidRDefault="00446085" w:rsidP="00FF6C82">
            <w:pPr>
              <w:jc w:val="both"/>
              <w:rPr>
                <w:rFonts w:ascii="Arial Narrow" w:hAnsi="Arial Narrow"/>
              </w:rPr>
            </w:pPr>
            <w:r w:rsidRPr="00446085">
              <w:rPr>
                <w:rFonts w:ascii="Arial Narrow" w:hAnsi="Arial Narrow"/>
              </w:rPr>
              <w:t>The High Court, held that the release of retention money against furnishing of bank guarantee was a receipt not chargeable to tax.</w:t>
            </w:r>
          </w:p>
        </w:tc>
      </w:tr>
      <w:tr w:rsidR="00446085" w:rsidRPr="00446085" w:rsidTr="00DB75EF">
        <w:tc>
          <w:tcPr>
            <w:tcW w:w="534" w:type="dxa"/>
          </w:tcPr>
          <w:p w:rsidR="00446085" w:rsidRPr="00446085" w:rsidRDefault="00446085" w:rsidP="00FB07EE">
            <w:pPr>
              <w:rPr>
                <w:rFonts w:ascii="Arial Narrow" w:hAnsi="Arial Narrow"/>
              </w:rPr>
            </w:pPr>
            <w:r w:rsidRPr="00446085">
              <w:rPr>
                <w:rFonts w:ascii="Arial Narrow" w:hAnsi="Arial Narrow"/>
              </w:rPr>
              <w:t>11</w:t>
            </w:r>
          </w:p>
        </w:tc>
        <w:tc>
          <w:tcPr>
            <w:tcW w:w="3402" w:type="dxa"/>
          </w:tcPr>
          <w:p w:rsidR="00446085" w:rsidRPr="00446085" w:rsidRDefault="00446085" w:rsidP="00FF6C82">
            <w:pPr>
              <w:jc w:val="both"/>
              <w:rPr>
                <w:rFonts w:ascii="Arial Narrow" w:hAnsi="Arial Narrow"/>
              </w:rPr>
            </w:pPr>
            <w:r w:rsidRPr="00446085">
              <w:rPr>
                <w:rFonts w:ascii="Arial Narrow" w:hAnsi="Arial Narrow"/>
              </w:rPr>
              <w:t xml:space="preserve">Is interest income on margin money deposited with bank for obtaining bank guarantee to carry on business, taxable as business income? </w:t>
            </w:r>
          </w:p>
        </w:tc>
        <w:tc>
          <w:tcPr>
            <w:tcW w:w="1842" w:type="dxa"/>
          </w:tcPr>
          <w:p w:rsidR="00446085" w:rsidRPr="005224FC" w:rsidRDefault="00446085" w:rsidP="00FB07EE">
            <w:pPr>
              <w:rPr>
                <w:rFonts w:ascii="Arial Narrow" w:hAnsi="Arial Narrow"/>
                <w:b/>
                <w:i/>
                <w:iCs/>
              </w:rPr>
            </w:pPr>
            <w:r w:rsidRPr="005224FC">
              <w:rPr>
                <w:rFonts w:ascii="Arial Narrow" w:hAnsi="Arial Narrow"/>
                <w:b/>
                <w:i/>
                <w:iCs/>
              </w:rPr>
              <w:t>CIT v. K and Co. (Del)</w:t>
            </w:r>
          </w:p>
        </w:tc>
        <w:tc>
          <w:tcPr>
            <w:tcW w:w="4678" w:type="dxa"/>
          </w:tcPr>
          <w:p w:rsidR="00446085" w:rsidRPr="00446085" w:rsidRDefault="00446085" w:rsidP="00FF6C82">
            <w:pPr>
              <w:jc w:val="both"/>
              <w:rPr>
                <w:rFonts w:ascii="Arial Narrow" w:hAnsi="Arial Narrow"/>
              </w:rPr>
            </w:pPr>
            <w:r w:rsidRPr="00446085">
              <w:rPr>
                <w:rFonts w:ascii="Arial Narrow" w:hAnsi="Arial Narrow"/>
              </w:rPr>
              <w:t>The High Court, held that the interest income received on funds kept as margin money for obtaining the bank guarantee would be taxable under the head “Profits and gains of business or profession”.</w:t>
            </w:r>
          </w:p>
          <w:p w:rsidR="00446085" w:rsidRPr="00446085" w:rsidRDefault="00446085" w:rsidP="00FB07EE">
            <w:pPr>
              <w:rPr>
                <w:rFonts w:ascii="Arial Narrow" w:hAnsi="Arial Narrow"/>
              </w:rPr>
            </w:pPr>
          </w:p>
        </w:tc>
      </w:tr>
      <w:tr w:rsidR="00446085" w:rsidRPr="00446085" w:rsidTr="00DB75EF">
        <w:tc>
          <w:tcPr>
            <w:tcW w:w="534" w:type="dxa"/>
          </w:tcPr>
          <w:p w:rsidR="00446085" w:rsidRPr="00446085" w:rsidRDefault="00446085" w:rsidP="00FB07EE">
            <w:pPr>
              <w:rPr>
                <w:rFonts w:ascii="Arial Narrow" w:hAnsi="Arial Narrow"/>
              </w:rPr>
            </w:pPr>
            <w:r w:rsidRPr="00446085">
              <w:rPr>
                <w:rFonts w:ascii="Arial Narrow" w:hAnsi="Arial Narrow"/>
              </w:rPr>
              <w:t>12</w:t>
            </w:r>
          </w:p>
        </w:tc>
        <w:tc>
          <w:tcPr>
            <w:tcW w:w="3402" w:type="dxa"/>
          </w:tcPr>
          <w:p w:rsidR="00446085" w:rsidRPr="00446085" w:rsidRDefault="00446085" w:rsidP="00FF6C82">
            <w:pPr>
              <w:jc w:val="both"/>
              <w:rPr>
                <w:rFonts w:ascii="Arial Narrow" w:hAnsi="Arial Narrow"/>
              </w:rPr>
            </w:pPr>
            <w:r w:rsidRPr="00446085">
              <w:rPr>
                <w:rFonts w:ascii="Arial Narrow" w:hAnsi="Arial Narrow"/>
              </w:rPr>
              <w:t>Under which head of income is franchise fee received by an assessee in tourism business, against special rights given to franchisees to undertake hotel business in assessee</w:t>
            </w:r>
            <w:r w:rsidR="00FF6C82">
              <w:t>’</w:t>
            </w:r>
            <w:r w:rsidRPr="00446085">
              <w:rPr>
                <w:rFonts w:ascii="Arial Narrow" w:hAnsi="Arial Narrow"/>
              </w:rPr>
              <w:t xml:space="preserve">s property, taxable? </w:t>
            </w:r>
          </w:p>
          <w:p w:rsidR="00446085" w:rsidRPr="00446085" w:rsidRDefault="00446085" w:rsidP="00FB07EE">
            <w:pPr>
              <w:rPr>
                <w:rFonts w:ascii="Arial Narrow" w:hAnsi="Arial Narrow"/>
              </w:rPr>
            </w:pPr>
          </w:p>
        </w:tc>
        <w:tc>
          <w:tcPr>
            <w:tcW w:w="1842" w:type="dxa"/>
          </w:tcPr>
          <w:p w:rsidR="00446085" w:rsidRPr="005224FC" w:rsidRDefault="00446085" w:rsidP="00FB07EE">
            <w:pPr>
              <w:rPr>
                <w:rFonts w:ascii="Arial Narrow" w:hAnsi="Arial Narrow"/>
                <w:b/>
                <w:i/>
                <w:iCs/>
              </w:rPr>
            </w:pPr>
            <w:r w:rsidRPr="005224FC">
              <w:rPr>
                <w:rFonts w:ascii="Arial Narrow" w:hAnsi="Arial Narrow"/>
                <w:b/>
                <w:i/>
                <w:iCs/>
              </w:rPr>
              <w:t xml:space="preserve">Tamil Nadu Tourism Development Corporation Ltd v. Dy. CIT (Mad) </w:t>
            </w:r>
          </w:p>
        </w:tc>
        <w:tc>
          <w:tcPr>
            <w:tcW w:w="4678" w:type="dxa"/>
          </w:tcPr>
          <w:p w:rsidR="00446085" w:rsidRPr="00446085" w:rsidRDefault="00446085" w:rsidP="00FF6C82">
            <w:pPr>
              <w:jc w:val="both"/>
              <w:rPr>
                <w:rFonts w:ascii="Arial Narrow" w:hAnsi="Arial Narrow"/>
              </w:rPr>
            </w:pPr>
            <w:r w:rsidRPr="00446085">
              <w:rPr>
                <w:rFonts w:ascii="Arial Narrow" w:hAnsi="Arial Narrow"/>
              </w:rPr>
              <w:t>The High Court, held that the income earned by the assessee by way of franchisee fee is in the nature of business income and not income from house property.</w:t>
            </w:r>
          </w:p>
        </w:tc>
      </w:tr>
      <w:tr w:rsidR="00446085" w:rsidRPr="00446085" w:rsidTr="00DB75EF">
        <w:tc>
          <w:tcPr>
            <w:tcW w:w="534" w:type="dxa"/>
          </w:tcPr>
          <w:p w:rsidR="00446085" w:rsidRPr="00446085" w:rsidRDefault="00446085" w:rsidP="00FB07EE">
            <w:pPr>
              <w:rPr>
                <w:rFonts w:ascii="Arial Narrow" w:hAnsi="Arial Narrow"/>
              </w:rPr>
            </w:pPr>
            <w:r w:rsidRPr="00446085">
              <w:rPr>
                <w:rFonts w:ascii="Arial Narrow" w:hAnsi="Arial Narrow"/>
              </w:rPr>
              <w:t>13</w:t>
            </w:r>
          </w:p>
        </w:tc>
        <w:tc>
          <w:tcPr>
            <w:tcW w:w="3402" w:type="dxa"/>
          </w:tcPr>
          <w:p w:rsidR="00446085" w:rsidRPr="00446085" w:rsidRDefault="00446085" w:rsidP="00FF6C82">
            <w:pPr>
              <w:jc w:val="both"/>
              <w:rPr>
                <w:rFonts w:ascii="Arial Narrow" w:hAnsi="Arial Narrow"/>
              </w:rPr>
            </w:pPr>
            <w:r w:rsidRPr="00446085">
              <w:rPr>
                <w:rFonts w:ascii="Arial Narrow" w:hAnsi="Arial Narrow"/>
              </w:rPr>
              <w:t>Does payment of net present value of deferred sales tax liability result in remission of liability assessable under section 41(1)</w:t>
            </w:r>
          </w:p>
          <w:p w:rsidR="00446085" w:rsidRPr="00446085" w:rsidRDefault="00446085" w:rsidP="00FB07EE">
            <w:pPr>
              <w:rPr>
                <w:rFonts w:ascii="Arial Narrow" w:hAnsi="Arial Narrow"/>
              </w:rPr>
            </w:pPr>
          </w:p>
        </w:tc>
        <w:tc>
          <w:tcPr>
            <w:tcW w:w="1842" w:type="dxa"/>
          </w:tcPr>
          <w:p w:rsidR="00446085" w:rsidRPr="00446085" w:rsidRDefault="00446085" w:rsidP="00FB07EE">
            <w:pPr>
              <w:rPr>
                <w:rFonts w:ascii="Arial Narrow" w:hAnsi="Arial Narrow"/>
                <w:i/>
                <w:iCs/>
              </w:rPr>
            </w:pPr>
            <w:r w:rsidRPr="00446085">
              <w:rPr>
                <w:rFonts w:ascii="Arial Narrow" w:hAnsi="Arial Narrow"/>
                <w:i/>
                <w:iCs/>
              </w:rPr>
              <w:t>CIT v. Sulzer India Ltd (Bom)</w:t>
            </w:r>
          </w:p>
        </w:tc>
        <w:tc>
          <w:tcPr>
            <w:tcW w:w="4678" w:type="dxa"/>
          </w:tcPr>
          <w:p w:rsidR="00446085" w:rsidRPr="00446085" w:rsidRDefault="00446085" w:rsidP="00FF6C82">
            <w:pPr>
              <w:jc w:val="both"/>
              <w:rPr>
                <w:rFonts w:ascii="Arial Narrow" w:hAnsi="Arial Narrow"/>
              </w:rPr>
            </w:pPr>
            <w:r w:rsidRPr="00446085">
              <w:rPr>
                <w:rFonts w:ascii="Arial Narrow" w:hAnsi="Arial Narrow"/>
              </w:rPr>
              <w:t>The High Court, held that the remittance of deferred sales tax liability at net present value will not result in any income chargeable to tax under section 41(1).</w:t>
            </w:r>
          </w:p>
        </w:tc>
      </w:tr>
      <w:tr w:rsidR="00446085" w:rsidRPr="00446085" w:rsidTr="00DB75EF">
        <w:tc>
          <w:tcPr>
            <w:tcW w:w="534" w:type="dxa"/>
          </w:tcPr>
          <w:p w:rsidR="00446085" w:rsidRPr="00446085" w:rsidRDefault="00446085" w:rsidP="00FB07EE">
            <w:pPr>
              <w:rPr>
                <w:rFonts w:ascii="Arial Narrow" w:hAnsi="Arial Narrow"/>
              </w:rPr>
            </w:pPr>
            <w:r w:rsidRPr="00446085">
              <w:rPr>
                <w:rFonts w:ascii="Arial Narrow" w:hAnsi="Arial Narrow"/>
              </w:rPr>
              <w:t>14</w:t>
            </w:r>
          </w:p>
        </w:tc>
        <w:tc>
          <w:tcPr>
            <w:tcW w:w="3402" w:type="dxa"/>
          </w:tcPr>
          <w:p w:rsidR="00446085" w:rsidRPr="00446085" w:rsidRDefault="00446085" w:rsidP="00FF6C82">
            <w:pPr>
              <w:jc w:val="both"/>
              <w:rPr>
                <w:rFonts w:ascii="Arial Narrow" w:hAnsi="Arial Narrow"/>
              </w:rPr>
            </w:pPr>
            <w:r w:rsidRPr="00446085">
              <w:rPr>
                <w:rFonts w:ascii="Arial Narrow" w:hAnsi="Arial Narrow"/>
              </w:rPr>
              <w:t xml:space="preserve">Does repair and renovation expenses incurred by a company in respect of premises leased out by a shareholder having substantial interest in the company, be treated as deemed dividend? </w:t>
            </w:r>
          </w:p>
          <w:p w:rsidR="00446085" w:rsidRPr="00446085" w:rsidRDefault="00446085" w:rsidP="00FB07EE">
            <w:pPr>
              <w:rPr>
                <w:rFonts w:ascii="Arial Narrow" w:hAnsi="Arial Narrow"/>
              </w:rPr>
            </w:pPr>
          </w:p>
        </w:tc>
        <w:tc>
          <w:tcPr>
            <w:tcW w:w="1842" w:type="dxa"/>
          </w:tcPr>
          <w:p w:rsidR="00446085" w:rsidRPr="00446085" w:rsidRDefault="00446085" w:rsidP="00FB07EE">
            <w:pPr>
              <w:rPr>
                <w:rFonts w:ascii="Arial Narrow" w:hAnsi="Arial Narrow"/>
                <w:i/>
                <w:iCs/>
              </w:rPr>
            </w:pPr>
            <w:r w:rsidRPr="00446085">
              <w:rPr>
                <w:rFonts w:ascii="Arial Narrow" w:hAnsi="Arial Narrow"/>
                <w:i/>
                <w:iCs/>
              </w:rPr>
              <w:t>CIT v. Vir</w:t>
            </w:r>
            <w:r w:rsidR="005224FC">
              <w:rPr>
                <w:rFonts w:ascii="Arial Narrow" w:hAnsi="Arial Narrow"/>
                <w:i/>
                <w:iCs/>
              </w:rPr>
              <w:t xml:space="preserve"> </w:t>
            </w:r>
            <w:r w:rsidRPr="00446085">
              <w:rPr>
                <w:rFonts w:ascii="Arial Narrow" w:hAnsi="Arial Narrow"/>
                <w:i/>
                <w:iCs/>
              </w:rPr>
              <w:t>Vikram</w:t>
            </w:r>
            <w:r w:rsidR="005224FC">
              <w:rPr>
                <w:rFonts w:ascii="Arial Narrow" w:hAnsi="Arial Narrow"/>
                <w:i/>
                <w:iCs/>
              </w:rPr>
              <w:t xml:space="preserve"> </w:t>
            </w:r>
            <w:r w:rsidRPr="00446085">
              <w:rPr>
                <w:rFonts w:ascii="Arial Narrow" w:hAnsi="Arial Narrow"/>
                <w:i/>
                <w:iCs/>
              </w:rPr>
              <w:t>Vaid (Bom)</w:t>
            </w:r>
          </w:p>
        </w:tc>
        <w:tc>
          <w:tcPr>
            <w:tcW w:w="4678" w:type="dxa"/>
          </w:tcPr>
          <w:p w:rsidR="00446085" w:rsidRPr="00446085" w:rsidRDefault="00446085" w:rsidP="00FF6C82">
            <w:pPr>
              <w:jc w:val="both"/>
              <w:rPr>
                <w:rFonts w:ascii="Arial Narrow" w:hAnsi="Arial Narrow"/>
              </w:rPr>
            </w:pPr>
            <w:r w:rsidRPr="00446085">
              <w:rPr>
                <w:rFonts w:ascii="Arial Narrow" w:hAnsi="Arial Narrow"/>
              </w:rPr>
              <w:t>The High Court, held that the repair and renovation expenses in respect of premises occupied by the company cannot be treated as deemed dividend in the hands of shareholder being the owner of the building</w:t>
            </w:r>
          </w:p>
        </w:tc>
      </w:tr>
      <w:tr w:rsidR="00446085" w:rsidRPr="00446085" w:rsidTr="00DB75EF">
        <w:tc>
          <w:tcPr>
            <w:tcW w:w="534" w:type="dxa"/>
          </w:tcPr>
          <w:p w:rsidR="00446085" w:rsidRPr="00446085" w:rsidRDefault="00446085" w:rsidP="00FB07EE">
            <w:pPr>
              <w:rPr>
                <w:rFonts w:ascii="Arial Narrow" w:hAnsi="Arial Narrow"/>
              </w:rPr>
            </w:pPr>
            <w:r w:rsidRPr="00446085">
              <w:rPr>
                <w:rFonts w:ascii="Arial Narrow" w:hAnsi="Arial Narrow"/>
              </w:rPr>
              <w:t>15</w:t>
            </w:r>
          </w:p>
        </w:tc>
        <w:tc>
          <w:tcPr>
            <w:tcW w:w="3402" w:type="dxa"/>
          </w:tcPr>
          <w:p w:rsidR="00446085" w:rsidRPr="00446085" w:rsidRDefault="00446085" w:rsidP="00FF6C82">
            <w:pPr>
              <w:jc w:val="both"/>
              <w:rPr>
                <w:rFonts w:ascii="Arial Narrow" w:hAnsi="Arial Narrow"/>
              </w:rPr>
            </w:pPr>
            <w:r w:rsidRPr="00446085">
              <w:rPr>
                <w:rFonts w:ascii="Arial Narrow" w:hAnsi="Arial Narrow"/>
              </w:rPr>
              <w:t>Where land inherited by three brothers is compulsorily acquired by the State Government, whether the resultant capital gain would be assessed in the status of “Association of Persons” (AOP) or in their individual status?</w:t>
            </w:r>
          </w:p>
          <w:p w:rsidR="00446085" w:rsidRPr="00446085" w:rsidRDefault="00446085" w:rsidP="00FF6C82">
            <w:pPr>
              <w:jc w:val="both"/>
              <w:rPr>
                <w:rFonts w:ascii="Arial Narrow" w:hAnsi="Arial Narrow"/>
              </w:rPr>
            </w:pPr>
            <w:r w:rsidRPr="00446085">
              <w:rPr>
                <w:rFonts w:ascii="Arial Narrow" w:hAnsi="Arial Narrow"/>
              </w:rPr>
              <w:t xml:space="preserve"> </w:t>
            </w:r>
          </w:p>
        </w:tc>
        <w:tc>
          <w:tcPr>
            <w:tcW w:w="1842" w:type="dxa"/>
          </w:tcPr>
          <w:p w:rsidR="00446085" w:rsidRPr="005224FC" w:rsidRDefault="00446085" w:rsidP="00FB07EE">
            <w:pPr>
              <w:rPr>
                <w:rFonts w:ascii="Arial Narrow" w:hAnsi="Arial Narrow"/>
                <w:b/>
                <w:i/>
                <w:iCs/>
              </w:rPr>
            </w:pPr>
            <w:r w:rsidRPr="005224FC">
              <w:rPr>
                <w:rFonts w:ascii="Arial Narrow" w:hAnsi="Arial Narrow"/>
                <w:b/>
                <w:i/>
                <w:iCs/>
              </w:rPr>
              <w:t>CIT v. Govindbhai Mamaiya (SC)</w:t>
            </w:r>
          </w:p>
        </w:tc>
        <w:tc>
          <w:tcPr>
            <w:tcW w:w="4678" w:type="dxa"/>
          </w:tcPr>
          <w:p w:rsidR="00446085" w:rsidRPr="00446085" w:rsidRDefault="00446085" w:rsidP="00FF6C82">
            <w:pPr>
              <w:jc w:val="both"/>
              <w:rPr>
                <w:rFonts w:ascii="Arial Narrow" w:hAnsi="Arial Narrow"/>
              </w:rPr>
            </w:pPr>
            <w:r w:rsidRPr="00446085">
              <w:rPr>
                <w:rFonts w:ascii="Arial Narrow" w:hAnsi="Arial Narrow"/>
              </w:rPr>
              <w:t>The Supreme Court, held that the income from asset inherited by the legal heirs is taxable in their individual hands and not in the status of AOP.</w:t>
            </w:r>
          </w:p>
        </w:tc>
      </w:tr>
      <w:tr w:rsidR="00446085" w:rsidRPr="00446085" w:rsidTr="00DB75EF">
        <w:tc>
          <w:tcPr>
            <w:tcW w:w="534" w:type="dxa"/>
          </w:tcPr>
          <w:p w:rsidR="00446085" w:rsidRPr="00446085" w:rsidRDefault="00446085" w:rsidP="00FB07EE">
            <w:pPr>
              <w:rPr>
                <w:rFonts w:ascii="Arial Narrow" w:hAnsi="Arial Narrow"/>
              </w:rPr>
            </w:pPr>
            <w:r w:rsidRPr="00446085">
              <w:rPr>
                <w:rFonts w:ascii="Arial Narrow" w:hAnsi="Arial Narrow"/>
              </w:rPr>
              <w:t>16</w:t>
            </w:r>
          </w:p>
        </w:tc>
        <w:tc>
          <w:tcPr>
            <w:tcW w:w="3402" w:type="dxa"/>
          </w:tcPr>
          <w:p w:rsidR="00446085" w:rsidRPr="00446085" w:rsidRDefault="00446085" w:rsidP="00DB75EF">
            <w:pPr>
              <w:jc w:val="both"/>
              <w:rPr>
                <w:rFonts w:ascii="Arial Narrow" w:hAnsi="Arial Narrow"/>
              </w:rPr>
            </w:pPr>
            <w:r w:rsidRPr="00446085">
              <w:rPr>
                <w:rFonts w:ascii="Arial Narrow" w:hAnsi="Arial Narrow"/>
              </w:rPr>
              <w:t>Can the assessee</w:t>
            </w:r>
            <w:r w:rsidR="00DB75EF">
              <w:t>’</w:t>
            </w:r>
            <w:r w:rsidRPr="00446085">
              <w:rPr>
                <w:rFonts w:ascii="Arial Narrow" w:hAnsi="Arial Narrow"/>
              </w:rPr>
              <w:t xml:space="preserve">s application, for adjustment of tax liability on income surrendered during search by sale of seized gold bars, be entertained, where assessment has not been completed? </w:t>
            </w:r>
          </w:p>
        </w:tc>
        <w:tc>
          <w:tcPr>
            <w:tcW w:w="1842" w:type="dxa"/>
          </w:tcPr>
          <w:p w:rsidR="00446085" w:rsidRPr="00446085" w:rsidRDefault="00446085" w:rsidP="00FB07EE">
            <w:pPr>
              <w:rPr>
                <w:rFonts w:ascii="Arial Narrow" w:hAnsi="Arial Narrow"/>
                <w:i/>
                <w:iCs/>
              </w:rPr>
            </w:pPr>
            <w:r w:rsidRPr="00446085">
              <w:rPr>
                <w:rFonts w:ascii="Arial Narrow" w:hAnsi="Arial Narrow"/>
                <w:i/>
                <w:iCs/>
              </w:rPr>
              <w:t>Hemant Kumar Sindhi &amp; Another v. CIT (All)</w:t>
            </w:r>
          </w:p>
        </w:tc>
        <w:tc>
          <w:tcPr>
            <w:tcW w:w="4678" w:type="dxa"/>
          </w:tcPr>
          <w:p w:rsidR="00446085" w:rsidRPr="00446085" w:rsidRDefault="00446085" w:rsidP="00DB75EF">
            <w:pPr>
              <w:jc w:val="both"/>
              <w:rPr>
                <w:rFonts w:ascii="Arial Narrow" w:hAnsi="Arial Narrow"/>
              </w:rPr>
            </w:pPr>
            <w:r w:rsidRPr="00446085">
              <w:rPr>
                <w:rFonts w:ascii="Arial Narrow" w:hAnsi="Arial Narrow"/>
              </w:rPr>
              <w:t>The High Court, held that the Assessing Officer was justified in his conclusion that it is only when the liability is determined on the completion of assessment that it would stand crystallized and in pursuance of which a demand can be raised and recovery can be initiated. Therefore, in the present case, the first proviso to section 132B(1)(i) would not be attracted. The High Court, thus, dismissed the writ petition.</w:t>
            </w:r>
          </w:p>
          <w:p w:rsidR="00446085" w:rsidRPr="00446085" w:rsidRDefault="00446085" w:rsidP="00DB75EF">
            <w:pPr>
              <w:jc w:val="both"/>
              <w:rPr>
                <w:rFonts w:ascii="Arial Narrow" w:hAnsi="Arial Narrow"/>
              </w:rPr>
            </w:pPr>
          </w:p>
        </w:tc>
      </w:tr>
      <w:tr w:rsidR="00446085" w:rsidRPr="00446085" w:rsidTr="00DB75EF">
        <w:tc>
          <w:tcPr>
            <w:tcW w:w="534" w:type="dxa"/>
          </w:tcPr>
          <w:p w:rsidR="00446085" w:rsidRPr="00446085" w:rsidRDefault="00446085" w:rsidP="00FB07EE">
            <w:pPr>
              <w:rPr>
                <w:rFonts w:ascii="Arial Narrow" w:hAnsi="Arial Narrow"/>
              </w:rPr>
            </w:pPr>
            <w:r w:rsidRPr="00446085">
              <w:rPr>
                <w:rFonts w:ascii="Arial Narrow" w:hAnsi="Arial Narrow"/>
              </w:rPr>
              <w:t>17</w:t>
            </w:r>
          </w:p>
        </w:tc>
        <w:tc>
          <w:tcPr>
            <w:tcW w:w="3402" w:type="dxa"/>
          </w:tcPr>
          <w:p w:rsidR="00446085" w:rsidRPr="00446085" w:rsidRDefault="00446085" w:rsidP="00DB75EF">
            <w:pPr>
              <w:jc w:val="both"/>
              <w:rPr>
                <w:rFonts w:ascii="Arial Narrow" w:hAnsi="Arial Narrow"/>
              </w:rPr>
            </w:pPr>
            <w:r w:rsidRPr="00446085">
              <w:rPr>
                <w:rFonts w:ascii="Arial Narrow" w:hAnsi="Arial Narrow"/>
              </w:rPr>
              <w:t>Can the Assessing Officer reassess the issues other than the issues in respect of which proceedings were initiated under section 147, when the original “reasons to believe” on the basis of which the notice was issued ceased to exist?</w:t>
            </w:r>
          </w:p>
        </w:tc>
        <w:tc>
          <w:tcPr>
            <w:tcW w:w="1842" w:type="dxa"/>
          </w:tcPr>
          <w:p w:rsidR="00446085" w:rsidRPr="005224FC" w:rsidRDefault="00446085" w:rsidP="00FB07EE">
            <w:pPr>
              <w:rPr>
                <w:rFonts w:ascii="Arial Narrow" w:hAnsi="Arial Narrow"/>
                <w:b/>
                <w:i/>
                <w:iCs/>
              </w:rPr>
            </w:pPr>
            <w:r w:rsidRPr="005224FC">
              <w:rPr>
                <w:rFonts w:ascii="Arial Narrow" w:hAnsi="Arial Narrow"/>
                <w:b/>
                <w:i/>
                <w:iCs/>
              </w:rPr>
              <w:t>CIT v. Mehak Finvest P Ltd (P &amp; H)</w:t>
            </w:r>
          </w:p>
        </w:tc>
        <w:tc>
          <w:tcPr>
            <w:tcW w:w="4678" w:type="dxa"/>
          </w:tcPr>
          <w:p w:rsidR="00446085" w:rsidRPr="00446085" w:rsidRDefault="00446085" w:rsidP="00DB75EF">
            <w:pPr>
              <w:jc w:val="both"/>
              <w:rPr>
                <w:rFonts w:ascii="Arial Narrow" w:hAnsi="Arial Narrow"/>
              </w:rPr>
            </w:pPr>
            <w:r w:rsidRPr="00446085">
              <w:rPr>
                <w:rFonts w:ascii="Arial Narrow" w:hAnsi="Arial Narrow"/>
              </w:rPr>
              <w:t>The High Court, held that even though no addition is made on the original grounds which formed the basis of initiation of reassessment proceedings, the Assessing Officer is empowered to make additions on another ground for which reassessment notice might not have been issued but which came to his notice subsequently during the course of proceedings for reassessment.</w:t>
            </w:r>
          </w:p>
          <w:p w:rsidR="00446085" w:rsidRPr="00446085" w:rsidRDefault="00446085" w:rsidP="00DB75EF">
            <w:pPr>
              <w:jc w:val="both"/>
              <w:rPr>
                <w:rFonts w:ascii="Arial Narrow" w:hAnsi="Arial Narrow"/>
              </w:rPr>
            </w:pPr>
          </w:p>
        </w:tc>
      </w:tr>
      <w:tr w:rsidR="00446085" w:rsidRPr="00446085" w:rsidTr="00DB75EF">
        <w:tc>
          <w:tcPr>
            <w:tcW w:w="534" w:type="dxa"/>
          </w:tcPr>
          <w:p w:rsidR="00446085" w:rsidRPr="00446085" w:rsidRDefault="00446085" w:rsidP="00FB07EE">
            <w:pPr>
              <w:rPr>
                <w:rFonts w:ascii="Arial Narrow" w:hAnsi="Arial Narrow"/>
              </w:rPr>
            </w:pPr>
            <w:r w:rsidRPr="00446085">
              <w:rPr>
                <w:rFonts w:ascii="Arial Narrow" w:hAnsi="Arial Narrow"/>
              </w:rPr>
              <w:t>18</w:t>
            </w:r>
          </w:p>
        </w:tc>
        <w:tc>
          <w:tcPr>
            <w:tcW w:w="3402" w:type="dxa"/>
          </w:tcPr>
          <w:p w:rsidR="00446085" w:rsidRPr="00446085" w:rsidRDefault="00446085" w:rsidP="00DB75EF">
            <w:pPr>
              <w:jc w:val="both"/>
              <w:rPr>
                <w:rFonts w:ascii="Arial Narrow" w:hAnsi="Arial Narrow"/>
              </w:rPr>
            </w:pPr>
            <w:r w:rsidRPr="00446085">
              <w:rPr>
                <w:rFonts w:ascii="Arial Narrow" w:hAnsi="Arial Narrow"/>
              </w:rPr>
              <w:t xml:space="preserve">Does the finding or direction in an appellate order that income relates to a different assessment year empower reopening of assessment for that assessment year, irrespective of the expiry of the six year time limit? </w:t>
            </w:r>
          </w:p>
        </w:tc>
        <w:tc>
          <w:tcPr>
            <w:tcW w:w="1842" w:type="dxa"/>
          </w:tcPr>
          <w:p w:rsidR="00446085" w:rsidRPr="00B27EF8" w:rsidRDefault="00446085" w:rsidP="00FB07EE">
            <w:pPr>
              <w:rPr>
                <w:rFonts w:ascii="Arial Narrow" w:hAnsi="Arial Narrow"/>
                <w:b/>
                <w:i/>
                <w:iCs/>
              </w:rPr>
            </w:pPr>
            <w:r w:rsidRPr="00B27EF8">
              <w:rPr>
                <w:rFonts w:ascii="Arial Narrow" w:hAnsi="Arial Narrow"/>
                <w:b/>
                <w:i/>
                <w:iCs/>
              </w:rPr>
              <w:t xml:space="preserve">CIT v. PP Engineering Work (Del) </w:t>
            </w:r>
          </w:p>
        </w:tc>
        <w:tc>
          <w:tcPr>
            <w:tcW w:w="4678" w:type="dxa"/>
          </w:tcPr>
          <w:p w:rsidR="00446085" w:rsidRPr="00446085" w:rsidRDefault="00446085" w:rsidP="00DB75EF">
            <w:pPr>
              <w:jc w:val="both"/>
              <w:rPr>
                <w:rFonts w:ascii="Arial Narrow" w:hAnsi="Arial Narrow"/>
              </w:rPr>
            </w:pPr>
            <w:r w:rsidRPr="00446085">
              <w:rPr>
                <w:rFonts w:ascii="Arial Narrow" w:hAnsi="Arial Narrow"/>
              </w:rPr>
              <w:t>The High Court observed that in view of the order of the Tribunal that the credit entries related to the earlier assessment year i.e., A.Y. 2000-01, the Assessing Officer initiated reassessment proceedings under section 147 by issue of notice under section 148 for the year and passed an order dated 29</w:t>
            </w:r>
            <w:r w:rsidR="00DB75EF">
              <w:rPr>
                <w:rFonts w:ascii="Arial Narrow" w:hAnsi="Arial Narrow"/>
              </w:rPr>
              <w:t>/12/2009 making an addition of Rs.</w:t>
            </w:r>
            <w:r w:rsidRPr="00446085">
              <w:rPr>
                <w:rFonts w:ascii="Arial Narrow" w:hAnsi="Arial Narrow"/>
              </w:rPr>
              <w:t xml:space="preserve"> 32 lakhs. The High Court held that by virtue of section 150 read with </w:t>
            </w:r>
            <w:r w:rsidRPr="00446085">
              <w:rPr>
                <w:rFonts w:ascii="Arial Narrow" w:hAnsi="Arial Narrow"/>
                <w:i/>
                <w:iCs/>
              </w:rPr>
              <w:t>Explanation 2</w:t>
            </w:r>
            <w:r w:rsidRPr="00446085">
              <w:rPr>
                <w:rFonts w:ascii="Arial Narrow" w:hAnsi="Arial Narrow"/>
              </w:rPr>
              <w:t xml:space="preserve"> to section 153, the said order was not barred by limitation.</w:t>
            </w:r>
          </w:p>
          <w:p w:rsidR="00446085" w:rsidRPr="00446085" w:rsidRDefault="00446085" w:rsidP="00DB75EF">
            <w:pPr>
              <w:jc w:val="both"/>
              <w:rPr>
                <w:rFonts w:ascii="Arial Narrow" w:hAnsi="Arial Narrow"/>
              </w:rPr>
            </w:pPr>
          </w:p>
        </w:tc>
      </w:tr>
      <w:tr w:rsidR="00446085" w:rsidRPr="00446085" w:rsidTr="00DB75EF">
        <w:tc>
          <w:tcPr>
            <w:tcW w:w="534" w:type="dxa"/>
          </w:tcPr>
          <w:p w:rsidR="00446085" w:rsidRPr="00446085" w:rsidRDefault="00446085" w:rsidP="00FB07EE">
            <w:pPr>
              <w:rPr>
                <w:rFonts w:ascii="Arial Narrow" w:hAnsi="Arial Narrow"/>
              </w:rPr>
            </w:pPr>
            <w:r w:rsidRPr="00446085">
              <w:rPr>
                <w:rFonts w:ascii="Arial Narrow" w:hAnsi="Arial Narrow"/>
              </w:rPr>
              <w:t>19</w:t>
            </w:r>
          </w:p>
        </w:tc>
        <w:tc>
          <w:tcPr>
            <w:tcW w:w="3402" w:type="dxa"/>
          </w:tcPr>
          <w:p w:rsidR="00446085" w:rsidRPr="00446085" w:rsidRDefault="00446085" w:rsidP="00DB75EF">
            <w:pPr>
              <w:jc w:val="both"/>
              <w:rPr>
                <w:rFonts w:ascii="Arial Narrow" w:hAnsi="Arial Narrow"/>
              </w:rPr>
            </w:pPr>
            <w:r w:rsidRPr="00446085">
              <w:rPr>
                <w:rFonts w:ascii="Arial Narrow" w:hAnsi="Arial Narrow"/>
              </w:rPr>
              <w:t xml:space="preserve">Is initiation of reassessment beyond a period of 4 years on the basis of subsequent Tribunal and High Court ruling valid, if there is no failure on the part of the assessee to disclose fully and truly all materials facts? </w:t>
            </w:r>
          </w:p>
          <w:p w:rsidR="00446085" w:rsidRPr="00446085" w:rsidRDefault="00446085" w:rsidP="00DB75EF">
            <w:pPr>
              <w:jc w:val="both"/>
              <w:rPr>
                <w:rFonts w:ascii="Arial Narrow" w:hAnsi="Arial Narrow"/>
              </w:rPr>
            </w:pPr>
          </w:p>
        </w:tc>
        <w:tc>
          <w:tcPr>
            <w:tcW w:w="1842" w:type="dxa"/>
          </w:tcPr>
          <w:p w:rsidR="00446085" w:rsidRPr="00B27EF8" w:rsidRDefault="00446085" w:rsidP="00FB07EE">
            <w:pPr>
              <w:rPr>
                <w:rFonts w:ascii="Arial Narrow" w:hAnsi="Arial Narrow"/>
                <w:b/>
                <w:i/>
                <w:iCs/>
              </w:rPr>
            </w:pPr>
            <w:r w:rsidRPr="00B27EF8">
              <w:rPr>
                <w:rFonts w:ascii="Arial Narrow" w:hAnsi="Arial Narrow"/>
                <w:b/>
                <w:i/>
                <w:iCs/>
              </w:rPr>
              <w:t>Allanasons Ltd v. Dy. CIT (Bom)</w:t>
            </w:r>
          </w:p>
        </w:tc>
        <w:tc>
          <w:tcPr>
            <w:tcW w:w="4678" w:type="dxa"/>
          </w:tcPr>
          <w:p w:rsidR="00446085" w:rsidRPr="00446085" w:rsidRDefault="00446085" w:rsidP="00DB75EF">
            <w:pPr>
              <w:jc w:val="both"/>
              <w:rPr>
                <w:rFonts w:ascii="Arial Narrow" w:hAnsi="Arial Narrow"/>
              </w:rPr>
            </w:pPr>
            <w:r w:rsidRPr="00446085">
              <w:rPr>
                <w:rFonts w:ascii="Arial Narrow" w:hAnsi="Arial Narrow"/>
              </w:rPr>
              <w:t>The High Court, held that a subsequent decision of Tribunal or High Court by itself is not adequate for reopening the assessment completed earlier under section 143(3) unless there is a failure on the part of the assessee to disclose complete facts.</w:t>
            </w:r>
          </w:p>
        </w:tc>
      </w:tr>
      <w:tr w:rsidR="00446085" w:rsidRPr="00446085" w:rsidTr="00DB75EF">
        <w:tc>
          <w:tcPr>
            <w:tcW w:w="534" w:type="dxa"/>
          </w:tcPr>
          <w:p w:rsidR="00446085" w:rsidRPr="00446085" w:rsidRDefault="00446085" w:rsidP="00FB07EE">
            <w:pPr>
              <w:rPr>
                <w:rFonts w:ascii="Arial Narrow" w:hAnsi="Arial Narrow"/>
              </w:rPr>
            </w:pPr>
            <w:r w:rsidRPr="00446085">
              <w:rPr>
                <w:rFonts w:ascii="Arial Narrow" w:hAnsi="Arial Narrow"/>
              </w:rPr>
              <w:t>20</w:t>
            </w:r>
          </w:p>
        </w:tc>
        <w:tc>
          <w:tcPr>
            <w:tcW w:w="3402" w:type="dxa"/>
          </w:tcPr>
          <w:p w:rsidR="00446085" w:rsidRPr="00446085" w:rsidRDefault="00446085" w:rsidP="00DB75EF">
            <w:pPr>
              <w:jc w:val="both"/>
              <w:rPr>
                <w:rFonts w:ascii="Arial Narrow" w:hAnsi="Arial Narrow"/>
              </w:rPr>
            </w:pPr>
            <w:r w:rsidRPr="00446085">
              <w:rPr>
                <w:rFonts w:ascii="Arial Narrow" w:hAnsi="Arial Narrow"/>
              </w:rPr>
              <w:t xml:space="preserve">Is penalty under section 271D imposable for cash loans/deposits received from partners? </w:t>
            </w:r>
          </w:p>
        </w:tc>
        <w:tc>
          <w:tcPr>
            <w:tcW w:w="1842" w:type="dxa"/>
          </w:tcPr>
          <w:p w:rsidR="00446085" w:rsidRPr="00446085" w:rsidRDefault="00446085" w:rsidP="00FB07EE">
            <w:pPr>
              <w:rPr>
                <w:rFonts w:ascii="Arial Narrow" w:hAnsi="Arial Narrow"/>
                <w:i/>
                <w:iCs/>
              </w:rPr>
            </w:pPr>
            <w:r w:rsidRPr="00446085">
              <w:rPr>
                <w:rFonts w:ascii="Arial Narrow" w:hAnsi="Arial Narrow"/>
                <w:i/>
                <w:iCs/>
              </w:rPr>
              <w:t>Dr. Manoj Kabra v. ITO (Del)</w:t>
            </w:r>
          </w:p>
        </w:tc>
        <w:tc>
          <w:tcPr>
            <w:tcW w:w="4678" w:type="dxa"/>
          </w:tcPr>
          <w:p w:rsidR="00446085" w:rsidRPr="00446085" w:rsidRDefault="00446085" w:rsidP="00DB75EF">
            <w:pPr>
              <w:jc w:val="both"/>
              <w:rPr>
                <w:rFonts w:ascii="Arial Narrow" w:hAnsi="Arial Narrow"/>
              </w:rPr>
            </w:pPr>
            <w:r w:rsidRPr="00446085">
              <w:rPr>
                <w:rFonts w:ascii="Arial Narrow" w:hAnsi="Arial Narrow"/>
              </w:rPr>
              <w:t>The High Court further observed that, in this case, there was no dispute as regards the money brought in by the partners of the assessee -firm. The source of money was also not doubted. The transaction was bona fide and not aimed to avoid any tax liability. The credit worthiness of the partners and genuineness of the transactions coupled with relationship between the "two persons" and two different legal interpretations put forward, could constitute a reasonable cause in a given case for not invoking section s 271D /271E read with section 273B.The High Court held that the issue being a debatable one, there was reasonable cause for not levying penalty.</w:t>
            </w:r>
            <w:r w:rsidR="00DB75EF">
              <w:rPr>
                <w:rFonts w:ascii="Arial Narrow" w:hAnsi="Arial Narrow"/>
              </w:rPr>
              <w:tab/>
            </w:r>
          </w:p>
        </w:tc>
      </w:tr>
      <w:tr w:rsidR="00446085" w:rsidRPr="00446085" w:rsidTr="00DB75EF">
        <w:tc>
          <w:tcPr>
            <w:tcW w:w="534" w:type="dxa"/>
          </w:tcPr>
          <w:p w:rsidR="00446085" w:rsidRPr="00446085" w:rsidRDefault="00446085" w:rsidP="00FB07EE">
            <w:pPr>
              <w:rPr>
                <w:rFonts w:ascii="Arial Narrow" w:hAnsi="Arial Narrow"/>
              </w:rPr>
            </w:pPr>
            <w:r w:rsidRPr="00446085">
              <w:rPr>
                <w:rFonts w:ascii="Arial Narrow" w:hAnsi="Arial Narrow"/>
              </w:rPr>
              <w:t>21</w:t>
            </w:r>
          </w:p>
        </w:tc>
        <w:tc>
          <w:tcPr>
            <w:tcW w:w="3402" w:type="dxa"/>
          </w:tcPr>
          <w:p w:rsidR="00446085" w:rsidRPr="00446085" w:rsidRDefault="00446085" w:rsidP="00DB75EF">
            <w:pPr>
              <w:jc w:val="both"/>
              <w:rPr>
                <w:rFonts w:ascii="Arial Narrow" w:hAnsi="Arial Narrow"/>
              </w:rPr>
            </w:pPr>
            <w:r w:rsidRPr="00446085">
              <w:rPr>
                <w:rFonts w:ascii="Arial Narrow" w:hAnsi="Arial Narrow"/>
              </w:rPr>
              <w:t>Is recording of satisfaction and quantification of escaped income a pre -condition for issuing notice under section 148 after 4 years from the end of the relevant assessment year?</w:t>
            </w:r>
          </w:p>
        </w:tc>
        <w:tc>
          <w:tcPr>
            <w:tcW w:w="1842" w:type="dxa"/>
          </w:tcPr>
          <w:p w:rsidR="00446085" w:rsidRPr="00446085" w:rsidRDefault="00446085" w:rsidP="00FB07EE">
            <w:pPr>
              <w:rPr>
                <w:rFonts w:ascii="Arial Narrow" w:hAnsi="Arial Narrow"/>
                <w:i/>
                <w:iCs/>
              </w:rPr>
            </w:pPr>
            <w:r w:rsidRPr="00446085">
              <w:rPr>
                <w:rFonts w:ascii="Arial Narrow" w:hAnsi="Arial Narrow"/>
                <w:i/>
                <w:iCs/>
              </w:rPr>
              <w:t>Amarnath Agrawal v. CIT</w:t>
            </w:r>
          </w:p>
        </w:tc>
        <w:tc>
          <w:tcPr>
            <w:tcW w:w="4678" w:type="dxa"/>
          </w:tcPr>
          <w:p w:rsidR="00446085" w:rsidRPr="00446085" w:rsidRDefault="00446085" w:rsidP="00DB75EF">
            <w:pPr>
              <w:jc w:val="both"/>
              <w:rPr>
                <w:rFonts w:ascii="Arial Narrow" w:hAnsi="Arial Narrow"/>
              </w:rPr>
            </w:pPr>
            <w:r w:rsidRPr="00446085">
              <w:rPr>
                <w:rFonts w:ascii="Arial Narrow" w:hAnsi="Arial Narrow"/>
              </w:rPr>
              <w:t>The High Court observed that the property was held for more than 3 years and the conversion from leasehold to freehold being an improvement of the title did not have any effect on the taxability of profits. The reasons recorded by the Assessing Officer did not indicate any failure on the part of the assessee to disclose fully and truly all material facts at the time of assessment; it also did not indicate that the quantum of</w:t>
            </w:r>
            <w:r w:rsidR="00DB75EF">
              <w:rPr>
                <w:rFonts w:ascii="Arial Narrow" w:hAnsi="Arial Narrow"/>
              </w:rPr>
              <w:t xml:space="preserve"> escapement of income exceeds Rs. </w:t>
            </w:r>
            <w:r w:rsidRPr="00446085">
              <w:rPr>
                <w:rFonts w:ascii="Arial Narrow" w:hAnsi="Arial Narrow"/>
              </w:rPr>
              <w:t>1 lakh. Accordingly, the High Court held that, in this case, the issue of notice under section 148 after the four year time period was not valid.</w:t>
            </w:r>
          </w:p>
          <w:p w:rsidR="00446085" w:rsidRPr="00446085" w:rsidRDefault="00446085" w:rsidP="00FB07EE">
            <w:pPr>
              <w:rPr>
                <w:rFonts w:ascii="Arial Narrow" w:hAnsi="Arial Narrow"/>
              </w:rPr>
            </w:pPr>
          </w:p>
        </w:tc>
      </w:tr>
      <w:tr w:rsidR="00446085" w:rsidRPr="00446085" w:rsidTr="00DB75EF">
        <w:tc>
          <w:tcPr>
            <w:tcW w:w="534" w:type="dxa"/>
          </w:tcPr>
          <w:p w:rsidR="00446085" w:rsidRPr="00446085" w:rsidRDefault="00446085" w:rsidP="00FB07EE">
            <w:pPr>
              <w:rPr>
                <w:rFonts w:ascii="Arial Narrow" w:hAnsi="Arial Narrow"/>
              </w:rPr>
            </w:pPr>
            <w:r w:rsidRPr="00446085">
              <w:rPr>
                <w:rFonts w:ascii="Arial Narrow" w:hAnsi="Arial Narrow"/>
              </w:rPr>
              <w:t>22</w:t>
            </w:r>
          </w:p>
        </w:tc>
        <w:tc>
          <w:tcPr>
            <w:tcW w:w="3402" w:type="dxa"/>
          </w:tcPr>
          <w:p w:rsidR="00446085" w:rsidRPr="00446085" w:rsidRDefault="00446085" w:rsidP="00DB75EF">
            <w:pPr>
              <w:jc w:val="both"/>
              <w:rPr>
                <w:rFonts w:ascii="Arial Narrow" w:hAnsi="Arial Narrow"/>
              </w:rPr>
            </w:pPr>
            <w:r w:rsidRPr="00446085">
              <w:rPr>
                <w:rFonts w:ascii="Arial Narrow" w:hAnsi="Arial Narrow"/>
              </w:rPr>
              <w:t>Should the four year time limit for rectification of order by the Tribunal under section 254(2) be reckoned from the date of its order or from the date of receipt of order by the assessee</w:t>
            </w:r>
          </w:p>
        </w:tc>
        <w:tc>
          <w:tcPr>
            <w:tcW w:w="1842" w:type="dxa"/>
          </w:tcPr>
          <w:p w:rsidR="00446085" w:rsidRPr="00446085" w:rsidRDefault="00446085" w:rsidP="00FB07EE">
            <w:pPr>
              <w:rPr>
                <w:rFonts w:ascii="Arial Narrow" w:hAnsi="Arial Narrow"/>
                <w:i/>
                <w:iCs/>
              </w:rPr>
            </w:pPr>
            <w:r w:rsidRPr="00446085">
              <w:rPr>
                <w:rFonts w:ascii="Arial Narrow" w:hAnsi="Arial Narrow"/>
                <w:i/>
                <w:iCs/>
              </w:rPr>
              <w:t>Peterplast Synthetics P Ltd v. Asstt. CIT (Guj)</w:t>
            </w:r>
          </w:p>
        </w:tc>
        <w:tc>
          <w:tcPr>
            <w:tcW w:w="4678" w:type="dxa"/>
          </w:tcPr>
          <w:p w:rsidR="00446085" w:rsidRPr="00446085" w:rsidRDefault="00446085" w:rsidP="00DB75EF">
            <w:pPr>
              <w:jc w:val="both"/>
              <w:rPr>
                <w:rFonts w:ascii="Arial Narrow" w:hAnsi="Arial Narrow"/>
              </w:rPr>
            </w:pPr>
            <w:r w:rsidRPr="00446085">
              <w:rPr>
                <w:rFonts w:ascii="Arial Narrow" w:hAnsi="Arial Narrow"/>
              </w:rPr>
              <w:t>Applying the rationale of the above Bombay High Court ruling pronounced in relation to an application for revision, to the issue on hand pertaining to the date of reckoning the period of limitation for rectification under section 254(2), the Gujarat High Court held that the period of limitation has to be reckoned from the date of receipt of order by the assessee and not from the date of order. Therefore, the Tribunal had erred in dismissing the rectification application on the ground that it was barred by limitation by computing the time limit from the date of order instead of from the date of receipt of order by the assessee.</w:t>
            </w:r>
          </w:p>
          <w:p w:rsidR="00446085" w:rsidRPr="00446085" w:rsidRDefault="00446085" w:rsidP="00DB75EF">
            <w:pPr>
              <w:jc w:val="both"/>
              <w:rPr>
                <w:rFonts w:ascii="Arial Narrow" w:hAnsi="Arial Narrow"/>
              </w:rPr>
            </w:pPr>
          </w:p>
        </w:tc>
      </w:tr>
      <w:tr w:rsidR="00446085" w:rsidRPr="00446085" w:rsidTr="00DB75EF">
        <w:tc>
          <w:tcPr>
            <w:tcW w:w="534" w:type="dxa"/>
          </w:tcPr>
          <w:p w:rsidR="00446085" w:rsidRPr="00446085" w:rsidRDefault="00446085" w:rsidP="00FB07EE">
            <w:pPr>
              <w:rPr>
                <w:rFonts w:ascii="Arial Narrow" w:hAnsi="Arial Narrow"/>
              </w:rPr>
            </w:pPr>
            <w:r w:rsidRPr="00446085">
              <w:rPr>
                <w:rFonts w:ascii="Arial Narrow" w:hAnsi="Arial Narrow"/>
              </w:rPr>
              <w:t>23</w:t>
            </w:r>
          </w:p>
        </w:tc>
        <w:tc>
          <w:tcPr>
            <w:tcW w:w="3402" w:type="dxa"/>
          </w:tcPr>
          <w:p w:rsidR="00446085" w:rsidRPr="00446085" w:rsidRDefault="00446085" w:rsidP="00DB75EF">
            <w:pPr>
              <w:jc w:val="both"/>
              <w:rPr>
                <w:rFonts w:ascii="Arial Narrow" w:hAnsi="Arial Narrow"/>
              </w:rPr>
            </w:pPr>
            <w:r w:rsidRPr="00446085">
              <w:rPr>
                <w:rFonts w:ascii="Arial Narrow" w:hAnsi="Arial Narrow"/>
              </w:rPr>
              <w:t xml:space="preserve">Is time limit under section 263 to be reckoned with reference to the date of assessment order or reassessment order, where the revision is in relation to an item which was not the subject matter of reassessment? </w:t>
            </w:r>
          </w:p>
          <w:p w:rsidR="00446085" w:rsidRPr="00446085" w:rsidRDefault="00446085" w:rsidP="00DB75EF">
            <w:pPr>
              <w:jc w:val="both"/>
              <w:rPr>
                <w:rFonts w:ascii="Arial Narrow" w:hAnsi="Arial Narrow"/>
              </w:rPr>
            </w:pPr>
          </w:p>
        </w:tc>
        <w:tc>
          <w:tcPr>
            <w:tcW w:w="1842" w:type="dxa"/>
          </w:tcPr>
          <w:p w:rsidR="00446085" w:rsidRPr="00446085" w:rsidRDefault="00446085" w:rsidP="00FB07EE">
            <w:pPr>
              <w:rPr>
                <w:rFonts w:ascii="Arial Narrow" w:hAnsi="Arial Narrow"/>
                <w:i/>
                <w:iCs/>
              </w:rPr>
            </w:pPr>
            <w:r w:rsidRPr="00446085">
              <w:rPr>
                <w:rFonts w:ascii="Arial Narrow" w:hAnsi="Arial Narrow"/>
                <w:i/>
                <w:iCs/>
              </w:rPr>
              <w:t>CIT v. Lark Chemicals Ltd (Bom)</w:t>
            </w:r>
          </w:p>
        </w:tc>
        <w:tc>
          <w:tcPr>
            <w:tcW w:w="4678" w:type="dxa"/>
          </w:tcPr>
          <w:p w:rsidR="00446085" w:rsidRPr="00446085" w:rsidRDefault="00446085" w:rsidP="00DB75EF">
            <w:pPr>
              <w:jc w:val="both"/>
              <w:rPr>
                <w:rFonts w:ascii="Arial Narrow" w:hAnsi="Arial Narrow"/>
              </w:rPr>
            </w:pPr>
            <w:r w:rsidRPr="00446085">
              <w:rPr>
                <w:rFonts w:ascii="Arial Narrow" w:hAnsi="Arial Narrow"/>
              </w:rPr>
              <w:t>The High Court, held that the jurisdiction under section 263 could not be assumed on issues which were not the subject matter of issues dealt with in the order of reassessment but were part of the original assessment, for which the period of limitation expired long ago.</w:t>
            </w:r>
          </w:p>
        </w:tc>
      </w:tr>
      <w:tr w:rsidR="00446085" w:rsidRPr="00446085" w:rsidTr="00DB75EF">
        <w:tc>
          <w:tcPr>
            <w:tcW w:w="534" w:type="dxa"/>
          </w:tcPr>
          <w:p w:rsidR="00446085" w:rsidRPr="00446085" w:rsidRDefault="00446085" w:rsidP="00FB07EE">
            <w:pPr>
              <w:rPr>
                <w:rFonts w:ascii="Arial Narrow" w:hAnsi="Arial Narrow"/>
              </w:rPr>
            </w:pPr>
            <w:r w:rsidRPr="00446085">
              <w:rPr>
                <w:rFonts w:ascii="Arial Narrow" w:hAnsi="Arial Narrow"/>
              </w:rPr>
              <w:t>24</w:t>
            </w:r>
          </w:p>
        </w:tc>
        <w:tc>
          <w:tcPr>
            <w:tcW w:w="3402" w:type="dxa"/>
          </w:tcPr>
          <w:p w:rsidR="00446085" w:rsidRPr="00446085" w:rsidRDefault="00446085" w:rsidP="00DB75EF">
            <w:pPr>
              <w:jc w:val="both"/>
              <w:rPr>
                <w:rFonts w:ascii="Arial Narrow" w:hAnsi="Arial Narrow"/>
              </w:rPr>
            </w:pPr>
            <w:r w:rsidRPr="00446085">
              <w:rPr>
                <w:rFonts w:ascii="Arial Narrow" w:hAnsi="Arial Narrow"/>
              </w:rPr>
              <w:t xml:space="preserve">Is concealment penalty leviable when the High Court admits the quantum appeal as involving substantial question of law? </w:t>
            </w:r>
          </w:p>
        </w:tc>
        <w:tc>
          <w:tcPr>
            <w:tcW w:w="1842" w:type="dxa"/>
          </w:tcPr>
          <w:p w:rsidR="00446085" w:rsidRPr="00446085" w:rsidRDefault="00446085" w:rsidP="00FB07EE">
            <w:pPr>
              <w:rPr>
                <w:rFonts w:ascii="Arial Narrow" w:hAnsi="Arial Narrow"/>
                <w:i/>
                <w:iCs/>
              </w:rPr>
            </w:pPr>
            <w:r w:rsidRPr="00446085">
              <w:rPr>
                <w:rFonts w:ascii="Arial Narrow" w:hAnsi="Arial Narrow"/>
                <w:i/>
                <w:iCs/>
              </w:rPr>
              <w:t>Dr. Manoj Kabra v. ITO (Bom)</w:t>
            </w:r>
          </w:p>
        </w:tc>
        <w:tc>
          <w:tcPr>
            <w:tcW w:w="4678" w:type="dxa"/>
          </w:tcPr>
          <w:p w:rsidR="00446085" w:rsidRPr="00446085" w:rsidRDefault="00446085" w:rsidP="00DB75EF">
            <w:pPr>
              <w:jc w:val="both"/>
              <w:rPr>
                <w:rFonts w:ascii="Arial Narrow" w:hAnsi="Arial Narrow"/>
              </w:rPr>
            </w:pPr>
            <w:r w:rsidRPr="00446085">
              <w:rPr>
                <w:rFonts w:ascii="Arial Narrow" w:hAnsi="Arial Narrow"/>
              </w:rPr>
              <w:t>The High Court further observed that, in this case, there was no dispute as regards the money brought in by the partners of the assessee -firm. The source of money was also not doubted. The transaction was bona fide and not aimed to avoid any tax liability. The credit worthiness of the partners and genuineness of the transactions coupled with relationship between the "two persons" and two different legal interpretations put forward, could constitute a reasonable cause in a given case for not invoking section s 271D /271E read with section 273B.The High Court held that the issue being a debatable one, there was reasonable cause for not levying penalty.</w:t>
            </w:r>
          </w:p>
          <w:p w:rsidR="00446085" w:rsidRPr="00446085" w:rsidRDefault="00446085" w:rsidP="00DB75EF">
            <w:pPr>
              <w:jc w:val="both"/>
              <w:rPr>
                <w:rFonts w:ascii="Arial Narrow" w:hAnsi="Arial Narrow"/>
              </w:rPr>
            </w:pPr>
          </w:p>
        </w:tc>
      </w:tr>
      <w:tr w:rsidR="00446085" w:rsidRPr="00446085" w:rsidTr="00DB75EF">
        <w:tc>
          <w:tcPr>
            <w:tcW w:w="534" w:type="dxa"/>
          </w:tcPr>
          <w:p w:rsidR="00446085" w:rsidRPr="00446085" w:rsidRDefault="00446085" w:rsidP="00FB07EE">
            <w:pPr>
              <w:rPr>
                <w:rFonts w:ascii="Arial Narrow" w:hAnsi="Arial Narrow"/>
              </w:rPr>
            </w:pPr>
            <w:r w:rsidRPr="00446085">
              <w:rPr>
                <w:rFonts w:ascii="Arial Narrow" w:hAnsi="Arial Narrow"/>
              </w:rPr>
              <w:t>25</w:t>
            </w:r>
          </w:p>
        </w:tc>
        <w:tc>
          <w:tcPr>
            <w:tcW w:w="3402" w:type="dxa"/>
          </w:tcPr>
          <w:p w:rsidR="00446085" w:rsidRPr="00446085" w:rsidRDefault="00446085" w:rsidP="00DB75EF">
            <w:pPr>
              <w:jc w:val="both"/>
              <w:rPr>
                <w:rFonts w:ascii="Arial Narrow" w:hAnsi="Arial Narrow"/>
              </w:rPr>
            </w:pPr>
            <w:r w:rsidRPr="00446085">
              <w:rPr>
                <w:rFonts w:ascii="Arial Narrow" w:hAnsi="Arial Narrow"/>
              </w:rPr>
              <w:t xml:space="preserve">Can the Assessing Officer </w:t>
            </w:r>
            <w:r w:rsidRPr="00446085">
              <w:rPr>
                <w:rFonts w:ascii="Arial Narrow" w:hAnsi="Arial Narrow"/>
                <w:i/>
                <w:iCs/>
              </w:rPr>
              <w:t>suo moto</w:t>
            </w:r>
            <w:r w:rsidRPr="00446085">
              <w:rPr>
                <w:rFonts w:ascii="Arial Narrow" w:hAnsi="Arial Narrow"/>
              </w:rPr>
              <w:t xml:space="preserve"> assume jurisdiction to declare sale of property as void under section 281?</w:t>
            </w:r>
          </w:p>
          <w:p w:rsidR="00446085" w:rsidRPr="00446085" w:rsidRDefault="00446085" w:rsidP="00DB75EF">
            <w:pPr>
              <w:jc w:val="both"/>
              <w:rPr>
                <w:rFonts w:ascii="Arial Narrow" w:hAnsi="Arial Narrow"/>
              </w:rPr>
            </w:pPr>
          </w:p>
        </w:tc>
        <w:tc>
          <w:tcPr>
            <w:tcW w:w="1842" w:type="dxa"/>
          </w:tcPr>
          <w:p w:rsidR="00446085" w:rsidRPr="00446085" w:rsidRDefault="00446085" w:rsidP="00FB07EE">
            <w:pPr>
              <w:rPr>
                <w:rFonts w:ascii="Arial Narrow" w:hAnsi="Arial Narrow"/>
                <w:i/>
                <w:iCs/>
              </w:rPr>
            </w:pPr>
            <w:r w:rsidRPr="00446085">
              <w:rPr>
                <w:rFonts w:ascii="Arial Narrow" w:hAnsi="Arial Narrow"/>
                <w:i/>
                <w:iCs/>
              </w:rPr>
              <w:t>Dr. Manoj Kabra v. ITO(All)</w:t>
            </w:r>
          </w:p>
        </w:tc>
        <w:tc>
          <w:tcPr>
            <w:tcW w:w="4678" w:type="dxa"/>
          </w:tcPr>
          <w:p w:rsidR="00446085" w:rsidRPr="00446085" w:rsidRDefault="00446085" w:rsidP="00DB75EF">
            <w:pPr>
              <w:jc w:val="both"/>
              <w:rPr>
                <w:rFonts w:ascii="Arial Narrow" w:hAnsi="Arial Narrow"/>
              </w:rPr>
            </w:pPr>
            <w:r w:rsidRPr="00446085">
              <w:rPr>
                <w:rFonts w:ascii="Arial Narrow" w:hAnsi="Arial Narrow"/>
              </w:rPr>
              <w:t xml:space="preserve">The High Court held that the Assessing Officer has no jurisdiction under section 281 to </w:t>
            </w:r>
            <w:r w:rsidRPr="00446085">
              <w:rPr>
                <w:rFonts w:ascii="Arial Narrow" w:hAnsi="Arial Narrow"/>
                <w:i/>
                <w:iCs/>
              </w:rPr>
              <w:t>suo moto</w:t>
            </w:r>
            <w:r w:rsidRPr="00446085">
              <w:rPr>
                <w:rFonts w:ascii="Arial Narrow" w:hAnsi="Arial Narrow"/>
              </w:rPr>
              <w:t xml:space="preserve"> declare the sale as void.</w:t>
            </w:r>
          </w:p>
        </w:tc>
      </w:tr>
      <w:tr w:rsidR="00446085" w:rsidRPr="00446085" w:rsidTr="00DB75EF">
        <w:tc>
          <w:tcPr>
            <w:tcW w:w="534" w:type="dxa"/>
          </w:tcPr>
          <w:p w:rsidR="00446085" w:rsidRPr="00446085" w:rsidRDefault="00446085" w:rsidP="00FB07EE">
            <w:pPr>
              <w:rPr>
                <w:rFonts w:ascii="Arial Narrow" w:hAnsi="Arial Narrow"/>
              </w:rPr>
            </w:pPr>
            <w:r w:rsidRPr="00446085">
              <w:rPr>
                <w:rFonts w:ascii="Arial Narrow" w:hAnsi="Arial Narrow"/>
              </w:rPr>
              <w:t>26</w:t>
            </w:r>
          </w:p>
        </w:tc>
        <w:tc>
          <w:tcPr>
            <w:tcW w:w="3402" w:type="dxa"/>
          </w:tcPr>
          <w:p w:rsidR="00446085" w:rsidRPr="00446085" w:rsidRDefault="00446085" w:rsidP="00DB75EF">
            <w:pPr>
              <w:jc w:val="both"/>
              <w:rPr>
                <w:rFonts w:ascii="Arial Narrow" w:hAnsi="Arial Narrow"/>
              </w:rPr>
            </w:pPr>
            <w:r w:rsidRPr="00446085">
              <w:rPr>
                <w:rFonts w:ascii="Arial Narrow" w:hAnsi="Arial Narrow"/>
              </w:rPr>
              <w:t>Is section 194A applicable in respect of interest on fixed deposits in the name of Registrar General of High Court?</w:t>
            </w:r>
          </w:p>
        </w:tc>
        <w:tc>
          <w:tcPr>
            <w:tcW w:w="1842" w:type="dxa"/>
          </w:tcPr>
          <w:p w:rsidR="00446085" w:rsidRPr="00446085" w:rsidRDefault="00446085" w:rsidP="00FB07EE">
            <w:pPr>
              <w:rPr>
                <w:rFonts w:ascii="Arial Narrow" w:hAnsi="Arial Narrow"/>
                <w:i/>
                <w:iCs/>
              </w:rPr>
            </w:pPr>
            <w:r w:rsidRPr="00446085">
              <w:rPr>
                <w:rFonts w:ascii="Arial Narrow" w:hAnsi="Arial Narrow"/>
                <w:i/>
                <w:iCs/>
              </w:rPr>
              <w:t>UCO Bank v. Dy. CIT (Del)</w:t>
            </w:r>
          </w:p>
        </w:tc>
        <w:tc>
          <w:tcPr>
            <w:tcW w:w="4678" w:type="dxa"/>
          </w:tcPr>
          <w:p w:rsidR="00446085" w:rsidRPr="00446085" w:rsidRDefault="00446085" w:rsidP="00DB75EF">
            <w:pPr>
              <w:jc w:val="both"/>
              <w:rPr>
                <w:rFonts w:ascii="Arial Narrow" w:hAnsi="Arial Narrow"/>
              </w:rPr>
            </w:pPr>
            <w:r w:rsidRPr="00446085">
              <w:rPr>
                <w:rFonts w:ascii="Arial Narrow" w:hAnsi="Arial Narrow"/>
              </w:rPr>
              <w:t>The High Court observed that in the absence of a payee, the machinery provisions for deduction of tax to his credit are ineffective. The expression “payee ” under section 194A would mean the recipient of income whose account is maintained by the person paying interest. The Registrar General is neither recipient of the amount credited to his account nor to interest accruing thereon. Therefore, he cannot be considered as a „payee</w:t>
            </w:r>
            <w:r w:rsidRPr="00446085">
              <w:t>‟</w:t>
            </w:r>
            <w:r w:rsidRPr="00446085">
              <w:rPr>
                <w:rFonts w:ascii="Arial Narrow" w:hAnsi="Arial Narrow"/>
              </w:rPr>
              <w:t xml:space="preserve"> for the purposes of section 194A. The credit by the bank in the name of the Registrar General would, thus, not attract the provisions of section 194A.</w:t>
            </w:r>
          </w:p>
          <w:p w:rsidR="00446085" w:rsidRPr="00446085" w:rsidRDefault="00446085" w:rsidP="00FB07EE">
            <w:pPr>
              <w:rPr>
                <w:rFonts w:ascii="Arial Narrow" w:hAnsi="Arial Narrow"/>
              </w:rPr>
            </w:pPr>
          </w:p>
        </w:tc>
      </w:tr>
      <w:tr w:rsidR="00446085" w:rsidRPr="00446085" w:rsidTr="00DB75EF">
        <w:tc>
          <w:tcPr>
            <w:tcW w:w="534" w:type="dxa"/>
          </w:tcPr>
          <w:p w:rsidR="00446085" w:rsidRPr="00446085" w:rsidRDefault="00446085" w:rsidP="00FB07EE">
            <w:pPr>
              <w:rPr>
                <w:rFonts w:ascii="Arial Narrow" w:hAnsi="Arial Narrow"/>
              </w:rPr>
            </w:pPr>
            <w:r w:rsidRPr="00446085">
              <w:rPr>
                <w:rFonts w:ascii="Arial Narrow" w:hAnsi="Arial Narrow"/>
              </w:rPr>
              <w:t>27</w:t>
            </w:r>
          </w:p>
        </w:tc>
        <w:tc>
          <w:tcPr>
            <w:tcW w:w="3402" w:type="dxa"/>
          </w:tcPr>
          <w:p w:rsidR="00446085" w:rsidRPr="00446085" w:rsidRDefault="00446085" w:rsidP="00DB75EF">
            <w:pPr>
              <w:jc w:val="both"/>
              <w:rPr>
                <w:rFonts w:ascii="Arial Narrow" w:hAnsi="Arial Narrow"/>
              </w:rPr>
            </w:pPr>
            <w:r w:rsidRPr="00446085">
              <w:rPr>
                <w:rFonts w:ascii="Arial Narrow" w:hAnsi="Arial Narrow"/>
              </w:rPr>
              <w:t xml:space="preserve">Is payment made for use of passive infrastructure facility such as mobile towers subject to tax deduction under section 194C or section 194-I? </w:t>
            </w:r>
          </w:p>
        </w:tc>
        <w:tc>
          <w:tcPr>
            <w:tcW w:w="1842" w:type="dxa"/>
          </w:tcPr>
          <w:p w:rsidR="00446085" w:rsidRPr="00B27EF8" w:rsidRDefault="00446085" w:rsidP="00FB07EE">
            <w:pPr>
              <w:rPr>
                <w:rFonts w:ascii="Arial Narrow" w:hAnsi="Arial Narrow"/>
                <w:b/>
                <w:i/>
                <w:iCs/>
              </w:rPr>
            </w:pPr>
            <w:r w:rsidRPr="00B27EF8">
              <w:rPr>
                <w:rFonts w:ascii="Arial Narrow" w:hAnsi="Arial Narrow"/>
                <w:b/>
                <w:i/>
                <w:iCs/>
              </w:rPr>
              <w:t>Indus Towers Ltd v. CIT (Del)</w:t>
            </w:r>
          </w:p>
        </w:tc>
        <w:tc>
          <w:tcPr>
            <w:tcW w:w="4678" w:type="dxa"/>
          </w:tcPr>
          <w:p w:rsidR="00446085" w:rsidRPr="00446085" w:rsidRDefault="00446085" w:rsidP="00DB75EF">
            <w:pPr>
              <w:jc w:val="both"/>
              <w:rPr>
                <w:rFonts w:ascii="Arial Narrow" w:hAnsi="Arial Narrow"/>
              </w:rPr>
            </w:pPr>
            <w:r w:rsidRPr="00446085">
              <w:rPr>
                <w:rFonts w:ascii="Arial Narrow" w:hAnsi="Arial Narrow"/>
              </w:rPr>
              <w:t>The High Court held that the submission of the assessee that the transaction is not “renting” is incorrect. Also, the Revenue’s contention that the transaction is primarily “renting of land” is also incorrect. The underlying object of the arrangement was the use of machinery, plant or equipment i.e., the passive infrastructure and it is incidental that it was necessary to house the equipment in some premises. It directed that tax deduction be made at 2% as per section 194 -I(a), the rate applicable for payment made for use of plant and machinery.</w:t>
            </w:r>
          </w:p>
          <w:p w:rsidR="00446085" w:rsidRPr="00446085" w:rsidRDefault="00446085" w:rsidP="00FB07EE">
            <w:pPr>
              <w:rPr>
                <w:rFonts w:ascii="Arial Narrow" w:hAnsi="Arial Narrow"/>
              </w:rPr>
            </w:pPr>
          </w:p>
        </w:tc>
      </w:tr>
      <w:tr w:rsidR="00446085" w:rsidRPr="00446085" w:rsidTr="00DB75EF">
        <w:tc>
          <w:tcPr>
            <w:tcW w:w="534" w:type="dxa"/>
          </w:tcPr>
          <w:p w:rsidR="00446085" w:rsidRPr="00446085" w:rsidRDefault="00446085" w:rsidP="00FB07EE">
            <w:pPr>
              <w:rPr>
                <w:rFonts w:ascii="Arial Narrow" w:hAnsi="Arial Narrow"/>
              </w:rPr>
            </w:pPr>
            <w:r w:rsidRPr="00446085">
              <w:rPr>
                <w:rFonts w:ascii="Arial Narrow" w:hAnsi="Arial Narrow"/>
              </w:rPr>
              <w:t>28</w:t>
            </w:r>
          </w:p>
        </w:tc>
        <w:tc>
          <w:tcPr>
            <w:tcW w:w="3402" w:type="dxa"/>
          </w:tcPr>
          <w:p w:rsidR="00446085" w:rsidRPr="00446085" w:rsidRDefault="00446085" w:rsidP="00DB75EF">
            <w:pPr>
              <w:jc w:val="both"/>
              <w:rPr>
                <w:rFonts w:ascii="Arial Narrow" w:hAnsi="Arial Narrow"/>
              </w:rPr>
            </w:pPr>
            <w:r w:rsidRPr="00446085">
              <w:rPr>
                <w:rFonts w:ascii="Arial Narrow" w:hAnsi="Arial Narrow"/>
              </w:rPr>
              <w:t xml:space="preserve">Is payment made to an overseas agent, who did not perform any service in India, liable for tax deduction at source? </w:t>
            </w:r>
          </w:p>
        </w:tc>
        <w:tc>
          <w:tcPr>
            <w:tcW w:w="1842" w:type="dxa"/>
          </w:tcPr>
          <w:p w:rsidR="00446085" w:rsidRPr="00446085" w:rsidRDefault="00446085" w:rsidP="00FB07EE">
            <w:pPr>
              <w:rPr>
                <w:rFonts w:ascii="Arial Narrow" w:hAnsi="Arial Narrow"/>
                <w:i/>
                <w:iCs/>
              </w:rPr>
            </w:pPr>
            <w:r w:rsidRPr="00446085">
              <w:rPr>
                <w:rFonts w:ascii="Arial Narrow" w:hAnsi="Arial Narrow"/>
                <w:i/>
                <w:iCs/>
              </w:rPr>
              <w:t>DIT (International Taxation) v. Wizcraft International Entertainment (Bom)</w:t>
            </w:r>
          </w:p>
        </w:tc>
        <w:tc>
          <w:tcPr>
            <w:tcW w:w="4678" w:type="dxa"/>
          </w:tcPr>
          <w:p w:rsidR="00446085" w:rsidRPr="00446085" w:rsidRDefault="00446085" w:rsidP="00DB75EF">
            <w:pPr>
              <w:jc w:val="both"/>
              <w:rPr>
                <w:rFonts w:ascii="Arial Narrow" w:hAnsi="Arial Narrow"/>
              </w:rPr>
            </w:pPr>
            <w:r w:rsidRPr="00446085">
              <w:rPr>
                <w:rFonts w:ascii="Arial Narrow" w:hAnsi="Arial Narrow"/>
              </w:rPr>
              <w:t>The High Court, therefore, affirmed the decision of the Tribunal and Commissioner (Appeals) holding that the service rendered by the agent was outside India and hence, was not chargeable to tax in India. Thus, the requirement for deducting tax at source under section 195 on such payment does not arise.</w:t>
            </w:r>
          </w:p>
          <w:p w:rsidR="00446085" w:rsidRPr="00446085" w:rsidRDefault="00446085" w:rsidP="00FB07EE">
            <w:pPr>
              <w:rPr>
                <w:rFonts w:ascii="Arial Narrow" w:hAnsi="Arial Narrow"/>
              </w:rPr>
            </w:pPr>
          </w:p>
        </w:tc>
      </w:tr>
      <w:tr w:rsidR="00446085" w:rsidRPr="00446085" w:rsidTr="00DB75EF">
        <w:tc>
          <w:tcPr>
            <w:tcW w:w="534" w:type="dxa"/>
          </w:tcPr>
          <w:p w:rsidR="00446085" w:rsidRPr="00446085" w:rsidRDefault="00446085" w:rsidP="00FB07EE">
            <w:pPr>
              <w:rPr>
                <w:rFonts w:ascii="Arial Narrow" w:hAnsi="Arial Narrow"/>
              </w:rPr>
            </w:pPr>
            <w:r w:rsidRPr="00446085">
              <w:rPr>
                <w:rFonts w:ascii="Arial Narrow" w:hAnsi="Arial Narrow"/>
              </w:rPr>
              <w:t>29</w:t>
            </w:r>
          </w:p>
        </w:tc>
        <w:tc>
          <w:tcPr>
            <w:tcW w:w="3402" w:type="dxa"/>
          </w:tcPr>
          <w:p w:rsidR="00446085" w:rsidRPr="00446085" w:rsidRDefault="00446085" w:rsidP="00DB75EF">
            <w:pPr>
              <w:jc w:val="both"/>
              <w:rPr>
                <w:rFonts w:ascii="Arial Narrow" w:hAnsi="Arial Narrow"/>
              </w:rPr>
            </w:pPr>
            <w:r w:rsidRPr="00446085">
              <w:rPr>
                <w:rFonts w:ascii="Arial Narrow" w:hAnsi="Arial Narrow"/>
              </w:rPr>
              <w:t xml:space="preserve">Can incentives given to stockists and distributors by a manufacturing company be treated as “commission” to attract – </w:t>
            </w:r>
            <w:r w:rsidRPr="00446085">
              <w:rPr>
                <w:rFonts w:ascii="Arial Narrow" w:hAnsi="Arial Narrow"/>
              </w:rPr>
              <w:br/>
              <w:t>(i) the provisions for tax deduction at source under section 194H; and</w:t>
            </w:r>
            <w:r w:rsidRPr="00446085">
              <w:rPr>
                <w:rFonts w:ascii="Arial Narrow" w:hAnsi="Arial Narrow"/>
              </w:rPr>
              <w:br/>
              <w:t>(ii) consequent disallowance under section 40(a)(ia) for failure to deduct tax at source?</w:t>
            </w:r>
          </w:p>
        </w:tc>
        <w:tc>
          <w:tcPr>
            <w:tcW w:w="1842" w:type="dxa"/>
          </w:tcPr>
          <w:p w:rsidR="00446085" w:rsidRPr="00B27EF8" w:rsidRDefault="00446085" w:rsidP="00FB07EE">
            <w:pPr>
              <w:rPr>
                <w:rFonts w:ascii="Arial Narrow" w:hAnsi="Arial Narrow"/>
                <w:b/>
                <w:i/>
                <w:iCs/>
              </w:rPr>
            </w:pPr>
            <w:r w:rsidRPr="00B27EF8">
              <w:rPr>
                <w:rFonts w:ascii="Arial Narrow" w:hAnsi="Arial Narrow"/>
                <w:b/>
                <w:i/>
                <w:iCs/>
              </w:rPr>
              <w:t>CIT v. Intervet India P Ltd (Bom)</w:t>
            </w:r>
          </w:p>
        </w:tc>
        <w:tc>
          <w:tcPr>
            <w:tcW w:w="4678" w:type="dxa"/>
          </w:tcPr>
          <w:p w:rsidR="00446085" w:rsidRPr="00446085" w:rsidRDefault="00446085" w:rsidP="00DB75EF">
            <w:pPr>
              <w:jc w:val="both"/>
              <w:rPr>
                <w:rFonts w:ascii="Arial Narrow" w:hAnsi="Arial Narrow"/>
              </w:rPr>
            </w:pPr>
            <w:r w:rsidRPr="00446085">
              <w:rPr>
                <w:rFonts w:ascii="Arial Narrow" w:hAnsi="Arial Narrow"/>
              </w:rPr>
              <w:t xml:space="preserve">The High Court, held that the stockists and distributors were not acting on behalf of the assessee and most of the credit was by way of goods on meeting the sales target which could not be said to be a commission within the meaning of the </w:t>
            </w:r>
            <w:r w:rsidRPr="00446085">
              <w:rPr>
                <w:rFonts w:ascii="Arial Narrow" w:hAnsi="Arial Narrow"/>
                <w:i/>
                <w:iCs/>
              </w:rPr>
              <w:t>Explanation (i)</w:t>
            </w:r>
            <w:r w:rsidRPr="00446085">
              <w:rPr>
                <w:rFonts w:ascii="Arial Narrow" w:hAnsi="Arial Narrow"/>
              </w:rPr>
              <w:t xml:space="preserve"> to section 194H. Accordingly, the High Court affirmed the order of the Tribunal which held that such payment does not attract deduction of tax at source. Consequently, disallowance under section 40(a)(ia) would not be attracted.</w:t>
            </w:r>
          </w:p>
          <w:p w:rsidR="00446085" w:rsidRPr="00446085" w:rsidRDefault="00446085" w:rsidP="00FB07EE">
            <w:pPr>
              <w:rPr>
                <w:rFonts w:ascii="Arial Narrow" w:hAnsi="Arial Narrow"/>
              </w:rPr>
            </w:pPr>
          </w:p>
        </w:tc>
      </w:tr>
      <w:tr w:rsidR="00446085" w:rsidRPr="00446085" w:rsidTr="00DB75EF">
        <w:tc>
          <w:tcPr>
            <w:tcW w:w="534" w:type="dxa"/>
          </w:tcPr>
          <w:p w:rsidR="00446085" w:rsidRPr="00446085" w:rsidRDefault="00446085" w:rsidP="00FB07EE">
            <w:pPr>
              <w:rPr>
                <w:rFonts w:ascii="Arial Narrow" w:hAnsi="Arial Narrow"/>
              </w:rPr>
            </w:pPr>
            <w:r w:rsidRPr="00446085">
              <w:rPr>
                <w:rFonts w:ascii="Arial Narrow" w:hAnsi="Arial Narrow"/>
              </w:rPr>
              <w:t>30</w:t>
            </w:r>
          </w:p>
        </w:tc>
        <w:tc>
          <w:tcPr>
            <w:tcW w:w="3402" w:type="dxa"/>
          </w:tcPr>
          <w:p w:rsidR="00446085" w:rsidRPr="00446085" w:rsidRDefault="00446085" w:rsidP="00DB75EF">
            <w:pPr>
              <w:jc w:val="both"/>
              <w:rPr>
                <w:rFonts w:ascii="Arial Narrow" w:hAnsi="Arial Narrow"/>
              </w:rPr>
            </w:pPr>
            <w:r w:rsidRPr="00446085">
              <w:rPr>
                <w:rFonts w:ascii="Arial Narrow" w:hAnsi="Arial Narrow"/>
              </w:rPr>
              <w:t xml:space="preserve">Can the Tax Recovery Officer (TRO) adjudicate disputes regarding quantum of liability between the garnishee (petitioner company, in this case) and the defaulting company, by exercising his powers under section 226(3)? </w:t>
            </w:r>
          </w:p>
        </w:tc>
        <w:tc>
          <w:tcPr>
            <w:tcW w:w="1842" w:type="dxa"/>
          </w:tcPr>
          <w:p w:rsidR="00446085" w:rsidRPr="00446085" w:rsidRDefault="00446085" w:rsidP="00FB07EE">
            <w:pPr>
              <w:rPr>
                <w:rFonts w:ascii="Arial Narrow" w:hAnsi="Arial Narrow"/>
                <w:i/>
                <w:iCs/>
              </w:rPr>
            </w:pPr>
            <w:r w:rsidRPr="00446085">
              <w:rPr>
                <w:rFonts w:ascii="Arial Narrow" w:hAnsi="Arial Narrow"/>
                <w:i/>
                <w:iCs/>
              </w:rPr>
              <w:t>Uttar Pradesh Carbon &amp; Chemicals Ltd v. TRO (All)</w:t>
            </w:r>
          </w:p>
        </w:tc>
        <w:tc>
          <w:tcPr>
            <w:tcW w:w="4678" w:type="dxa"/>
          </w:tcPr>
          <w:p w:rsidR="00446085" w:rsidRPr="00446085" w:rsidRDefault="00446085" w:rsidP="00DB75EF">
            <w:pPr>
              <w:jc w:val="both"/>
              <w:rPr>
                <w:rFonts w:ascii="Arial Narrow" w:hAnsi="Arial Narrow"/>
              </w:rPr>
            </w:pPr>
            <w:r w:rsidRPr="00446085">
              <w:rPr>
                <w:rFonts w:ascii="Arial Narrow" w:hAnsi="Arial Narrow"/>
              </w:rPr>
              <w:t xml:space="preserve">The High Court referred to Apex Court decision in </w:t>
            </w:r>
            <w:r w:rsidRPr="00446085">
              <w:rPr>
                <w:rFonts w:ascii="Arial Narrow" w:hAnsi="Arial Narrow"/>
                <w:i/>
                <w:iCs/>
              </w:rPr>
              <w:t xml:space="preserve">Beharilal </w:t>
            </w:r>
            <w:r w:rsidRPr="00446085">
              <w:rPr>
                <w:rFonts w:ascii="Arial Narrow" w:hAnsi="Arial Narrow"/>
              </w:rPr>
              <w:t>Ramcharan v. ITO (1981) 131 ITR 129 to hold that under section 226(3)(vi), a limited  enquiry could only be conducted by the TRO and that too, by following the principles of  natural justice. When the claim of amount is disputed by the debtor, the TRO cannot proceed to adjudicate the dispute between the parties i.e., the defaulting company and its debtor, for recovery of tax.  Thus, the High Court directed that the order of the TRO treating the petitioner as an assessee in default for the amount alleged to be owed by it to the defaulting company cannot be sustained.</w:t>
            </w:r>
          </w:p>
          <w:p w:rsidR="00446085" w:rsidRPr="00446085" w:rsidRDefault="00446085" w:rsidP="00FB07EE">
            <w:pPr>
              <w:rPr>
                <w:rFonts w:ascii="Arial Narrow" w:hAnsi="Arial Narrow"/>
              </w:rPr>
            </w:pPr>
          </w:p>
        </w:tc>
      </w:tr>
    </w:tbl>
    <w:p w:rsidR="00446085" w:rsidRDefault="00446085" w:rsidP="00446085"/>
    <w:p w:rsidR="0033031F" w:rsidRPr="00D05F65" w:rsidRDefault="0033031F" w:rsidP="0033031F">
      <w:pPr>
        <w:jc w:val="left"/>
        <w:rPr>
          <w:rFonts w:ascii="Arial Narrow" w:hAnsi="Arial Narrow"/>
          <w:b/>
          <w:u w:val="single"/>
        </w:rPr>
      </w:pPr>
      <w:r w:rsidRPr="00D05F65">
        <w:rPr>
          <w:rFonts w:ascii="Arial Narrow" w:hAnsi="Arial Narrow"/>
          <w:b/>
          <w:u w:val="single"/>
        </w:rPr>
        <w:t xml:space="preserve">Notes: </w:t>
      </w:r>
    </w:p>
    <w:p w:rsidR="0033031F" w:rsidRPr="00D05F65" w:rsidRDefault="0033031F" w:rsidP="0033031F">
      <w:pPr>
        <w:pStyle w:val="ListParagraph"/>
        <w:numPr>
          <w:ilvl w:val="0"/>
          <w:numId w:val="6"/>
        </w:numPr>
        <w:rPr>
          <w:rFonts w:ascii="Arial Narrow" w:hAnsi="Arial Narrow"/>
          <w:b/>
        </w:rPr>
      </w:pPr>
      <w:r w:rsidRPr="00D05F65">
        <w:rPr>
          <w:rFonts w:ascii="Arial Narrow" w:hAnsi="Arial Narrow"/>
          <w:b/>
        </w:rPr>
        <w:t xml:space="preserve">Students are advised to give more importance to circulars than notification for exam point of view. </w:t>
      </w:r>
    </w:p>
    <w:p w:rsidR="0033031F" w:rsidRPr="00D05F65" w:rsidRDefault="0033031F" w:rsidP="0033031F">
      <w:pPr>
        <w:pStyle w:val="ListParagraph"/>
        <w:numPr>
          <w:ilvl w:val="0"/>
          <w:numId w:val="6"/>
        </w:numPr>
        <w:rPr>
          <w:rFonts w:ascii="Arial Narrow" w:hAnsi="Arial Narrow"/>
          <w:b/>
        </w:rPr>
      </w:pPr>
      <w:r w:rsidRPr="00D05F65">
        <w:rPr>
          <w:rFonts w:ascii="Arial Narrow" w:hAnsi="Arial Narrow"/>
          <w:b/>
        </w:rPr>
        <w:t xml:space="preserve">Please do not waste time of remembering the dates of relevant circular or notification. </w:t>
      </w:r>
    </w:p>
    <w:p w:rsidR="0033031F" w:rsidRPr="00D05F65" w:rsidRDefault="00D05F65" w:rsidP="0033031F">
      <w:pPr>
        <w:pStyle w:val="ListParagraph"/>
        <w:numPr>
          <w:ilvl w:val="0"/>
          <w:numId w:val="6"/>
        </w:numPr>
        <w:rPr>
          <w:rFonts w:ascii="Arial Narrow" w:hAnsi="Arial Narrow"/>
          <w:b/>
        </w:rPr>
      </w:pPr>
      <w:r>
        <w:rPr>
          <w:rFonts w:ascii="Arial Narrow" w:hAnsi="Arial Narrow"/>
          <w:b/>
        </w:rPr>
        <w:t xml:space="preserve">The circular/notification numbers marked in </w:t>
      </w:r>
      <w:r w:rsidR="0033031F" w:rsidRPr="00D05F65">
        <w:rPr>
          <w:rFonts w:ascii="Arial Narrow" w:hAnsi="Arial Narrow"/>
          <w:b/>
        </w:rPr>
        <w:t xml:space="preserve">bold may be treated more important from exam point of view. </w:t>
      </w:r>
    </w:p>
    <w:p w:rsidR="0033031F" w:rsidRPr="00D05F65" w:rsidRDefault="0033031F" w:rsidP="0033031F">
      <w:pPr>
        <w:pStyle w:val="ListParagraph"/>
        <w:numPr>
          <w:ilvl w:val="0"/>
          <w:numId w:val="6"/>
        </w:numPr>
        <w:rPr>
          <w:rFonts w:ascii="Arial Narrow" w:hAnsi="Arial Narrow"/>
          <w:b/>
        </w:rPr>
      </w:pPr>
      <w:r w:rsidRPr="00D05F65">
        <w:rPr>
          <w:rFonts w:ascii="Arial Narrow" w:hAnsi="Arial Narrow"/>
          <w:b/>
        </w:rPr>
        <w:t xml:space="preserve">For more details/clarify the original text of relevant circular/ notification may be referred to. </w:t>
      </w:r>
    </w:p>
    <w:sectPr w:rsidR="0033031F" w:rsidRPr="00D05F65" w:rsidSect="00DB75EF">
      <w:footerReference w:type="default" r:id="rId7"/>
      <w:pgSz w:w="12240" w:h="15840"/>
      <w:pgMar w:top="709" w:right="758" w:bottom="993"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07EE" w:rsidRDefault="00FB07EE" w:rsidP="00BB3BEB">
      <w:r>
        <w:separator/>
      </w:r>
    </w:p>
  </w:endnote>
  <w:endnote w:type="continuationSeparator" w:id="1">
    <w:p w:rsidR="00FB07EE" w:rsidRDefault="00FB07EE" w:rsidP="00BB3BE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Narrow">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Narrow Bold">
    <w:panose1 w:val="00000000000000000000"/>
    <w:charset w:val="00"/>
    <w:family w:val="auto"/>
    <w:notTrueType/>
    <w:pitch w:val="default"/>
    <w:sig w:usb0="00000003" w:usb1="00000000" w:usb2="00000000" w:usb3="00000000" w:csb0="00000001" w:csb1="00000000"/>
  </w:font>
  <w:font w:name="ArialNarrow Bold Italic">
    <w:panose1 w:val="00000000000000000000"/>
    <w:charset w:val="00"/>
    <w:family w:val="auto"/>
    <w:notTrueType/>
    <w:pitch w:val="default"/>
    <w:sig w:usb0="00000003" w:usb1="00000000" w:usb2="00000000" w:usb3="00000000" w:csb0="00000001" w:csb1="00000000"/>
  </w:font>
  <w:font w:name="ArialNarrow Italic">
    <w:panose1 w:val="00000000000000000000"/>
    <w:charset w:val="00"/>
    <w:family w:val="auto"/>
    <w:notTrueType/>
    <w:pitch w:val="default"/>
    <w:sig w:usb0="00000003" w:usb1="00000000" w:usb2="00000000" w:usb3="00000000" w:csb0="00000001" w:csb1="00000000"/>
  </w:font>
  <w:font w:name="Times New Roman 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074A" w:rsidRPr="00DF074A" w:rsidRDefault="00DF074A" w:rsidP="00DF074A">
    <w:pPr>
      <w:pStyle w:val="Footer"/>
      <w:jc w:val="both"/>
      <w:rPr>
        <w:rFonts w:ascii="Arial Narrow" w:hAnsi="Arial Narrow"/>
      </w:rPr>
    </w:pPr>
    <w:r w:rsidRPr="00DF074A">
      <w:rPr>
        <w:rFonts w:ascii="Arial Narrow" w:hAnsi="Arial Narrow"/>
      </w:rPr>
      <w:t xml:space="preserve">Compiled by CA Anoop Bhatia                                                                            </w:t>
    </w:r>
    <w:r>
      <w:rPr>
        <w:rFonts w:ascii="Arial Narrow" w:hAnsi="Arial Narrow"/>
      </w:rPr>
      <w:t xml:space="preserve">                                                            </w:t>
    </w:r>
    <w:r w:rsidRPr="00DF074A">
      <w:rPr>
        <w:rFonts w:ascii="Arial Narrow" w:hAnsi="Arial Narrow"/>
      </w:rPr>
      <w:fldChar w:fldCharType="begin"/>
    </w:r>
    <w:r w:rsidRPr="00DF074A">
      <w:rPr>
        <w:rFonts w:ascii="Arial Narrow" w:hAnsi="Arial Narrow"/>
      </w:rPr>
      <w:instrText xml:space="preserve"> PAGE   \* MERGEFORMAT </w:instrText>
    </w:r>
    <w:r w:rsidRPr="00DF074A">
      <w:rPr>
        <w:rFonts w:ascii="Arial Narrow" w:hAnsi="Arial Narrow"/>
      </w:rPr>
      <w:fldChar w:fldCharType="separate"/>
    </w:r>
    <w:r w:rsidR="00454340">
      <w:rPr>
        <w:rFonts w:ascii="Arial Narrow" w:hAnsi="Arial Narrow"/>
        <w:noProof/>
      </w:rPr>
      <w:t>1</w:t>
    </w:r>
    <w:r w:rsidRPr="00DF074A">
      <w:rPr>
        <w:rFonts w:ascii="Arial Narrow" w:hAnsi="Arial Narrow"/>
      </w:rPr>
      <w:fldChar w:fldCharType="end"/>
    </w:r>
  </w:p>
  <w:p w:rsidR="00BB3BEB" w:rsidRDefault="00BB3BEB" w:rsidP="00BB3BEB">
    <w:pPr>
      <w:pStyle w:val="Footer"/>
      <w:jc w:val="lef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07EE" w:rsidRDefault="00FB07EE" w:rsidP="00BB3BEB">
      <w:r>
        <w:separator/>
      </w:r>
    </w:p>
  </w:footnote>
  <w:footnote w:type="continuationSeparator" w:id="1">
    <w:p w:rsidR="00FB07EE" w:rsidRDefault="00FB07EE" w:rsidP="00BB3BE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0202A"/>
    <w:multiLevelType w:val="hybridMultilevel"/>
    <w:tmpl w:val="FE3E5B8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A05F1D"/>
    <w:multiLevelType w:val="hybridMultilevel"/>
    <w:tmpl w:val="21E48EB2"/>
    <w:lvl w:ilvl="0" w:tplc="176254EA">
      <w:start w:val="1"/>
      <w:numFmt w:val="lowerRoman"/>
      <w:lvlText w:val="(%1)"/>
      <w:lvlJc w:val="left"/>
      <w:pPr>
        <w:ind w:left="1080" w:hanging="720"/>
      </w:pPr>
      <w:rPr>
        <w:rFonts w:ascii="ArialNarrow" w:hAnsi="ArialNarrow" w:cs="ArialNarrow" w:hint="default"/>
        <w:color w:val="00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750D45"/>
    <w:multiLevelType w:val="hybridMultilevel"/>
    <w:tmpl w:val="20B64F88"/>
    <w:lvl w:ilvl="0" w:tplc="85F802C2">
      <w:start w:val="1"/>
      <w:numFmt w:val="lowerRoman"/>
      <w:lvlText w:val="(%1)"/>
      <w:lvlJc w:val="left"/>
      <w:pPr>
        <w:ind w:left="1080" w:hanging="720"/>
      </w:pPr>
      <w:rPr>
        <w:rFonts w:ascii="ArialNarrow" w:hAnsi="ArialNarrow" w:cs="ArialNarrow" w:hint="default"/>
        <w:color w:val="00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A46FA3"/>
    <w:multiLevelType w:val="hybridMultilevel"/>
    <w:tmpl w:val="AA0AE6FC"/>
    <w:lvl w:ilvl="0" w:tplc="E59880E0">
      <w:start w:val="1"/>
      <w:numFmt w:val="upperRoman"/>
      <w:lvlText w:val="%1."/>
      <w:lvlJc w:val="right"/>
      <w:pPr>
        <w:ind w:left="1440" w:hanging="360"/>
      </w:pPr>
      <w:rPr>
        <w:b/>
        <w:sz w:val="1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62FC3984"/>
    <w:multiLevelType w:val="hybridMultilevel"/>
    <w:tmpl w:val="0C160C80"/>
    <w:lvl w:ilvl="0" w:tplc="58728724">
      <w:start w:val="1"/>
      <w:numFmt w:val="lowerRoman"/>
      <w:lvlText w:val="(%1)"/>
      <w:lvlJc w:val="left"/>
      <w:pPr>
        <w:ind w:left="1080" w:hanging="720"/>
      </w:pPr>
      <w:rPr>
        <w:rFonts w:ascii="ArialNarrow" w:hAnsi="ArialNarrow" w:cs="ArialNarrow" w:hint="default"/>
        <w:color w:val="00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D7C5EAE"/>
    <w:multiLevelType w:val="hybridMultilevel"/>
    <w:tmpl w:val="39F49EA4"/>
    <w:lvl w:ilvl="0" w:tplc="D624BA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0"/>
    <w:footnote w:id="1"/>
  </w:footnotePr>
  <w:endnotePr>
    <w:endnote w:id="0"/>
    <w:endnote w:id="1"/>
  </w:endnotePr>
  <w:compat/>
  <w:rsids>
    <w:rsidRoot w:val="00EA74C4"/>
    <w:rsid w:val="00095F6A"/>
    <w:rsid w:val="000B0297"/>
    <w:rsid w:val="001D2576"/>
    <w:rsid w:val="00241398"/>
    <w:rsid w:val="002F35E4"/>
    <w:rsid w:val="00302C1D"/>
    <w:rsid w:val="0033031F"/>
    <w:rsid w:val="004175AF"/>
    <w:rsid w:val="00446085"/>
    <w:rsid w:val="00454340"/>
    <w:rsid w:val="004976A9"/>
    <w:rsid w:val="005224FC"/>
    <w:rsid w:val="00557B2D"/>
    <w:rsid w:val="00886BDB"/>
    <w:rsid w:val="008D03E4"/>
    <w:rsid w:val="00A06CBC"/>
    <w:rsid w:val="00A9211F"/>
    <w:rsid w:val="00B27EF8"/>
    <w:rsid w:val="00B77D0A"/>
    <w:rsid w:val="00BB3BEB"/>
    <w:rsid w:val="00C21057"/>
    <w:rsid w:val="00C91F80"/>
    <w:rsid w:val="00D05F65"/>
    <w:rsid w:val="00D62408"/>
    <w:rsid w:val="00DB75EF"/>
    <w:rsid w:val="00DF074A"/>
    <w:rsid w:val="00E3373D"/>
    <w:rsid w:val="00EA74C4"/>
    <w:rsid w:val="00ED7A6D"/>
    <w:rsid w:val="00F462D3"/>
    <w:rsid w:val="00FA30D8"/>
    <w:rsid w:val="00FB07EE"/>
    <w:rsid w:val="00FE1100"/>
    <w:rsid w:val="00FF6C8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373D"/>
    <w:pPr>
      <w:jc w:val="center"/>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A74C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EA74C4"/>
    <w:pPr>
      <w:spacing w:after="200" w:line="276" w:lineRule="auto"/>
      <w:ind w:left="720"/>
      <w:contextualSpacing/>
      <w:jc w:val="left"/>
    </w:pPr>
    <w:rPr>
      <w:rFonts w:ascii="Calibri" w:eastAsia="Times New Roman" w:hAnsi="Calibri"/>
    </w:rPr>
  </w:style>
  <w:style w:type="paragraph" w:styleId="Header">
    <w:name w:val="header"/>
    <w:basedOn w:val="Normal"/>
    <w:link w:val="HeaderChar"/>
    <w:uiPriority w:val="99"/>
    <w:semiHidden/>
    <w:unhideWhenUsed/>
    <w:rsid w:val="00BB3BEB"/>
    <w:pPr>
      <w:tabs>
        <w:tab w:val="center" w:pos="4680"/>
        <w:tab w:val="right" w:pos="9360"/>
      </w:tabs>
    </w:pPr>
  </w:style>
  <w:style w:type="character" w:customStyle="1" w:styleId="HeaderChar">
    <w:name w:val="Header Char"/>
    <w:basedOn w:val="DefaultParagraphFont"/>
    <w:link w:val="Header"/>
    <w:uiPriority w:val="99"/>
    <w:semiHidden/>
    <w:rsid w:val="00BB3BEB"/>
    <w:rPr>
      <w:sz w:val="22"/>
      <w:szCs w:val="22"/>
    </w:rPr>
  </w:style>
  <w:style w:type="paragraph" w:styleId="Footer">
    <w:name w:val="footer"/>
    <w:basedOn w:val="Normal"/>
    <w:link w:val="FooterChar"/>
    <w:uiPriority w:val="99"/>
    <w:unhideWhenUsed/>
    <w:rsid w:val="00BB3BEB"/>
    <w:pPr>
      <w:tabs>
        <w:tab w:val="center" w:pos="4680"/>
        <w:tab w:val="right" w:pos="9360"/>
      </w:tabs>
    </w:pPr>
  </w:style>
  <w:style w:type="character" w:customStyle="1" w:styleId="FooterChar">
    <w:name w:val="Footer Char"/>
    <w:basedOn w:val="DefaultParagraphFont"/>
    <w:link w:val="Footer"/>
    <w:uiPriority w:val="99"/>
    <w:rsid w:val="00BB3BEB"/>
    <w:rPr>
      <w:sz w:val="22"/>
      <w:szCs w:val="22"/>
    </w:rPr>
  </w:style>
  <w:style w:type="table" w:customStyle="1" w:styleId="TableGrid1">
    <w:name w:val="Table Grid1"/>
    <w:basedOn w:val="TableNormal"/>
    <w:next w:val="TableGrid"/>
    <w:uiPriority w:val="59"/>
    <w:rsid w:val="00095F6A"/>
    <w:rPr>
      <w:rFonts w:ascii="Calibri" w:hAnsi="Calibri" w:cs="Arial"/>
      <w:sz w:val="22"/>
      <w:szCs w:val="22"/>
      <w:lang w:val="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7030</Words>
  <Characters>40076</Characters>
  <Application>Microsoft Office Word</Application>
  <DocSecurity>0</DocSecurity>
  <Lines>333</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anoop</dc:creator>
  <cp:lastModifiedBy>anoop</cp:lastModifiedBy>
  <cp:revision>2</cp:revision>
  <dcterms:created xsi:type="dcterms:W3CDTF">2015-10-13T08:41:00Z</dcterms:created>
  <dcterms:modified xsi:type="dcterms:W3CDTF">2015-10-13T08:41:00Z</dcterms:modified>
</cp:coreProperties>
</file>