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130" w:rsidRDefault="0005620F" w:rsidP="00317130">
      <w:pPr>
        <w:spacing w:after="0" w:line="240" w:lineRule="auto"/>
        <w:jc w:val="center"/>
        <w:rPr>
          <w:b/>
          <w:sz w:val="28"/>
          <w:szCs w:val="28"/>
          <w:u w:val="single"/>
        </w:rPr>
      </w:pPr>
      <w:r>
        <w:rPr>
          <w:b/>
          <w:sz w:val="28"/>
          <w:szCs w:val="28"/>
          <w:u w:val="single"/>
        </w:rPr>
        <w:t xml:space="preserve">Cases given in RTP for May 2015 </w:t>
      </w:r>
    </w:p>
    <w:tbl>
      <w:tblPr>
        <w:tblStyle w:val="TableGrid"/>
        <w:tblW w:w="10710" w:type="dxa"/>
        <w:tblInd w:w="-612" w:type="dxa"/>
        <w:tblLook w:val="04A0"/>
      </w:tblPr>
      <w:tblGrid>
        <w:gridCol w:w="737"/>
        <w:gridCol w:w="3176"/>
        <w:gridCol w:w="6797"/>
      </w:tblGrid>
      <w:tr w:rsidR="00317130" w:rsidRPr="005E3F1F" w:rsidTr="005E3F1F">
        <w:tc>
          <w:tcPr>
            <w:tcW w:w="737" w:type="dxa"/>
            <w:shd w:val="clear" w:color="auto" w:fill="000000" w:themeFill="text1"/>
          </w:tcPr>
          <w:p w:rsidR="00317130" w:rsidRPr="005E3F1F" w:rsidRDefault="00317130" w:rsidP="0005620F">
            <w:pPr>
              <w:rPr>
                <w:rFonts w:ascii="Trebuchet MS" w:hAnsi="Trebuchet MS" w:cstheme="minorHAnsi"/>
                <w:b/>
                <w:sz w:val="21"/>
                <w:szCs w:val="21"/>
              </w:rPr>
            </w:pPr>
            <w:r w:rsidRPr="005E3F1F">
              <w:rPr>
                <w:rFonts w:ascii="Trebuchet MS" w:hAnsi="Trebuchet MS" w:cstheme="minorHAnsi"/>
                <w:b/>
                <w:sz w:val="21"/>
                <w:szCs w:val="21"/>
              </w:rPr>
              <w:t>S.No.</w:t>
            </w:r>
          </w:p>
        </w:tc>
        <w:tc>
          <w:tcPr>
            <w:tcW w:w="3176" w:type="dxa"/>
            <w:shd w:val="clear" w:color="auto" w:fill="000000" w:themeFill="text1"/>
          </w:tcPr>
          <w:p w:rsidR="00317130" w:rsidRPr="005E3F1F" w:rsidRDefault="00317130" w:rsidP="0005620F">
            <w:pPr>
              <w:rPr>
                <w:rFonts w:ascii="Trebuchet MS" w:hAnsi="Trebuchet MS" w:cstheme="minorHAnsi"/>
                <w:b/>
                <w:sz w:val="21"/>
                <w:szCs w:val="21"/>
              </w:rPr>
            </w:pPr>
            <w:r w:rsidRPr="005E3F1F">
              <w:rPr>
                <w:rFonts w:ascii="Trebuchet MS" w:hAnsi="Trebuchet MS" w:cstheme="minorHAnsi"/>
                <w:b/>
                <w:sz w:val="21"/>
                <w:szCs w:val="21"/>
              </w:rPr>
              <w:t>Name</w:t>
            </w:r>
          </w:p>
        </w:tc>
        <w:tc>
          <w:tcPr>
            <w:tcW w:w="6797" w:type="dxa"/>
            <w:shd w:val="clear" w:color="auto" w:fill="000000" w:themeFill="text1"/>
          </w:tcPr>
          <w:p w:rsidR="00317130" w:rsidRPr="005E3F1F" w:rsidRDefault="00317130" w:rsidP="0005620F">
            <w:pPr>
              <w:rPr>
                <w:rFonts w:ascii="Trebuchet MS" w:eastAsia="Times New Roman" w:hAnsi="Trebuchet MS" w:cstheme="minorHAnsi"/>
                <w:b/>
                <w:bCs/>
                <w:sz w:val="21"/>
                <w:szCs w:val="21"/>
              </w:rPr>
            </w:pPr>
            <w:r w:rsidRPr="005E3F1F">
              <w:rPr>
                <w:rFonts w:ascii="Trebuchet MS" w:eastAsia="Times New Roman" w:hAnsi="Trebuchet MS" w:cstheme="minorHAnsi"/>
                <w:b/>
                <w:bCs/>
                <w:sz w:val="21"/>
                <w:szCs w:val="21"/>
              </w:rPr>
              <w:t xml:space="preserve">Summary </w:t>
            </w:r>
          </w:p>
        </w:tc>
      </w:tr>
      <w:tr w:rsidR="00317130" w:rsidRPr="005E3F1F" w:rsidTr="005E3F1F">
        <w:tc>
          <w:tcPr>
            <w:tcW w:w="10710" w:type="dxa"/>
            <w:gridSpan w:val="3"/>
          </w:tcPr>
          <w:p w:rsidR="00317130" w:rsidRPr="005E3F1F" w:rsidRDefault="00425858" w:rsidP="0005620F">
            <w:pPr>
              <w:jc w:val="center"/>
              <w:rPr>
                <w:rFonts w:ascii="Trebuchet MS" w:hAnsi="Trebuchet MS" w:cstheme="minorHAnsi"/>
                <w:sz w:val="21"/>
                <w:szCs w:val="21"/>
              </w:rPr>
            </w:pPr>
            <w:r w:rsidRPr="005E3F1F">
              <w:rPr>
                <w:rFonts w:ascii="Trebuchet MS" w:eastAsia="Times New Roman" w:hAnsi="Trebuchet MS" w:cstheme="minorHAnsi"/>
                <w:b/>
                <w:bCs/>
                <w:sz w:val="21"/>
                <w:szCs w:val="21"/>
              </w:rPr>
              <w:t>~~~~ INCOME UNDER HEAD BUSINESS/ PROFESSION ~~~~</w:t>
            </w:r>
          </w:p>
        </w:tc>
      </w:tr>
      <w:tr w:rsidR="00317130" w:rsidRPr="005E3F1F" w:rsidTr="005E3F1F">
        <w:tc>
          <w:tcPr>
            <w:tcW w:w="737" w:type="dxa"/>
          </w:tcPr>
          <w:p w:rsidR="00317130" w:rsidRPr="005E3F1F" w:rsidRDefault="00317130" w:rsidP="0005620F">
            <w:pPr>
              <w:rPr>
                <w:rFonts w:ascii="Trebuchet MS" w:hAnsi="Trebuchet MS" w:cstheme="minorHAnsi"/>
                <w:sz w:val="21"/>
                <w:szCs w:val="21"/>
              </w:rPr>
            </w:pPr>
            <w:r w:rsidRPr="005E3F1F">
              <w:rPr>
                <w:rFonts w:ascii="Trebuchet MS" w:hAnsi="Trebuchet MS" w:cstheme="minorHAnsi"/>
                <w:sz w:val="21"/>
                <w:szCs w:val="21"/>
              </w:rPr>
              <w:t>1.</w:t>
            </w:r>
          </w:p>
        </w:tc>
        <w:tc>
          <w:tcPr>
            <w:tcW w:w="3176" w:type="dxa"/>
          </w:tcPr>
          <w:p w:rsidR="00317130" w:rsidRPr="005E3F1F" w:rsidRDefault="006E456A"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CIT vs Kirloskar Oil Engines Ltd (2014) (Bom) </w:t>
            </w:r>
          </w:p>
        </w:tc>
        <w:tc>
          <w:tcPr>
            <w:tcW w:w="6797" w:type="dxa"/>
          </w:tcPr>
          <w:p w:rsidR="00317130" w:rsidRDefault="00425858" w:rsidP="00425858">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Assessee was sanctioned a capital intensive loan from State Industrial Corporation of Maharastra (SICOM) for set up of a new unit. The loan was sanctioned in 1992, but disbursement took place after receipt of subsidy from government. Held, government gives loan directly or through canalising agencies like SICOM. The amount received by assessee was a capital receipt as it was to funded to meet out the capital cost of new unit.  </w:t>
            </w:r>
          </w:p>
          <w:p w:rsidR="005E3F1F" w:rsidRPr="005E3F1F" w:rsidRDefault="005E3F1F" w:rsidP="00425858">
            <w:pPr>
              <w:rPr>
                <w:rFonts w:ascii="Trebuchet MS" w:eastAsia="Times New Roman" w:hAnsi="Trebuchet MS" w:cstheme="minorHAnsi"/>
                <w:sz w:val="21"/>
                <w:szCs w:val="21"/>
              </w:rPr>
            </w:pPr>
          </w:p>
        </w:tc>
      </w:tr>
      <w:tr w:rsidR="00BE2981" w:rsidRPr="005E3F1F" w:rsidTr="005E3F1F">
        <w:tc>
          <w:tcPr>
            <w:tcW w:w="737" w:type="dxa"/>
          </w:tcPr>
          <w:p w:rsidR="00BE2981"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2.</w:t>
            </w:r>
          </w:p>
        </w:tc>
        <w:tc>
          <w:tcPr>
            <w:tcW w:w="3176" w:type="dxa"/>
          </w:tcPr>
          <w:p w:rsidR="00BE2981" w:rsidRPr="005E3F1F" w:rsidRDefault="00BE2981"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CIT vs TVS Motors Ltd (2014)(Mad.)</w:t>
            </w:r>
          </w:p>
        </w:tc>
        <w:tc>
          <w:tcPr>
            <w:tcW w:w="6797" w:type="dxa"/>
          </w:tcPr>
          <w:p w:rsidR="00527842" w:rsidRPr="005E3F1F" w:rsidRDefault="00BE2981" w:rsidP="00BE2981">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Assessee was engaged in manufacture of motor cycles and spares. Assessee claimed deduction on replacement of dies and moulds in the place of worn out dies and moulds. AO treated the same as capital expenditure and allowed depreciation. Held, </w:t>
            </w:r>
          </w:p>
          <w:p w:rsidR="00527842" w:rsidRPr="005E3F1F" w:rsidRDefault="00BE2981" w:rsidP="00527842">
            <w:pPr>
              <w:pStyle w:val="ListParagraph"/>
              <w:numPr>
                <w:ilvl w:val="0"/>
                <w:numId w:val="2"/>
              </w:num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“moulds and dies” cannot function independently, but are parts of plant and machinery. </w:t>
            </w:r>
          </w:p>
          <w:p w:rsidR="00BE2981" w:rsidRPr="005E3F1F" w:rsidRDefault="00BE2981" w:rsidP="00527842">
            <w:pPr>
              <w:pStyle w:val="ListParagraph"/>
              <w:numPr>
                <w:ilvl w:val="0"/>
                <w:numId w:val="2"/>
              </w:num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Also, when there was no object of bringing into existence of a new asset, the expenditure was “current repairs”. </w:t>
            </w:r>
          </w:p>
          <w:p w:rsidR="00BE2981" w:rsidRDefault="00BE2981" w:rsidP="00BE2981">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In this case, an interesting fact was that in the earlier years, the assessee itself had claimed the expenditure as capital expenditure and claimed deprecation. </w:t>
            </w:r>
          </w:p>
          <w:p w:rsidR="005E3F1F" w:rsidRPr="005E3F1F" w:rsidRDefault="005E3F1F" w:rsidP="00BE2981">
            <w:pPr>
              <w:rPr>
                <w:rFonts w:ascii="Trebuchet MS" w:eastAsia="Times New Roman" w:hAnsi="Trebuchet MS" w:cstheme="minorHAnsi"/>
                <w:sz w:val="21"/>
                <w:szCs w:val="21"/>
              </w:rPr>
            </w:pPr>
          </w:p>
        </w:tc>
      </w:tr>
      <w:tr w:rsidR="00BE2981" w:rsidRPr="005E3F1F" w:rsidTr="005E3F1F">
        <w:tc>
          <w:tcPr>
            <w:tcW w:w="737" w:type="dxa"/>
          </w:tcPr>
          <w:p w:rsidR="00BE2981"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3.</w:t>
            </w:r>
          </w:p>
        </w:tc>
        <w:tc>
          <w:tcPr>
            <w:tcW w:w="3176" w:type="dxa"/>
          </w:tcPr>
          <w:p w:rsidR="00BE2981" w:rsidRPr="005E3F1F" w:rsidRDefault="00BE2981"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Controls &amp; Switchgear Contractors Ltd. (2014)(Del.)</w:t>
            </w:r>
          </w:p>
        </w:tc>
        <w:tc>
          <w:tcPr>
            <w:tcW w:w="6797" w:type="dxa"/>
          </w:tcPr>
          <w:p w:rsidR="00527842" w:rsidRPr="005E3F1F" w:rsidRDefault="00BE2981" w:rsidP="00BE2981">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Assessee obtained loan from bank. Directors provided personal guarantee for which guarantee “commission” was paid. AO disallowed the same holding that u/s. 36(1)(ii), if any commission is otherwise payable as profits, same is not allowable. Held, in the peculiar facts, </w:t>
            </w:r>
          </w:p>
          <w:p w:rsidR="00527842" w:rsidRPr="005E3F1F" w:rsidRDefault="00BE2981" w:rsidP="00527842">
            <w:pPr>
              <w:pStyle w:val="ListParagraph"/>
              <w:numPr>
                <w:ilvl w:val="0"/>
                <w:numId w:val="3"/>
              </w:num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although the director was employee, but providing guarantee was beyond the scope of his servicers. The commission paid was therefore purely for an extra service provided; and such payment is within the commercial wisdom. </w:t>
            </w:r>
          </w:p>
          <w:p w:rsidR="00BE2981" w:rsidRDefault="00527842" w:rsidP="00527842">
            <w:pPr>
              <w:pStyle w:val="ListParagraph"/>
              <w:numPr>
                <w:ilvl w:val="0"/>
                <w:numId w:val="3"/>
              </w:num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Further, dividend is paid to all shareholders. In the present case, the directors were not the only shareholders. </w:t>
            </w:r>
          </w:p>
          <w:p w:rsidR="005E3F1F" w:rsidRPr="005E3F1F" w:rsidRDefault="005E3F1F" w:rsidP="005E3F1F">
            <w:pPr>
              <w:pStyle w:val="ListParagraph"/>
              <w:rPr>
                <w:rFonts w:ascii="Trebuchet MS" w:eastAsia="Times New Roman" w:hAnsi="Trebuchet MS" w:cstheme="minorHAnsi"/>
                <w:sz w:val="21"/>
                <w:szCs w:val="21"/>
              </w:rPr>
            </w:pPr>
          </w:p>
        </w:tc>
      </w:tr>
      <w:tr w:rsidR="00527842" w:rsidRPr="005E3F1F" w:rsidTr="005E3F1F">
        <w:tc>
          <w:tcPr>
            <w:tcW w:w="737" w:type="dxa"/>
          </w:tcPr>
          <w:p w:rsidR="00527842"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4.</w:t>
            </w:r>
          </w:p>
        </w:tc>
        <w:tc>
          <w:tcPr>
            <w:tcW w:w="3176" w:type="dxa"/>
          </w:tcPr>
          <w:p w:rsidR="00527842" w:rsidRPr="005E3F1F" w:rsidRDefault="00527842" w:rsidP="00974983">
            <w:pPr>
              <w:rPr>
                <w:rFonts w:ascii="Trebuchet MS" w:hAnsi="Trebuchet MS" w:cstheme="minorHAnsi"/>
                <w:sz w:val="21"/>
                <w:szCs w:val="21"/>
              </w:rPr>
            </w:pPr>
            <w:r w:rsidRPr="005E3F1F">
              <w:rPr>
                <w:rFonts w:ascii="Trebuchet MS" w:hAnsi="Trebuchet MS" w:cstheme="minorHAnsi"/>
                <w:sz w:val="21"/>
                <w:szCs w:val="21"/>
              </w:rPr>
              <w:t>CIT vs Kichha Sugar Co. Ltd. (2013)(Utt.)</w:t>
            </w:r>
          </w:p>
        </w:tc>
        <w:tc>
          <w:tcPr>
            <w:tcW w:w="6797" w:type="dxa"/>
          </w:tcPr>
          <w:p w:rsidR="00527842" w:rsidRPr="005E3F1F" w:rsidRDefault="00527842" w:rsidP="00974983">
            <w:pPr>
              <w:rPr>
                <w:rFonts w:ascii="Trebuchet MS" w:hAnsi="Trebuchet MS" w:cstheme="minorHAnsi"/>
                <w:sz w:val="21"/>
                <w:szCs w:val="21"/>
              </w:rPr>
            </w:pPr>
            <w:r w:rsidRPr="005E3F1F">
              <w:rPr>
                <w:rFonts w:ascii="Trebuchet MS" w:hAnsi="Trebuchet MS" w:cstheme="minorHAnsi"/>
                <w:sz w:val="21"/>
                <w:szCs w:val="21"/>
              </w:rPr>
              <w:t>The employees’ contribution becomes an employer’s contribution at the time when the employee remits the same to his employer. Therefore, section 43B applies even for employer’s contribution. Thus, even if employees contribution is paid after due date under relevant Act, but before due date of filing of return u/s. 139(1), same is allowable.</w:t>
            </w:r>
          </w:p>
          <w:p w:rsidR="00527842" w:rsidRDefault="00527842" w:rsidP="00974983">
            <w:pPr>
              <w:rPr>
                <w:rFonts w:ascii="Trebuchet MS" w:hAnsi="Trebuchet MS" w:cstheme="minorHAnsi"/>
                <w:b/>
                <w:i/>
                <w:sz w:val="21"/>
                <w:szCs w:val="21"/>
              </w:rPr>
            </w:pPr>
            <w:r w:rsidRPr="005E3F1F">
              <w:rPr>
                <w:rFonts w:ascii="Trebuchet MS" w:hAnsi="Trebuchet MS" w:cstheme="minorHAnsi"/>
                <w:b/>
                <w:i/>
                <w:sz w:val="21"/>
                <w:szCs w:val="21"/>
              </w:rPr>
              <w:t>Contrary CIT vs Gujarat State Road Transport Corporation (2013)(Guj)</w:t>
            </w:r>
          </w:p>
          <w:p w:rsidR="005E3F1F" w:rsidRPr="005E3F1F" w:rsidRDefault="005E3F1F" w:rsidP="00974983">
            <w:pPr>
              <w:rPr>
                <w:rFonts w:ascii="Trebuchet MS" w:hAnsi="Trebuchet MS" w:cstheme="minorHAnsi"/>
                <w:b/>
                <w:i/>
                <w:sz w:val="21"/>
                <w:szCs w:val="21"/>
              </w:rPr>
            </w:pPr>
          </w:p>
        </w:tc>
      </w:tr>
      <w:tr w:rsidR="00527842" w:rsidRPr="005E3F1F" w:rsidTr="005E3F1F">
        <w:tc>
          <w:tcPr>
            <w:tcW w:w="737" w:type="dxa"/>
          </w:tcPr>
          <w:p w:rsidR="00527842"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5.</w:t>
            </w:r>
          </w:p>
        </w:tc>
        <w:tc>
          <w:tcPr>
            <w:tcW w:w="3176" w:type="dxa"/>
          </w:tcPr>
          <w:p w:rsidR="00527842" w:rsidRPr="005E3F1F" w:rsidRDefault="00527842" w:rsidP="00974983">
            <w:pPr>
              <w:rPr>
                <w:rFonts w:ascii="Trebuchet MS" w:hAnsi="Trebuchet MS" w:cstheme="minorHAnsi"/>
                <w:sz w:val="21"/>
                <w:szCs w:val="21"/>
              </w:rPr>
            </w:pPr>
            <w:r w:rsidRPr="005E3F1F">
              <w:rPr>
                <w:rFonts w:ascii="Trebuchet MS" w:hAnsi="Trebuchet MS" w:cstheme="minorHAnsi"/>
                <w:sz w:val="21"/>
                <w:szCs w:val="21"/>
              </w:rPr>
              <w:t>CIT vs IBM Global Services India P Ltd (2014)(Karn)</w:t>
            </w:r>
          </w:p>
        </w:tc>
        <w:tc>
          <w:tcPr>
            <w:tcW w:w="6797" w:type="dxa"/>
          </w:tcPr>
          <w:p w:rsidR="00527842" w:rsidRPr="005E3F1F" w:rsidRDefault="00527842" w:rsidP="00527842">
            <w:pPr>
              <w:rPr>
                <w:rFonts w:ascii="Trebuchet MS" w:hAnsi="Trebuchet MS" w:cstheme="minorHAnsi"/>
                <w:sz w:val="21"/>
                <w:szCs w:val="21"/>
              </w:rPr>
            </w:pPr>
            <w:r w:rsidRPr="005E3F1F">
              <w:rPr>
                <w:rFonts w:ascii="Trebuchet MS" w:hAnsi="Trebuchet MS" w:cstheme="minorHAnsi"/>
                <w:sz w:val="21"/>
                <w:szCs w:val="21"/>
              </w:rPr>
              <w:t xml:space="preserve">Assessee company came into existence on bifurcation of Joint Venture Company (JVC). Assessee paid certain amount for use of the database and for transfer of trained personal from the erstwhile company. Can such amount be allowed as a revenue expenditure? </w:t>
            </w:r>
          </w:p>
          <w:p w:rsidR="00527842" w:rsidRPr="005E3F1F" w:rsidRDefault="00527842" w:rsidP="00527842">
            <w:pPr>
              <w:rPr>
                <w:rFonts w:ascii="Trebuchet MS" w:hAnsi="Trebuchet MS" w:cstheme="minorHAnsi"/>
                <w:sz w:val="21"/>
                <w:szCs w:val="21"/>
              </w:rPr>
            </w:pPr>
            <w:r w:rsidRPr="005E3F1F">
              <w:rPr>
                <w:rFonts w:ascii="Trebuchet MS" w:hAnsi="Trebuchet MS" w:cstheme="minorHAnsi"/>
                <w:sz w:val="21"/>
                <w:szCs w:val="21"/>
              </w:rPr>
              <w:t xml:space="preserve">Held, </w:t>
            </w:r>
          </w:p>
          <w:p w:rsidR="00527842" w:rsidRPr="005E3F1F" w:rsidRDefault="00527842" w:rsidP="00527842">
            <w:pPr>
              <w:pStyle w:val="ListParagraph"/>
              <w:numPr>
                <w:ilvl w:val="0"/>
                <w:numId w:val="4"/>
              </w:numPr>
              <w:rPr>
                <w:rFonts w:ascii="Trebuchet MS" w:hAnsi="Trebuchet MS" w:cstheme="minorHAnsi"/>
                <w:sz w:val="21"/>
                <w:szCs w:val="21"/>
              </w:rPr>
            </w:pPr>
            <w:r w:rsidRPr="005E3F1F">
              <w:rPr>
                <w:rFonts w:ascii="Trebuchet MS" w:hAnsi="Trebuchet MS" w:cstheme="minorHAnsi"/>
                <w:sz w:val="21"/>
                <w:szCs w:val="21"/>
              </w:rPr>
              <w:t>As regards transfer of database - Although there was enduring benefit by incurring the expenses, but no capital asset was generated. Same was revenue expenditure.</w:t>
            </w:r>
          </w:p>
          <w:p w:rsidR="00527842" w:rsidRDefault="00527842" w:rsidP="00527842">
            <w:pPr>
              <w:pStyle w:val="ListParagraph"/>
              <w:numPr>
                <w:ilvl w:val="0"/>
                <w:numId w:val="4"/>
              </w:numPr>
              <w:rPr>
                <w:rFonts w:ascii="Trebuchet MS" w:hAnsi="Trebuchet MS" w:cstheme="minorHAnsi"/>
                <w:sz w:val="21"/>
                <w:szCs w:val="21"/>
              </w:rPr>
            </w:pPr>
            <w:r w:rsidRPr="005E3F1F">
              <w:rPr>
                <w:rFonts w:ascii="Trebuchet MS" w:hAnsi="Trebuchet MS" w:cstheme="minorHAnsi"/>
                <w:sz w:val="21"/>
                <w:szCs w:val="21"/>
              </w:rPr>
              <w:lastRenderedPageBreak/>
              <w:t xml:space="preserve">As regards transfer of trained personal – The erstwhile company provided a lot of training to the personal in software development. Payment made by the assessee company was towards training and recruitment of these personals. Same is revenue expenditure. </w:t>
            </w:r>
          </w:p>
          <w:p w:rsidR="005E3F1F" w:rsidRPr="005E3F1F" w:rsidRDefault="005E3F1F" w:rsidP="005E3F1F">
            <w:pPr>
              <w:pStyle w:val="ListParagraph"/>
              <w:rPr>
                <w:rFonts w:ascii="Trebuchet MS" w:hAnsi="Trebuchet MS" w:cstheme="minorHAnsi"/>
                <w:sz w:val="21"/>
                <w:szCs w:val="21"/>
              </w:rPr>
            </w:pPr>
          </w:p>
        </w:tc>
      </w:tr>
      <w:tr w:rsidR="00527842" w:rsidRPr="005E3F1F" w:rsidTr="005E3F1F">
        <w:tc>
          <w:tcPr>
            <w:tcW w:w="737" w:type="dxa"/>
          </w:tcPr>
          <w:p w:rsidR="00527842"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lastRenderedPageBreak/>
              <w:t>6.</w:t>
            </w:r>
          </w:p>
        </w:tc>
        <w:tc>
          <w:tcPr>
            <w:tcW w:w="3176" w:type="dxa"/>
          </w:tcPr>
          <w:p w:rsidR="00527842" w:rsidRPr="005E3F1F" w:rsidRDefault="00527842" w:rsidP="00974983">
            <w:pPr>
              <w:rPr>
                <w:rFonts w:ascii="Trebuchet MS" w:hAnsi="Trebuchet MS" w:cstheme="minorHAnsi"/>
                <w:sz w:val="21"/>
                <w:szCs w:val="21"/>
              </w:rPr>
            </w:pPr>
            <w:r w:rsidRPr="005E3F1F">
              <w:rPr>
                <w:rFonts w:ascii="Trebuchet MS" w:hAnsi="Trebuchet MS" w:cstheme="minorHAnsi"/>
                <w:sz w:val="21"/>
                <w:szCs w:val="21"/>
              </w:rPr>
              <w:t>Amarshiv Construction P Ltd (2014)(Guj.)</w:t>
            </w:r>
          </w:p>
        </w:tc>
        <w:tc>
          <w:tcPr>
            <w:tcW w:w="6797" w:type="dxa"/>
          </w:tcPr>
          <w:p w:rsidR="00414528" w:rsidRPr="005E3F1F" w:rsidRDefault="00527842" w:rsidP="00414528">
            <w:pPr>
              <w:rPr>
                <w:rFonts w:ascii="Trebuchet MS" w:hAnsi="Trebuchet MS" w:cstheme="minorHAnsi"/>
                <w:sz w:val="21"/>
                <w:szCs w:val="21"/>
              </w:rPr>
            </w:pPr>
            <w:r w:rsidRPr="005E3F1F">
              <w:rPr>
                <w:rFonts w:ascii="Trebuchet MS" w:hAnsi="Trebuchet MS" w:cstheme="minorHAnsi"/>
                <w:sz w:val="21"/>
                <w:szCs w:val="21"/>
              </w:rPr>
              <w:t>Assesseee did the construction work of Sardar Sarovar Dam. From the bills submitted by assessee, certain portion was retained by the contractee</w:t>
            </w:r>
            <w:r w:rsidR="00414528" w:rsidRPr="005E3F1F">
              <w:rPr>
                <w:rFonts w:ascii="Trebuchet MS" w:hAnsi="Trebuchet MS" w:cstheme="minorHAnsi"/>
                <w:sz w:val="21"/>
                <w:szCs w:val="21"/>
              </w:rPr>
              <w:t xml:space="preserve">, as retention money. This amount would be released only upon being certified by engineer that the construction was carried out without any defects. Subsequently, the contract was renegotiated and the amount was released on providing bank guarantee. Assessee did not offer the release of the retention money as income. AO treated the same as income. </w:t>
            </w:r>
          </w:p>
          <w:p w:rsidR="00527842" w:rsidRDefault="00414528" w:rsidP="00414528">
            <w:pPr>
              <w:rPr>
                <w:rFonts w:ascii="Trebuchet MS" w:hAnsi="Trebuchet MS" w:cstheme="minorHAnsi"/>
                <w:sz w:val="21"/>
                <w:szCs w:val="21"/>
              </w:rPr>
            </w:pPr>
            <w:r w:rsidRPr="005E3F1F">
              <w:rPr>
                <w:rFonts w:ascii="Trebuchet MS" w:hAnsi="Trebuchet MS" w:cstheme="minorHAnsi"/>
                <w:sz w:val="21"/>
                <w:szCs w:val="21"/>
              </w:rPr>
              <w:t>Held, the crutial question is the point of time, when the assessee gets the right to receive such sum as his income. In the peculiar facts, it cannot be said that the amount received was his income. Every sum received cannot be in the nature of income. The assessee will have the right over the amount only when the project is certified to be free of any defects. Income would not accrue when the funds were released.</w:t>
            </w:r>
          </w:p>
          <w:p w:rsidR="005E3F1F" w:rsidRPr="005E3F1F" w:rsidRDefault="005E3F1F" w:rsidP="00414528">
            <w:pPr>
              <w:rPr>
                <w:rFonts w:ascii="Trebuchet MS" w:hAnsi="Trebuchet MS" w:cstheme="minorHAnsi"/>
                <w:sz w:val="21"/>
                <w:szCs w:val="21"/>
              </w:rPr>
            </w:pPr>
          </w:p>
        </w:tc>
      </w:tr>
      <w:tr w:rsidR="00414528" w:rsidRPr="005E3F1F" w:rsidTr="005E3F1F">
        <w:tc>
          <w:tcPr>
            <w:tcW w:w="737" w:type="dxa"/>
          </w:tcPr>
          <w:p w:rsidR="00414528"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7.</w:t>
            </w:r>
          </w:p>
        </w:tc>
        <w:tc>
          <w:tcPr>
            <w:tcW w:w="3176" w:type="dxa"/>
          </w:tcPr>
          <w:p w:rsidR="00414528" w:rsidRPr="005E3F1F" w:rsidRDefault="00414528" w:rsidP="00974983">
            <w:pPr>
              <w:rPr>
                <w:rFonts w:ascii="Trebuchet MS" w:hAnsi="Trebuchet MS" w:cstheme="minorHAnsi"/>
                <w:sz w:val="21"/>
                <w:szCs w:val="21"/>
              </w:rPr>
            </w:pPr>
            <w:r w:rsidRPr="005E3F1F">
              <w:rPr>
                <w:rFonts w:ascii="Trebuchet MS" w:hAnsi="Trebuchet MS" w:cstheme="minorHAnsi"/>
                <w:sz w:val="21"/>
                <w:szCs w:val="21"/>
              </w:rPr>
              <w:t>CIT vs K and Co. (2014)(Del.)</w:t>
            </w:r>
          </w:p>
        </w:tc>
        <w:tc>
          <w:tcPr>
            <w:tcW w:w="6797" w:type="dxa"/>
          </w:tcPr>
          <w:p w:rsidR="00414528" w:rsidRDefault="00414528" w:rsidP="00414528">
            <w:pPr>
              <w:rPr>
                <w:rFonts w:ascii="Trebuchet MS" w:hAnsi="Trebuchet MS" w:cstheme="minorHAnsi"/>
                <w:sz w:val="21"/>
                <w:szCs w:val="21"/>
              </w:rPr>
            </w:pPr>
            <w:r w:rsidRPr="005E3F1F">
              <w:rPr>
                <w:rFonts w:ascii="Trebuchet MS" w:hAnsi="Trebuchet MS" w:cstheme="minorHAnsi"/>
                <w:sz w:val="21"/>
                <w:szCs w:val="21"/>
              </w:rPr>
              <w:t xml:space="preserve">Assessee provided margin money to bank for obtaining bank guarantee. Bank guarantee was for carrying on business. Whether the interest income on margin money be regarded as “Business Income” or as “Other Sources”. Held, the deposit of margin money has a nexus with business and therefore same is “Business Income”. </w:t>
            </w:r>
          </w:p>
          <w:p w:rsidR="005E3F1F" w:rsidRPr="005E3F1F" w:rsidRDefault="005E3F1F" w:rsidP="00414528">
            <w:pPr>
              <w:rPr>
                <w:rFonts w:ascii="Trebuchet MS" w:hAnsi="Trebuchet MS" w:cstheme="minorHAnsi"/>
                <w:sz w:val="21"/>
                <w:szCs w:val="21"/>
              </w:rPr>
            </w:pPr>
          </w:p>
        </w:tc>
      </w:tr>
      <w:tr w:rsidR="00317130" w:rsidRPr="005E3F1F" w:rsidTr="005E3F1F">
        <w:tc>
          <w:tcPr>
            <w:tcW w:w="10710" w:type="dxa"/>
            <w:gridSpan w:val="3"/>
          </w:tcPr>
          <w:p w:rsidR="00317130" w:rsidRPr="005E3F1F" w:rsidRDefault="00317130" w:rsidP="0005620F">
            <w:pPr>
              <w:jc w:val="center"/>
              <w:rPr>
                <w:rFonts w:ascii="Trebuchet MS" w:eastAsia="Times New Roman" w:hAnsi="Trebuchet MS" w:cstheme="minorHAnsi"/>
                <w:sz w:val="21"/>
                <w:szCs w:val="21"/>
              </w:rPr>
            </w:pPr>
            <w:r w:rsidRPr="005E3F1F">
              <w:rPr>
                <w:rFonts w:ascii="Trebuchet MS" w:eastAsia="Times New Roman" w:hAnsi="Trebuchet MS" w:cstheme="minorHAnsi"/>
                <w:b/>
                <w:bCs/>
                <w:sz w:val="21"/>
                <w:szCs w:val="21"/>
              </w:rPr>
              <w:t>~~~~ INCOME FROM OTHER SOURCES ~~~~</w:t>
            </w:r>
          </w:p>
        </w:tc>
      </w:tr>
      <w:tr w:rsidR="00317130" w:rsidRPr="005E3F1F" w:rsidTr="005E3F1F">
        <w:tc>
          <w:tcPr>
            <w:tcW w:w="737" w:type="dxa"/>
          </w:tcPr>
          <w:p w:rsidR="00317130"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8.</w:t>
            </w:r>
          </w:p>
        </w:tc>
        <w:tc>
          <w:tcPr>
            <w:tcW w:w="3176" w:type="dxa"/>
          </w:tcPr>
          <w:p w:rsidR="00317130" w:rsidRPr="005E3F1F" w:rsidRDefault="00410B60"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CIT vs Vir Vikram Vaid (2014)(Bom.)</w:t>
            </w:r>
          </w:p>
        </w:tc>
        <w:tc>
          <w:tcPr>
            <w:tcW w:w="6797" w:type="dxa"/>
          </w:tcPr>
          <w:p w:rsidR="00317130" w:rsidRPr="005E3F1F" w:rsidRDefault="00410B60" w:rsidP="00410B60">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Assessee-shareholder was an owner of factory premises, in which he was doing proprietary business. Subsequently, the assessee-shareholder ceased to carry on the business of proprietary concern and hence let out the premises to company. Company incurred expenses on repair and renovation of the premises. AO treated the amount as dividend u/s. 2(22)(e). Held, no money has been paid by way of advance or loan to shareholder. Repair expenses were not dividend. </w:t>
            </w:r>
          </w:p>
        </w:tc>
      </w:tr>
      <w:tr w:rsidR="00317130" w:rsidRPr="005E3F1F" w:rsidTr="005E3F1F">
        <w:tc>
          <w:tcPr>
            <w:tcW w:w="10710" w:type="dxa"/>
            <w:gridSpan w:val="3"/>
          </w:tcPr>
          <w:p w:rsidR="00317130" w:rsidRPr="005E3F1F" w:rsidRDefault="00317130" w:rsidP="0005620F">
            <w:pPr>
              <w:jc w:val="center"/>
              <w:rPr>
                <w:rFonts w:ascii="Trebuchet MS" w:eastAsia="Times New Roman" w:hAnsi="Trebuchet MS" w:cstheme="minorHAnsi"/>
                <w:sz w:val="21"/>
                <w:szCs w:val="21"/>
              </w:rPr>
            </w:pPr>
            <w:r w:rsidRPr="005E3F1F">
              <w:rPr>
                <w:rFonts w:ascii="Trebuchet MS" w:eastAsia="Times New Roman" w:hAnsi="Trebuchet MS" w:cstheme="minorHAnsi"/>
                <w:b/>
                <w:bCs/>
                <w:sz w:val="21"/>
                <w:szCs w:val="21"/>
              </w:rPr>
              <w:t>~~~~ ASSESSMENT OF AOP~~~~</w:t>
            </w:r>
          </w:p>
        </w:tc>
      </w:tr>
      <w:tr w:rsidR="00317130" w:rsidRPr="005E3F1F" w:rsidTr="005E3F1F">
        <w:tc>
          <w:tcPr>
            <w:tcW w:w="737" w:type="dxa"/>
          </w:tcPr>
          <w:p w:rsidR="00317130"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9.</w:t>
            </w:r>
          </w:p>
        </w:tc>
        <w:tc>
          <w:tcPr>
            <w:tcW w:w="3176" w:type="dxa"/>
          </w:tcPr>
          <w:p w:rsidR="00317130" w:rsidRPr="005E3F1F" w:rsidRDefault="00410B60"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CIT vs Govind Mamaiya (2014)(SC)</w:t>
            </w:r>
          </w:p>
        </w:tc>
        <w:tc>
          <w:tcPr>
            <w:tcW w:w="6797" w:type="dxa"/>
          </w:tcPr>
          <w:p w:rsidR="00317130" w:rsidRPr="005E3F1F" w:rsidRDefault="00410B60" w:rsidP="00410B60">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Where the land inherited by three brothers is compulsorily acquired by State Government, whether the capital gain would be assessee in the status of AOP or individual?</w:t>
            </w:r>
          </w:p>
          <w:p w:rsidR="00410B60" w:rsidRDefault="00410B60" w:rsidP="00410B60">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Held, for being AOP, there should be two or more persons who join together in a common purpose or for a common action. However, merely holding a property jointly would not be an AOP</w:t>
            </w:r>
            <w:r w:rsidR="00B85B68" w:rsidRPr="005E3F1F">
              <w:rPr>
                <w:rFonts w:ascii="Trebuchet MS" w:eastAsia="Times New Roman" w:hAnsi="Trebuchet MS" w:cstheme="minorHAnsi"/>
                <w:sz w:val="21"/>
                <w:szCs w:val="21"/>
              </w:rPr>
              <w:t xml:space="preserve">. The property came in assessee’s possession by inheritance i.e. operation of law. It can therefore never be said that the persons joined together in a common purpose. </w:t>
            </w:r>
          </w:p>
          <w:p w:rsidR="005E3F1F" w:rsidRPr="005E3F1F" w:rsidRDefault="005E3F1F" w:rsidP="00410B60">
            <w:pPr>
              <w:rPr>
                <w:rFonts w:ascii="Trebuchet MS" w:eastAsia="Times New Roman" w:hAnsi="Trebuchet MS" w:cstheme="minorHAnsi"/>
                <w:sz w:val="21"/>
                <w:szCs w:val="21"/>
              </w:rPr>
            </w:pPr>
          </w:p>
        </w:tc>
      </w:tr>
      <w:tr w:rsidR="00317130" w:rsidRPr="005E3F1F" w:rsidTr="005E3F1F">
        <w:tc>
          <w:tcPr>
            <w:tcW w:w="10710" w:type="dxa"/>
            <w:gridSpan w:val="3"/>
          </w:tcPr>
          <w:p w:rsidR="00317130" w:rsidRPr="005E3F1F" w:rsidRDefault="00317130" w:rsidP="0005620F">
            <w:pPr>
              <w:jc w:val="center"/>
              <w:rPr>
                <w:rFonts w:ascii="Trebuchet MS" w:eastAsia="Times New Roman" w:hAnsi="Trebuchet MS" w:cstheme="minorHAnsi"/>
                <w:sz w:val="21"/>
                <w:szCs w:val="21"/>
              </w:rPr>
            </w:pPr>
            <w:r w:rsidRPr="005E3F1F">
              <w:rPr>
                <w:rFonts w:ascii="Trebuchet MS" w:eastAsia="Times New Roman" w:hAnsi="Trebuchet MS" w:cstheme="minorHAnsi"/>
                <w:b/>
                <w:bCs/>
                <w:sz w:val="21"/>
                <w:szCs w:val="21"/>
              </w:rPr>
              <w:t>~~~~ ASSESSMENT OF TRUST ~~~~</w:t>
            </w:r>
          </w:p>
        </w:tc>
      </w:tr>
      <w:tr w:rsidR="00317130" w:rsidRPr="005E3F1F" w:rsidTr="005E3F1F">
        <w:tc>
          <w:tcPr>
            <w:tcW w:w="737" w:type="dxa"/>
          </w:tcPr>
          <w:p w:rsidR="00317130"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10.</w:t>
            </w:r>
          </w:p>
        </w:tc>
        <w:tc>
          <w:tcPr>
            <w:tcW w:w="3176" w:type="dxa"/>
          </w:tcPr>
          <w:p w:rsidR="00317130" w:rsidRPr="005E3F1F" w:rsidRDefault="00425858"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DIT (Exemption) vs Kheti Trust (2014) (Del.)</w:t>
            </w:r>
          </w:p>
        </w:tc>
        <w:tc>
          <w:tcPr>
            <w:tcW w:w="6797" w:type="dxa"/>
          </w:tcPr>
          <w:p w:rsidR="00F27083" w:rsidRPr="005E3F1F" w:rsidRDefault="00F27083" w:rsidP="00F27083">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The trust was created by way of will by late Raja Bahadur Sardar Singh. Under will the shares of foreign company were also transferred to trust. Also, the trust provided certain advance to a </w:t>
            </w:r>
            <w:r w:rsidRPr="005E3F1F">
              <w:rPr>
                <w:rFonts w:ascii="Trebuchet MS" w:eastAsia="Times New Roman" w:hAnsi="Trebuchet MS" w:cstheme="minorHAnsi"/>
                <w:sz w:val="21"/>
                <w:szCs w:val="21"/>
              </w:rPr>
              <w:lastRenderedPageBreak/>
              <w:t xml:space="preserve">business entity for raising a memorial for Late Raja Bahadur Sardar Singh. However, the will was challenged in court and the probate proceedings were pending. </w:t>
            </w:r>
          </w:p>
          <w:p w:rsidR="00F27083" w:rsidRPr="005E3F1F" w:rsidRDefault="00F27083" w:rsidP="00F27083">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AO held that investments were made in non-permissible investments u/s. 11(5) and therefore exemption was to be denied. HELD, the investment in the foreign company cannot be devolved as the will was under challenge, and the shares of foreign company will come to assessee only if the will is found to be proper. Also advance to business entity was not an investment and cannot be covered by section 11(5). Therefore exemption cannot be denied. </w:t>
            </w:r>
          </w:p>
          <w:p w:rsidR="00F27083" w:rsidRPr="005E3F1F" w:rsidRDefault="00F27083" w:rsidP="00F27083">
            <w:pPr>
              <w:rPr>
                <w:rFonts w:ascii="Trebuchet MS" w:eastAsia="Times New Roman" w:hAnsi="Trebuchet MS" w:cstheme="minorHAnsi"/>
                <w:sz w:val="21"/>
                <w:szCs w:val="21"/>
              </w:rPr>
            </w:pPr>
          </w:p>
        </w:tc>
      </w:tr>
      <w:tr w:rsidR="00317130" w:rsidRPr="005E3F1F" w:rsidTr="005E3F1F">
        <w:tc>
          <w:tcPr>
            <w:tcW w:w="737" w:type="dxa"/>
          </w:tcPr>
          <w:p w:rsidR="00317130"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lastRenderedPageBreak/>
              <w:t>11.</w:t>
            </w:r>
          </w:p>
        </w:tc>
        <w:tc>
          <w:tcPr>
            <w:tcW w:w="3176" w:type="dxa"/>
          </w:tcPr>
          <w:p w:rsidR="00317130" w:rsidRPr="005E3F1F" w:rsidRDefault="00F27083" w:rsidP="0005620F">
            <w:pPr>
              <w:rPr>
                <w:rFonts w:ascii="Trebuchet MS" w:hAnsi="Trebuchet MS" w:cstheme="minorHAnsi"/>
                <w:sz w:val="21"/>
                <w:szCs w:val="21"/>
              </w:rPr>
            </w:pPr>
            <w:r w:rsidRPr="005E3F1F">
              <w:rPr>
                <w:rFonts w:ascii="Trebuchet MS" w:hAnsi="Trebuchet MS" w:cstheme="minorHAnsi"/>
                <w:sz w:val="21"/>
                <w:szCs w:val="21"/>
              </w:rPr>
              <w:t>DIT (Exemptions) vs Ramoji Foundation (2014)(AP)</w:t>
            </w:r>
          </w:p>
        </w:tc>
        <w:tc>
          <w:tcPr>
            <w:tcW w:w="6797" w:type="dxa"/>
          </w:tcPr>
          <w:p w:rsidR="00317130" w:rsidRDefault="00F27083" w:rsidP="00F27083">
            <w:pPr>
              <w:jc w:val="both"/>
              <w:rPr>
                <w:rFonts w:ascii="Trebuchet MS" w:hAnsi="Trebuchet MS" w:cstheme="minorHAnsi"/>
                <w:sz w:val="21"/>
                <w:szCs w:val="21"/>
              </w:rPr>
            </w:pPr>
            <w:r w:rsidRPr="005E3F1F">
              <w:rPr>
                <w:rFonts w:ascii="Trebuchet MS" w:hAnsi="Trebuchet MS" w:cstheme="minorHAnsi"/>
                <w:sz w:val="21"/>
                <w:szCs w:val="21"/>
              </w:rPr>
              <w:t xml:space="preserve">Under the trust deed, the settler had given to the power to the trustees to amendment the trust deed if the alteration is for charitable purpose. The trustees amended the trust deed and applied for registration u/s. 12AA. CIT denied the registration holding that the trust deed was to be amended only after approval of Civil Court. Held, approval of Civil Court is required only if there is no clause in the trust deed </w:t>
            </w:r>
            <w:r w:rsidR="00BE2981" w:rsidRPr="005E3F1F">
              <w:rPr>
                <w:rFonts w:ascii="Trebuchet MS" w:hAnsi="Trebuchet MS" w:cstheme="minorHAnsi"/>
                <w:sz w:val="21"/>
                <w:szCs w:val="21"/>
              </w:rPr>
              <w:t xml:space="preserve">with respect to empowering the trustees to amend the Trust deed. </w:t>
            </w:r>
          </w:p>
          <w:p w:rsidR="005E3F1F" w:rsidRPr="005E3F1F" w:rsidRDefault="005E3F1F" w:rsidP="00F27083">
            <w:pPr>
              <w:jc w:val="both"/>
              <w:rPr>
                <w:rFonts w:ascii="Trebuchet MS" w:hAnsi="Trebuchet MS" w:cstheme="minorHAnsi"/>
                <w:sz w:val="21"/>
                <w:szCs w:val="21"/>
              </w:rPr>
            </w:pPr>
          </w:p>
        </w:tc>
      </w:tr>
      <w:tr w:rsidR="00317130" w:rsidRPr="005E3F1F" w:rsidTr="005E3F1F">
        <w:tc>
          <w:tcPr>
            <w:tcW w:w="10710" w:type="dxa"/>
            <w:gridSpan w:val="3"/>
          </w:tcPr>
          <w:p w:rsidR="00317130" w:rsidRPr="005E3F1F" w:rsidRDefault="00317130" w:rsidP="0005620F">
            <w:pPr>
              <w:jc w:val="center"/>
              <w:rPr>
                <w:rFonts w:ascii="Trebuchet MS" w:hAnsi="Trebuchet MS" w:cstheme="minorHAnsi"/>
                <w:sz w:val="21"/>
                <w:szCs w:val="21"/>
                <w:u w:val="single"/>
              </w:rPr>
            </w:pPr>
            <w:r w:rsidRPr="005E3F1F">
              <w:rPr>
                <w:rFonts w:ascii="Trebuchet MS" w:hAnsi="Trebuchet MS" w:cstheme="minorHAnsi"/>
                <w:sz w:val="21"/>
                <w:szCs w:val="21"/>
              </w:rPr>
              <w:br w:type="page"/>
            </w:r>
            <w:r w:rsidRPr="005E3F1F">
              <w:rPr>
                <w:rFonts w:ascii="Trebuchet MS" w:eastAsia="Times New Roman" w:hAnsi="Trebuchet MS" w:cstheme="minorHAnsi"/>
                <w:b/>
                <w:bCs/>
                <w:sz w:val="21"/>
                <w:szCs w:val="21"/>
              </w:rPr>
              <w:t>~~~~ ASSESSMENT PROCEDURE ~~~~</w:t>
            </w:r>
          </w:p>
        </w:tc>
      </w:tr>
      <w:tr w:rsidR="00317130" w:rsidRPr="005E3F1F" w:rsidTr="005E3F1F">
        <w:tc>
          <w:tcPr>
            <w:tcW w:w="737" w:type="dxa"/>
          </w:tcPr>
          <w:p w:rsidR="00317130"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12.</w:t>
            </w:r>
          </w:p>
        </w:tc>
        <w:tc>
          <w:tcPr>
            <w:tcW w:w="3176" w:type="dxa"/>
          </w:tcPr>
          <w:p w:rsidR="00317130" w:rsidRPr="005E3F1F" w:rsidRDefault="009930E5"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Hemant Kumar Sindhi &amp; Another (2014)(All.)</w:t>
            </w:r>
          </w:p>
        </w:tc>
        <w:tc>
          <w:tcPr>
            <w:tcW w:w="6797" w:type="dxa"/>
          </w:tcPr>
          <w:p w:rsidR="009930E5" w:rsidRPr="005E3F1F" w:rsidRDefault="009930E5"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Search was conducted on assessee. During search, assessee made surrender of income. In the return filed u/s. 153A, the surrender amount was continued; but assessee contended that the tax on the surrendered amount may be recovered out of the seized gold bars. Department contended that the seized money could be used only for recovery of ‘existing liability’ u/s. 132B, and therefore such adjustment was not possible. </w:t>
            </w:r>
          </w:p>
          <w:p w:rsidR="00317130" w:rsidRDefault="009930E5"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HELD, the seized assets could be used for recovery of only “existing liability”, which means a determined liability Unless assessment is complete, liability cannot be said to be crystallised liability. Adjustment of tax cannot be done with seized gold bars. </w:t>
            </w:r>
          </w:p>
          <w:p w:rsidR="005E3F1F" w:rsidRPr="005E3F1F" w:rsidRDefault="005E3F1F" w:rsidP="0005620F">
            <w:pPr>
              <w:rPr>
                <w:rFonts w:ascii="Trebuchet MS" w:eastAsia="Times New Roman" w:hAnsi="Trebuchet MS" w:cstheme="minorHAnsi"/>
                <w:sz w:val="21"/>
                <w:szCs w:val="21"/>
              </w:rPr>
            </w:pPr>
          </w:p>
        </w:tc>
      </w:tr>
      <w:tr w:rsidR="00317130" w:rsidRPr="005E3F1F" w:rsidTr="005E3F1F">
        <w:tc>
          <w:tcPr>
            <w:tcW w:w="737" w:type="dxa"/>
          </w:tcPr>
          <w:p w:rsidR="00317130"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13.</w:t>
            </w:r>
          </w:p>
        </w:tc>
        <w:tc>
          <w:tcPr>
            <w:tcW w:w="3176" w:type="dxa"/>
          </w:tcPr>
          <w:p w:rsidR="00317130" w:rsidRPr="005E3F1F" w:rsidRDefault="009930E5" w:rsidP="0005620F">
            <w:pPr>
              <w:rPr>
                <w:rFonts w:ascii="Trebuchet MS" w:hAnsi="Trebuchet MS" w:cstheme="minorHAnsi"/>
                <w:sz w:val="21"/>
                <w:szCs w:val="21"/>
              </w:rPr>
            </w:pPr>
            <w:r w:rsidRPr="005E3F1F">
              <w:rPr>
                <w:rFonts w:ascii="Trebuchet MS" w:hAnsi="Trebuchet MS" w:cstheme="minorHAnsi"/>
                <w:sz w:val="21"/>
                <w:szCs w:val="21"/>
              </w:rPr>
              <w:t>CIT vs Mehak Finvest P Ltd (2014)(P &amp; H)</w:t>
            </w:r>
          </w:p>
        </w:tc>
        <w:tc>
          <w:tcPr>
            <w:tcW w:w="6797" w:type="dxa"/>
          </w:tcPr>
          <w:p w:rsidR="009930E5" w:rsidRPr="005E3F1F" w:rsidRDefault="009930E5" w:rsidP="0005620F">
            <w:pPr>
              <w:jc w:val="both"/>
              <w:rPr>
                <w:rFonts w:ascii="Trebuchet MS" w:eastAsia="Times New Roman" w:hAnsi="Trebuchet MS" w:cstheme="minorHAnsi"/>
                <w:sz w:val="21"/>
                <w:szCs w:val="21"/>
              </w:rPr>
            </w:pPr>
            <w:r w:rsidRPr="005E3F1F">
              <w:rPr>
                <w:rFonts w:ascii="Trebuchet MS" w:eastAsia="Times New Roman" w:hAnsi="Trebuchet MS" w:cstheme="minorHAnsi"/>
                <w:sz w:val="21"/>
                <w:szCs w:val="21"/>
              </w:rPr>
              <w:t>AO made reopening u/s. 147 for certain grounds. On inquiry, it was felt that no addition is called for on those grounds. However, AO made addition on grounds for which reopening was not made. Whether it can be done?</w:t>
            </w:r>
          </w:p>
          <w:p w:rsidR="009930E5" w:rsidRPr="005E3F1F" w:rsidRDefault="009930E5" w:rsidP="0005620F">
            <w:pPr>
              <w:jc w:val="both"/>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Held yes. AO can made addition on other points without making addition on original points. As per Explanation 3 of section 147, for making addition on other points there is no requirement that a separate notice u/s. 148 shall be issued. </w:t>
            </w:r>
          </w:p>
          <w:p w:rsidR="00F44797" w:rsidRPr="005E3F1F" w:rsidRDefault="009930E5" w:rsidP="0005620F">
            <w:pPr>
              <w:jc w:val="both"/>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In one case Majinder Singh Kang Special Leave Petition (SLP) was dismissed by Supreme Court against High Court judgment holding that addition can be done on other points also. </w:t>
            </w:r>
          </w:p>
          <w:p w:rsidR="00F44797" w:rsidRPr="005E3F1F" w:rsidRDefault="00F44797" w:rsidP="0005620F">
            <w:pPr>
              <w:jc w:val="both"/>
              <w:rPr>
                <w:rFonts w:ascii="Trebuchet MS" w:eastAsia="Times New Roman" w:hAnsi="Trebuchet MS" w:cstheme="minorHAnsi"/>
                <w:sz w:val="21"/>
                <w:szCs w:val="21"/>
              </w:rPr>
            </w:pPr>
          </w:p>
          <w:p w:rsidR="00317130" w:rsidRDefault="00F44797" w:rsidP="00F44797">
            <w:pPr>
              <w:jc w:val="both"/>
              <w:rPr>
                <w:rFonts w:ascii="Trebuchet MS" w:eastAsia="Times New Roman" w:hAnsi="Trebuchet MS" w:cstheme="minorHAnsi"/>
                <w:sz w:val="21"/>
                <w:szCs w:val="21"/>
              </w:rPr>
            </w:pPr>
            <w:r w:rsidRPr="005E3F1F">
              <w:rPr>
                <w:rFonts w:ascii="Trebuchet MS" w:eastAsia="Times New Roman" w:hAnsi="Trebuchet MS" w:cstheme="minorHAnsi"/>
                <w:b/>
                <w:i/>
                <w:sz w:val="21"/>
                <w:szCs w:val="21"/>
              </w:rPr>
              <w:t>Contra</w:t>
            </w:r>
            <w:r w:rsidRPr="005E3F1F">
              <w:rPr>
                <w:rFonts w:ascii="Trebuchet MS" w:eastAsia="Times New Roman" w:hAnsi="Trebuchet MS" w:cstheme="minorHAnsi"/>
                <w:sz w:val="21"/>
                <w:szCs w:val="21"/>
              </w:rPr>
              <w:t xml:space="preserve"> </w:t>
            </w:r>
            <w:r w:rsidR="009930E5" w:rsidRPr="005E3F1F">
              <w:rPr>
                <w:rFonts w:ascii="Trebuchet MS" w:eastAsia="Times New Roman" w:hAnsi="Trebuchet MS" w:cstheme="minorHAnsi"/>
                <w:sz w:val="21"/>
                <w:szCs w:val="21"/>
              </w:rPr>
              <w:t xml:space="preserve">Jet Airways (Bom.) and Ranbaxy Labs (Del.). </w:t>
            </w:r>
            <w:r w:rsidRPr="005E3F1F">
              <w:rPr>
                <w:rFonts w:ascii="Trebuchet MS" w:eastAsia="Times New Roman" w:hAnsi="Trebuchet MS" w:cstheme="minorHAnsi"/>
                <w:sz w:val="21"/>
                <w:szCs w:val="21"/>
              </w:rPr>
              <w:t xml:space="preserve">where it </w:t>
            </w:r>
            <w:r w:rsidR="009930E5" w:rsidRPr="005E3F1F">
              <w:rPr>
                <w:rFonts w:ascii="Trebuchet MS" w:eastAsia="Times New Roman" w:hAnsi="Trebuchet MS" w:cstheme="minorHAnsi"/>
                <w:sz w:val="21"/>
                <w:szCs w:val="21"/>
              </w:rPr>
              <w:t xml:space="preserve">was held that if reopening is done on certain grounds and addition is made on other grounds, without making addition on grounds on which reopening was done, reopening was liable to be set-aside. This is so, as the Act uses the words, “AO can assess or reassess such income and also other income”. Since the words, “and also” are used, this shows a cumulative condition and without making addition </w:t>
            </w:r>
            <w:r w:rsidR="009930E5" w:rsidRPr="005E3F1F">
              <w:rPr>
                <w:rFonts w:ascii="Trebuchet MS" w:eastAsia="Times New Roman" w:hAnsi="Trebuchet MS" w:cstheme="minorHAnsi"/>
                <w:sz w:val="21"/>
                <w:szCs w:val="21"/>
              </w:rPr>
              <w:lastRenderedPageBreak/>
              <w:t>on points for which reopening is done, addition cannot be made on other points.</w:t>
            </w:r>
          </w:p>
          <w:p w:rsidR="005E3F1F" w:rsidRPr="005E3F1F" w:rsidRDefault="005E3F1F" w:rsidP="00F44797">
            <w:pPr>
              <w:jc w:val="both"/>
              <w:rPr>
                <w:rFonts w:ascii="Trebuchet MS" w:hAnsi="Trebuchet MS" w:cstheme="minorHAnsi"/>
                <w:sz w:val="21"/>
                <w:szCs w:val="21"/>
              </w:rPr>
            </w:pPr>
          </w:p>
        </w:tc>
      </w:tr>
      <w:tr w:rsidR="00317130" w:rsidRPr="005E3F1F" w:rsidTr="005E3F1F">
        <w:tc>
          <w:tcPr>
            <w:tcW w:w="737" w:type="dxa"/>
          </w:tcPr>
          <w:p w:rsidR="00317130"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lastRenderedPageBreak/>
              <w:t>14.</w:t>
            </w:r>
          </w:p>
        </w:tc>
        <w:tc>
          <w:tcPr>
            <w:tcW w:w="3176" w:type="dxa"/>
          </w:tcPr>
          <w:p w:rsidR="00317130" w:rsidRPr="005E3F1F" w:rsidRDefault="00F44797"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Peterplast Synthetics P Ltd (2014)(Guj)</w:t>
            </w:r>
          </w:p>
        </w:tc>
        <w:tc>
          <w:tcPr>
            <w:tcW w:w="6797" w:type="dxa"/>
          </w:tcPr>
          <w:p w:rsidR="00317130" w:rsidRPr="005E3F1F" w:rsidRDefault="00F44797" w:rsidP="00F44797">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ITAT can rectify its order within 4 years. The question was whether assessee can apply for rectification within 4 years from date of “passing of order” or date of “receipt of order”. </w:t>
            </w:r>
          </w:p>
          <w:p w:rsidR="00F44797" w:rsidRDefault="00F44797" w:rsidP="00F44797">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Held, in </w:t>
            </w:r>
            <w:r w:rsidRPr="005E3F1F">
              <w:rPr>
                <w:rFonts w:ascii="Trebuchet MS" w:eastAsia="Times New Roman" w:hAnsi="Trebuchet MS" w:cstheme="minorHAnsi"/>
                <w:b/>
                <w:i/>
                <w:sz w:val="21"/>
                <w:szCs w:val="21"/>
              </w:rPr>
              <w:t>Petlad Bulakhidas Mills (Bom.)</w:t>
            </w:r>
            <w:r w:rsidRPr="005E3F1F">
              <w:rPr>
                <w:rFonts w:ascii="Trebuchet MS" w:eastAsia="Times New Roman" w:hAnsi="Trebuchet MS" w:cstheme="minorHAnsi"/>
                <w:sz w:val="21"/>
                <w:szCs w:val="21"/>
              </w:rPr>
              <w:t xml:space="preserve">, it was held that an order means an order, of which the affected party has an actual or constructive notice. Unless assessee gets the order, it cannot apply for rectification. Therefore 4 years shall be taken from date of receipt of order. </w:t>
            </w:r>
          </w:p>
          <w:p w:rsidR="005E3F1F" w:rsidRPr="005E3F1F" w:rsidRDefault="005E3F1F" w:rsidP="00F44797">
            <w:pPr>
              <w:rPr>
                <w:rFonts w:ascii="Trebuchet MS" w:eastAsia="Times New Roman" w:hAnsi="Trebuchet MS" w:cstheme="minorHAnsi"/>
                <w:sz w:val="21"/>
                <w:szCs w:val="21"/>
              </w:rPr>
            </w:pPr>
          </w:p>
        </w:tc>
      </w:tr>
      <w:tr w:rsidR="00317130" w:rsidRPr="005E3F1F" w:rsidTr="005E3F1F">
        <w:tc>
          <w:tcPr>
            <w:tcW w:w="737" w:type="dxa"/>
          </w:tcPr>
          <w:p w:rsidR="00317130"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15.</w:t>
            </w:r>
          </w:p>
        </w:tc>
        <w:tc>
          <w:tcPr>
            <w:tcW w:w="3176" w:type="dxa"/>
          </w:tcPr>
          <w:p w:rsidR="00317130" w:rsidRPr="005E3F1F" w:rsidRDefault="00F44797"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Dr. Manoj Kabra vs ITO (2014)(All.)</w:t>
            </w:r>
          </w:p>
        </w:tc>
        <w:tc>
          <w:tcPr>
            <w:tcW w:w="6797" w:type="dxa"/>
          </w:tcPr>
          <w:p w:rsidR="00317130" w:rsidRPr="005E3F1F" w:rsidRDefault="00F44797"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Can AO </w:t>
            </w:r>
            <w:r w:rsidRPr="005E3F1F">
              <w:rPr>
                <w:rFonts w:ascii="Trebuchet MS" w:eastAsia="Times New Roman" w:hAnsi="Trebuchet MS" w:cstheme="minorHAnsi"/>
                <w:i/>
                <w:sz w:val="21"/>
                <w:szCs w:val="21"/>
              </w:rPr>
              <w:t>suo-moto</w:t>
            </w:r>
            <w:r w:rsidRPr="005E3F1F">
              <w:rPr>
                <w:rFonts w:ascii="Trebuchet MS" w:eastAsia="Times New Roman" w:hAnsi="Trebuchet MS" w:cstheme="minorHAnsi"/>
                <w:sz w:val="21"/>
                <w:szCs w:val="21"/>
              </w:rPr>
              <w:t xml:space="preserve"> assume jurisdiction to declare sale of property as void u/s. 281 (when assessment is pending). </w:t>
            </w:r>
          </w:p>
          <w:p w:rsidR="00F44797" w:rsidRDefault="00F44797"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Held, in </w:t>
            </w:r>
            <w:r w:rsidRPr="005E3F1F">
              <w:rPr>
                <w:rFonts w:ascii="Trebuchet MS" w:eastAsia="Times New Roman" w:hAnsi="Trebuchet MS" w:cstheme="minorHAnsi"/>
                <w:b/>
                <w:i/>
                <w:sz w:val="21"/>
                <w:szCs w:val="21"/>
              </w:rPr>
              <w:t>TRO vs Gangadhar Vishwanath Ranade (Decd.)(1998)(SC)</w:t>
            </w:r>
            <w:r w:rsidRPr="005E3F1F">
              <w:rPr>
                <w:rFonts w:ascii="Trebuchet MS" w:eastAsia="Times New Roman" w:hAnsi="Trebuchet MS" w:cstheme="minorHAnsi"/>
                <w:sz w:val="21"/>
                <w:szCs w:val="21"/>
              </w:rPr>
              <w:t xml:space="preserve">, it was held that section 281 is entirely a declaratory provision and not an adjudicatory provision entitling the IT Authority to declare a document as void document. Applying this judgment, it was held that AO cannot </w:t>
            </w:r>
            <w:r w:rsidRPr="005E3F1F">
              <w:rPr>
                <w:rFonts w:ascii="Trebuchet MS" w:eastAsia="Times New Roman" w:hAnsi="Trebuchet MS" w:cstheme="minorHAnsi"/>
                <w:i/>
                <w:sz w:val="21"/>
                <w:szCs w:val="21"/>
              </w:rPr>
              <w:t>suo moto</w:t>
            </w:r>
            <w:r w:rsidRPr="005E3F1F">
              <w:rPr>
                <w:rFonts w:ascii="Trebuchet MS" w:eastAsia="Times New Roman" w:hAnsi="Trebuchet MS" w:cstheme="minorHAnsi"/>
                <w:sz w:val="21"/>
                <w:szCs w:val="21"/>
              </w:rPr>
              <w:t xml:space="preserve"> declare the sale as void. </w:t>
            </w:r>
          </w:p>
          <w:p w:rsidR="005E3F1F" w:rsidRPr="005E3F1F" w:rsidRDefault="005E3F1F" w:rsidP="0005620F">
            <w:pPr>
              <w:rPr>
                <w:rFonts w:ascii="Trebuchet MS" w:eastAsia="Times New Roman" w:hAnsi="Trebuchet MS" w:cstheme="minorHAnsi"/>
                <w:sz w:val="21"/>
                <w:szCs w:val="21"/>
              </w:rPr>
            </w:pPr>
          </w:p>
        </w:tc>
      </w:tr>
      <w:tr w:rsidR="00317130" w:rsidRPr="005E3F1F" w:rsidTr="005E3F1F">
        <w:tc>
          <w:tcPr>
            <w:tcW w:w="10710" w:type="dxa"/>
            <w:gridSpan w:val="3"/>
          </w:tcPr>
          <w:p w:rsidR="00317130" w:rsidRPr="005E3F1F" w:rsidRDefault="00317130" w:rsidP="0005620F">
            <w:pPr>
              <w:jc w:val="center"/>
              <w:rPr>
                <w:rFonts w:ascii="Trebuchet MS" w:eastAsia="Times New Roman" w:hAnsi="Trebuchet MS" w:cstheme="minorHAnsi"/>
                <w:sz w:val="21"/>
                <w:szCs w:val="21"/>
              </w:rPr>
            </w:pPr>
            <w:r w:rsidRPr="005E3F1F">
              <w:rPr>
                <w:rFonts w:ascii="Trebuchet MS" w:eastAsia="Times New Roman" w:hAnsi="Trebuchet MS" w:cstheme="minorHAnsi"/>
                <w:b/>
                <w:bCs/>
                <w:sz w:val="21"/>
                <w:szCs w:val="21"/>
              </w:rPr>
              <w:t>~~~~ TAX COLLECTION AND RECOVERY ~~~~</w:t>
            </w:r>
          </w:p>
        </w:tc>
      </w:tr>
      <w:tr w:rsidR="00317130" w:rsidRPr="005E3F1F" w:rsidTr="005E3F1F">
        <w:tc>
          <w:tcPr>
            <w:tcW w:w="737" w:type="dxa"/>
          </w:tcPr>
          <w:p w:rsidR="00317130"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16.</w:t>
            </w:r>
          </w:p>
        </w:tc>
        <w:tc>
          <w:tcPr>
            <w:tcW w:w="3176" w:type="dxa"/>
          </w:tcPr>
          <w:p w:rsidR="00317130" w:rsidRPr="005E3F1F" w:rsidRDefault="00B02D22"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Indus Towers Ltd. Vs CIT (2014)(Del.)</w:t>
            </w:r>
          </w:p>
        </w:tc>
        <w:tc>
          <w:tcPr>
            <w:tcW w:w="6797" w:type="dxa"/>
          </w:tcPr>
          <w:p w:rsidR="00317130" w:rsidRPr="005E3F1F" w:rsidRDefault="00B02D22" w:rsidP="00B02D22">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Assessee owned network of telecom towers and infrastructure services. Assessee let out these to major telecom operators of the country. </w:t>
            </w:r>
          </w:p>
          <w:p w:rsidR="00B02D22" w:rsidRPr="005E3F1F" w:rsidRDefault="00B02D22" w:rsidP="00B02D22">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Assessee applied u/s. 197 for obtaining a certificate of lower deduction of tax. Assessee contended that TDS should be deducted u/s. 194C at a lower rate 0.50%. AO however held that TDS shall be deducted u/s. 194I (Rent) at a lower rate of 10%. </w:t>
            </w:r>
          </w:p>
          <w:p w:rsidR="00B02D22" w:rsidRDefault="00B02D22" w:rsidP="00B02D22">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Held, the intention of the parties was to use the equipments of the assessee. Although the transaction was rent, but it was rent of infrastructure and not rent of land. And therefore, TDS was deductible @ 2% normally (Being TDS on rent of plant and machinery). In present case also, TDS shall be deducted @ 2%.</w:t>
            </w:r>
          </w:p>
          <w:p w:rsidR="005E3F1F" w:rsidRPr="005E3F1F" w:rsidRDefault="005E3F1F" w:rsidP="00B02D22">
            <w:pPr>
              <w:rPr>
                <w:rFonts w:ascii="Trebuchet MS" w:eastAsia="Times New Roman" w:hAnsi="Trebuchet MS" w:cstheme="minorHAnsi"/>
                <w:sz w:val="21"/>
                <w:szCs w:val="21"/>
              </w:rPr>
            </w:pPr>
          </w:p>
        </w:tc>
      </w:tr>
      <w:tr w:rsidR="00317130" w:rsidRPr="005E3F1F" w:rsidTr="005E3F1F">
        <w:tc>
          <w:tcPr>
            <w:tcW w:w="737" w:type="dxa"/>
          </w:tcPr>
          <w:p w:rsidR="00317130"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17.</w:t>
            </w:r>
          </w:p>
        </w:tc>
        <w:tc>
          <w:tcPr>
            <w:tcW w:w="3176" w:type="dxa"/>
          </w:tcPr>
          <w:p w:rsidR="00317130" w:rsidRPr="005E3F1F" w:rsidRDefault="00B02D22"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DIT (International Taxation) v Wizcraft International Entertainment P Ltd (2014)(Bom.)</w:t>
            </w:r>
          </w:p>
        </w:tc>
        <w:tc>
          <w:tcPr>
            <w:tcW w:w="6797" w:type="dxa"/>
          </w:tcPr>
          <w:p w:rsidR="005E3F1F" w:rsidRDefault="00B02D22" w:rsidP="005E3F1F">
            <w:pPr>
              <w:rPr>
                <w:rFonts w:ascii="Trebuchet MS" w:eastAsia="Times New Roman" w:hAnsi="Trebuchet MS" w:cstheme="minorHAnsi"/>
                <w:b/>
                <w:i/>
                <w:sz w:val="21"/>
                <w:szCs w:val="21"/>
              </w:rPr>
            </w:pPr>
            <w:r w:rsidRPr="005E3F1F">
              <w:rPr>
                <w:rFonts w:ascii="Trebuchet MS" w:eastAsia="Times New Roman" w:hAnsi="Trebuchet MS" w:cstheme="minorHAnsi"/>
                <w:sz w:val="21"/>
                <w:szCs w:val="21"/>
              </w:rPr>
              <w:t xml:space="preserve">Commission paid to Foreign (overseas) agent, who did not have a business connection in India. Whether TDS is required to be deducted u/s. 195? Held,  </w:t>
            </w:r>
            <w:r w:rsidR="005E3F1F" w:rsidRPr="005E3F1F">
              <w:rPr>
                <w:rFonts w:ascii="Trebuchet MS" w:eastAsia="Times New Roman" w:hAnsi="Trebuchet MS" w:cstheme="minorHAnsi"/>
                <w:sz w:val="21"/>
                <w:szCs w:val="21"/>
              </w:rPr>
              <w:t xml:space="preserve">since the income of the agency was not “chargeable to tax in India”, TDS was not required to be deducted. Similar Judgment </w:t>
            </w:r>
            <w:r w:rsidR="005E3F1F" w:rsidRPr="005E3F1F">
              <w:rPr>
                <w:rFonts w:ascii="Trebuchet MS" w:eastAsia="Times New Roman" w:hAnsi="Trebuchet MS" w:cstheme="minorHAnsi"/>
                <w:b/>
                <w:i/>
                <w:sz w:val="21"/>
                <w:szCs w:val="21"/>
              </w:rPr>
              <w:t>Model Exim (All.)</w:t>
            </w:r>
          </w:p>
          <w:p w:rsidR="005E3F1F" w:rsidRPr="005E3F1F" w:rsidRDefault="005E3F1F" w:rsidP="005E3F1F">
            <w:pPr>
              <w:rPr>
                <w:rFonts w:ascii="Trebuchet MS" w:eastAsia="Times New Roman" w:hAnsi="Trebuchet MS" w:cstheme="minorHAnsi"/>
                <w:sz w:val="21"/>
                <w:szCs w:val="21"/>
              </w:rPr>
            </w:pPr>
          </w:p>
        </w:tc>
      </w:tr>
      <w:tr w:rsidR="00317130" w:rsidRPr="005E3F1F" w:rsidTr="005E3F1F">
        <w:tc>
          <w:tcPr>
            <w:tcW w:w="737" w:type="dxa"/>
          </w:tcPr>
          <w:p w:rsidR="00317130" w:rsidRPr="005E3F1F" w:rsidRDefault="005E3F1F" w:rsidP="0005620F">
            <w:pPr>
              <w:rPr>
                <w:rFonts w:ascii="Trebuchet MS" w:hAnsi="Trebuchet MS" w:cstheme="minorHAnsi"/>
                <w:sz w:val="21"/>
                <w:szCs w:val="21"/>
              </w:rPr>
            </w:pPr>
            <w:r w:rsidRPr="005E3F1F">
              <w:rPr>
                <w:rFonts w:ascii="Trebuchet MS" w:hAnsi="Trebuchet MS" w:cstheme="minorHAnsi"/>
                <w:sz w:val="21"/>
                <w:szCs w:val="21"/>
              </w:rPr>
              <w:t>18.</w:t>
            </w:r>
          </w:p>
        </w:tc>
        <w:tc>
          <w:tcPr>
            <w:tcW w:w="3176" w:type="dxa"/>
          </w:tcPr>
          <w:p w:rsidR="00317130" w:rsidRPr="005E3F1F" w:rsidRDefault="005E3F1F" w:rsidP="0005620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CIT vs Intervet India P Ltd (2014)(Bom.)</w:t>
            </w:r>
          </w:p>
        </w:tc>
        <w:tc>
          <w:tcPr>
            <w:tcW w:w="6797" w:type="dxa"/>
          </w:tcPr>
          <w:p w:rsidR="00317130" w:rsidRPr="005E3F1F" w:rsidRDefault="005E3F1F" w:rsidP="005E3F1F">
            <w:pPr>
              <w:rPr>
                <w:rFonts w:ascii="Trebuchet MS" w:eastAsia="Times New Roman" w:hAnsi="Trebuchet MS" w:cstheme="minorHAnsi"/>
                <w:sz w:val="21"/>
                <w:szCs w:val="21"/>
              </w:rPr>
            </w:pPr>
            <w:r w:rsidRPr="005E3F1F">
              <w:rPr>
                <w:rFonts w:ascii="Trebuchet MS" w:eastAsia="Times New Roman" w:hAnsi="Trebuchet MS" w:cstheme="minorHAnsi"/>
                <w:sz w:val="21"/>
                <w:szCs w:val="21"/>
              </w:rPr>
              <w:t xml:space="preserve">Assessee provided incentives to distributors/ stockists for achieving selling targets. Credit notes were issued to the distributors/ stockists on achieving selling targets. It was held that the distributors/ stockists were acting on principal to principal basis and therefore the inventives could not be regarded as commission.  </w:t>
            </w:r>
          </w:p>
        </w:tc>
      </w:tr>
    </w:tbl>
    <w:p w:rsidR="005A5A97" w:rsidRPr="005E3F1F" w:rsidRDefault="005A5A97">
      <w:pPr>
        <w:rPr>
          <w:rFonts w:ascii="Trebuchet MS" w:hAnsi="Trebuchet MS"/>
        </w:rPr>
      </w:pPr>
    </w:p>
    <w:p w:rsidR="005E3F1F" w:rsidRPr="005E3F1F" w:rsidRDefault="005E3F1F">
      <w:pPr>
        <w:rPr>
          <w:rFonts w:ascii="Trebuchet MS" w:hAnsi="Trebuchet MS"/>
        </w:rPr>
      </w:pPr>
    </w:p>
    <w:p w:rsidR="005E3F1F" w:rsidRPr="005E3F1F" w:rsidRDefault="005E3F1F" w:rsidP="005E3F1F">
      <w:pPr>
        <w:jc w:val="center"/>
        <w:rPr>
          <w:rFonts w:ascii="Trebuchet MS" w:hAnsi="Trebuchet MS"/>
          <w:b/>
          <w:i/>
          <w:sz w:val="36"/>
          <w:szCs w:val="36"/>
        </w:rPr>
      </w:pPr>
      <w:r w:rsidRPr="005E3F1F">
        <w:rPr>
          <w:rFonts w:ascii="Trebuchet MS" w:hAnsi="Trebuchet MS"/>
          <w:b/>
          <w:i/>
          <w:sz w:val="36"/>
          <w:szCs w:val="36"/>
        </w:rPr>
        <w:t>Thanks and Best wishes for Exams !!!!</w:t>
      </w:r>
    </w:p>
    <w:sectPr w:rsidR="005E3F1F" w:rsidRPr="005E3F1F" w:rsidSect="005A5A9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F9F" w:rsidRDefault="00A34F9F" w:rsidP="00317130">
      <w:pPr>
        <w:spacing w:after="0" w:line="240" w:lineRule="auto"/>
      </w:pPr>
      <w:r>
        <w:separator/>
      </w:r>
    </w:p>
  </w:endnote>
  <w:endnote w:type="continuationSeparator" w:id="1">
    <w:p w:rsidR="00A34F9F" w:rsidRDefault="00A34F9F" w:rsidP="003171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20F" w:rsidRDefault="0005620F" w:rsidP="00317130">
    <w:pPr>
      <w:pStyle w:val="Footer"/>
      <w:jc w:val="right"/>
      <w:rPr>
        <w:rStyle w:val="PageNumber"/>
        <w:i/>
        <w:iCs/>
      </w:rPr>
    </w:pPr>
    <w:r w:rsidRPr="00BC373A">
      <w:rPr>
        <w:rStyle w:val="PageNumber"/>
        <w:lang w:eastAsia="zh-TW"/>
      </w:rPr>
      <w:pict>
        <v:shapetype id="_x0000_t202" coordsize="21600,21600" o:spt="202" path="m,l,21600r21600,l21600,xe">
          <v:stroke joinstyle="miter"/>
          <v:path gradientshapeok="t" o:connecttype="rect"/>
        </v:shapetype>
        <v:shape id="_x0000_s2051" type="#_x0000_t202" style="position:absolute;left:0;text-align:left;margin-left:215.25pt;margin-top:11.45pt;width:42.05pt;height:26.55pt;z-index:251662336;mso-width-relative:margin;mso-height-relative:margin" fillcolor="black" stroked="f">
          <v:textbox style="mso-next-textbox:#_x0000_s2051">
            <w:txbxContent>
              <w:p w:rsidR="0005620F" w:rsidRPr="00CA5C5B" w:rsidRDefault="0005620F" w:rsidP="00317130">
                <w:pPr>
                  <w:jc w:val="center"/>
                  <w:rPr>
                    <w:rFonts w:ascii="Arial" w:hAnsi="Arial" w:cs="Arial"/>
                    <w:b/>
                    <w:color w:val="FFFFFF"/>
                    <w:sz w:val="32"/>
                    <w:szCs w:val="32"/>
                  </w:rPr>
                </w:pPr>
                <w:r w:rsidRPr="00CA5C5B">
                  <w:rPr>
                    <w:rFonts w:ascii="Arial" w:hAnsi="Arial" w:cs="Arial"/>
                    <w:b/>
                    <w:color w:val="FFFFFF"/>
                    <w:sz w:val="32"/>
                    <w:szCs w:val="32"/>
                  </w:rPr>
                  <w:fldChar w:fldCharType="begin"/>
                </w:r>
                <w:r w:rsidRPr="00CA5C5B">
                  <w:rPr>
                    <w:rFonts w:ascii="Arial" w:hAnsi="Arial" w:cs="Arial"/>
                    <w:b/>
                    <w:color w:val="FFFFFF"/>
                    <w:sz w:val="32"/>
                    <w:szCs w:val="32"/>
                  </w:rPr>
                  <w:instrText xml:space="preserve"> PAGE   \* MERGEFORMAT </w:instrText>
                </w:r>
                <w:r w:rsidRPr="00CA5C5B">
                  <w:rPr>
                    <w:rFonts w:ascii="Arial" w:hAnsi="Arial" w:cs="Arial"/>
                    <w:b/>
                    <w:color w:val="FFFFFF"/>
                    <w:sz w:val="32"/>
                    <w:szCs w:val="32"/>
                  </w:rPr>
                  <w:fldChar w:fldCharType="separate"/>
                </w:r>
                <w:r w:rsidR="00CB012B">
                  <w:rPr>
                    <w:rFonts w:ascii="Arial" w:hAnsi="Arial" w:cs="Arial"/>
                    <w:b/>
                    <w:noProof/>
                    <w:color w:val="FFFFFF"/>
                    <w:sz w:val="32"/>
                    <w:szCs w:val="32"/>
                  </w:rPr>
                  <w:t>1</w:t>
                </w:r>
                <w:r w:rsidRPr="00CA5C5B">
                  <w:rPr>
                    <w:rFonts w:ascii="Arial" w:hAnsi="Arial" w:cs="Arial"/>
                    <w:b/>
                    <w:color w:val="FFFFFF"/>
                    <w:sz w:val="32"/>
                    <w:szCs w:val="32"/>
                  </w:rPr>
                  <w:fldChar w:fldCharType="end"/>
                </w:r>
              </w:p>
            </w:txbxContent>
          </v:textbox>
        </v:shape>
      </w:pict>
    </w:r>
    <w:r>
      <w:rPr>
        <w:i/>
        <w:iCs/>
      </w:rPr>
      <w:pict>
        <v:oval id="_x0000_s2050" style="position:absolute;left:0;text-align:left;margin-left:199.7pt;margin-top:6.45pt;width:74.1pt;height:34.4pt;z-index:251661312" fillcolor="black" strokeweight="1.5pt"/>
      </w:pict>
    </w:r>
  </w:p>
  <w:p w:rsidR="0005620F" w:rsidRDefault="0005620F" w:rsidP="00317130">
    <w:pPr>
      <w:pStyle w:val="Footer"/>
      <w:jc w:val="right"/>
      <w:rPr>
        <w:rStyle w:val="PageNumber"/>
        <w:i/>
        <w:iCs/>
      </w:rPr>
    </w:pPr>
    <w:r>
      <w:rPr>
        <w:i/>
        <w:iCs/>
      </w:rPr>
      <w:pict>
        <v:shapetype id="_x0000_t32" coordsize="21600,21600" o:spt="32" o:oned="t" path="m,l21600,21600e" filled="f">
          <v:path arrowok="t" fillok="f" o:connecttype="none"/>
          <o:lock v:ext="edit" shapetype="t"/>
        </v:shapetype>
        <v:shape id="_x0000_s2049" type="#_x0000_t32" style="position:absolute;left:0;text-align:left;margin-left:-9.15pt;margin-top:10.2pt;width:477.9pt;height:0;z-index:251660288" o:connectortype="straight" strokeweight="1.5pt"/>
      </w:pict>
    </w:r>
  </w:p>
  <w:p w:rsidR="0005620F" w:rsidRDefault="0005620F" w:rsidP="00B50194">
    <w:pPr>
      <w:pStyle w:val="Footer"/>
    </w:pPr>
    <w:r>
      <w:rPr>
        <w:rStyle w:val="PageNumber"/>
        <w:i/>
        <w:iCs/>
      </w:rPr>
      <w:t>NPA, Indore</w:t>
    </w:r>
    <w:r>
      <w:rPr>
        <w:rStyle w:val="PageNumber"/>
        <w:i/>
        <w:iCs/>
      </w:rPr>
      <w:tab/>
    </w:r>
    <w:r>
      <w:rPr>
        <w:rStyle w:val="PageNumber"/>
        <w:i/>
        <w:iCs/>
      </w:rPr>
      <w:tab/>
    </w:r>
    <w:r w:rsidRPr="000B123F">
      <w:rPr>
        <w:rStyle w:val="PageNumber"/>
        <w:i/>
        <w:iCs/>
      </w:rPr>
      <w:t>CA. Ashish Goyal, Advocate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F9F" w:rsidRDefault="00A34F9F" w:rsidP="00317130">
      <w:pPr>
        <w:spacing w:after="0" w:line="240" w:lineRule="auto"/>
      </w:pPr>
      <w:r>
        <w:separator/>
      </w:r>
    </w:p>
  </w:footnote>
  <w:footnote w:type="continuationSeparator" w:id="1">
    <w:p w:rsidR="00A34F9F" w:rsidRDefault="00A34F9F" w:rsidP="003171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14" w:type="dxa"/>
      <w:tblLook w:val="04A0"/>
    </w:tblPr>
    <w:tblGrid>
      <w:gridCol w:w="2376"/>
      <w:gridCol w:w="5529"/>
      <w:gridCol w:w="2409"/>
    </w:tblGrid>
    <w:tr w:rsidR="0005620F" w:rsidRPr="001457B4" w:rsidTr="0005620F">
      <w:tc>
        <w:tcPr>
          <w:tcW w:w="2376" w:type="dxa"/>
        </w:tcPr>
        <w:p w:rsidR="0005620F" w:rsidRPr="006A562D" w:rsidRDefault="0005620F" w:rsidP="0005620F">
          <w:pPr>
            <w:pStyle w:val="Header"/>
            <w:rPr>
              <w:rStyle w:val="PageNumber"/>
              <w:sz w:val="26"/>
              <w:szCs w:val="26"/>
            </w:rPr>
          </w:pPr>
        </w:p>
      </w:tc>
      <w:tc>
        <w:tcPr>
          <w:tcW w:w="5529" w:type="dxa"/>
        </w:tcPr>
        <w:p w:rsidR="0005620F" w:rsidRPr="006A562D" w:rsidRDefault="0005620F" w:rsidP="0005620F">
          <w:pPr>
            <w:pStyle w:val="Header"/>
            <w:jc w:val="center"/>
            <w:rPr>
              <w:rStyle w:val="PageNumber"/>
              <w:sz w:val="26"/>
              <w:szCs w:val="26"/>
            </w:rPr>
          </w:pPr>
          <w:r>
            <w:rPr>
              <w:noProof/>
              <w:sz w:val="26"/>
              <w:szCs w:val="26"/>
            </w:rPr>
            <w:pict>
              <v:shapetype id="_x0000_t202" coordsize="21600,21600" o:spt="202" path="m,l,21600r21600,l21600,xe">
                <v:stroke joinstyle="miter"/>
                <v:path gradientshapeok="t" o:connecttype="rect"/>
              </v:shapetype>
              <v:shape id="_x0000_s2053" type="#_x0000_t202" style="position:absolute;left:0;text-align:left;margin-left:270.75pt;margin-top:-11.25pt;width:48.55pt;height:35.05pt;z-index:251665408;mso-position-horizontal-relative:text;mso-position-vertical-relative:text;mso-width-relative:margin;mso-height-relative:margin" stroked="f">
                <v:textbox style="mso-next-textbox:#_x0000_s2053">
                  <w:txbxContent>
                    <w:p w:rsidR="0005620F" w:rsidRDefault="0005620F" w:rsidP="00317130">
                      <w:r>
                        <w:rPr>
                          <w:noProof/>
                        </w:rPr>
                        <w:drawing>
                          <wp:inline distT="0" distB="0" distL="0" distR="0">
                            <wp:extent cx="361950" cy="347980"/>
                            <wp:effectExtent l="19050" t="0" r="0" b="0"/>
                            <wp:docPr id="4" name="Picture 2" descr="np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alogo"/>
                                    <pic:cNvPicPr>
                                      <a:picLocks noChangeAspect="1" noChangeArrowheads="1"/>
                                    </pic:cNvPicPr>
                                  </pic:nvPicPr>
                                  <pic:blipFill>
                                    <a:blip r:embed="rId1"/>
                                    <a:srcRect/>
                                    <a:stretch>
                                      <a:fillRect/>
                                    </a:stretch>
                                  </pic:blipFill>
                                  <pic:spPr bwMode="auto">
                                    <a:xfrm>
                                      <a:off x="0" y="0"/>
                                      <a:ext cx="361950" cy="347980"/>
                                    </a:xfrm>
                                    <a:prstGeom prst="rect">
                                      <a:avLst/>
                                    </a:prstGeom>
                                    <a:noFill/>
                                    <a:ln w="9525">
                                      <a:noFill/>
                                      <a:miter lim="800000"/>
                                      <a:headEnd/>
                                      <a:tailEnd/>
                                    </a:ln>
                                  </pic:spPr>
                                </pic:pic>
                              </a:graphicData>
                            </a:graphic>
                          </wp:inline>
                        </w:drawing>
                      </w:r>
                    </w:p>
                  </w:txbxContent>
                </v:textbox>
              </v:shape>
            </w:pict>
          </w:r>
          <w:r w:rsidR="00CB012B">
            <w:rPr>
              <w:rStyle w:val="PageNumber"/>
              <w:sz w:val="26"/>
              <w:szCs w:val="26"/>
            </w:rPr>
            <w:t xml:space="preserve">RTP </w:t>
          </w:r>
          <w:r>
            <w:rPr>
              <w:rStyle w:val="PageNumber"/>
              <w:sz w:val="26"/>
              <w:szCs w:val="26"/>
            </w:rPr>
            <w:t>cases - At a Glance</w:t>
          </w:r>
        </w:p>
      </w:tc>
      <w:tc>
        <w:tcPr>
          <w:tcW w:w="2409" w:type="dxa"/>
        </w:tcPr>
        <w:p w:rsidR="0005620F" w:rsidRPr="001457B4" w:rsidRDefault="0005620F" w:rsidP="0005620F">
          <w:pPr>
            <w:pStyle w:val="Header"/>
            <w:jc w:val="right"/>
            <w:rPr>
              <w:rStyle w:val="PageNumber"/>
              <w:sz w:val="30"/>
              <w:szCs w:val="30"/>
            </w:rPr>
          </w:pPr>
        </w:p>
      </w:tc>
    </w:tr>
  </w:tbl>
  <w:p w:rsidR="0005620F" w:rsidRPr="00317130" w:rsidRDefault="0005620F">
    <w:pPr>
      <w:pStyle w:val="Header"/>
      <w:rPr>
        <w:szCs w:val="30"/>
      </w:rPr>
    </w:pPr>
    <w:r w:rsidRPr="00BC373A">
      <w:rPr>
        <w:noProof/>
        <w:sz w:val="26"/>
        <w:szCs w:val="26"/>
      </w:rPr>
      <w:pict>
        <v:shapetype id="_x0000_t32" coordsize="21600,21600" o:spt="32" o:oned="t" path="m,l21600,21600e" filled="f">
          <v:path arrowok="t" fillok="f" o:connecttype="none"/>
          <o:lock v:ext="edit" shapetype="t"/>
        </v:shapetype>
        <v:shape id="_x0000_s2052" type="#_x0000_t32" style="position:absolute;margin-left:-9.15pt;margin-top:.45pt;width:483.15pt;height:0;z-index:251664384;mso-position-horizontal-relative:text;mso-position-vertical-relative:text" o:connectortype="straight" strokecolor="black [3213]"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E3477"/>
    <w:multiLevelType w:val="hybridMultilevel"/>
    <w:tmpl w:val="6F720282"/>
    <w:lvl w:ilvl="0" w:tplc="F6A021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1352D8"/>
    <w:multiLevelType w:val="hybridMultilevel"/>
    <w:tmpl w:val="A08A4968"/>
    <w:lvl w:ilvl="0" w:tplc="D77A0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A806B9"/>
    <w:multiLevelType w:val="hybridMultilevel"/>
    <w:tmpl w:val="D58E24D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65AE1B4A">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DBB32C0"/>
    <w:multiLevelType w:val="hybridMultilevel"/>
    <w:tmpl w:val="5948B5B0"/>
    <w:lvl w:ilvl="0" w:tplc="7C542A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5122"/>
    <o:shapelayout v:ext="edit">
      <o:idmap v:ext="edit" data="2"/>
      <o:rules v:ext="edit">
        <o:r id="V:Rule3" type="connector" idref="#_x0000_s2049"/>
        <o:r id="V:Rule4" type="connector" idref="#_x0000_s2052"/>
      </o:rules>
    </o:shapelayout>
  </w:hdrShapeDefaults>
  <w:footnotePr>
    <w:footnote w:id="0"/>
    <w:footnote w:id="1"/>
  </w:footnotePr>
  <w:endnotePr>
    <w:endnote w:id="0"/>
    <w:endnote w:id="1"/>
  </w:endnotePr>
  <w:compat/>
  <w:rsids>
    <w:rsidRoot w:val="00317130"/>
    <w:rsid w:val="0005620F"/>
    <w:rsid w:val="00317130"/>
    <w:rsid w:val="00410B60"/>
    <w:rsid w:val="00414528"/>
    <w:rsid w:val="00425858"/>
    <w:rsid w:val="00527842"/>
    <w:rsid w:val="005A5A97"/>
    <w:rsid w:val="005E3F1F"/>
    <w:rsid w:val="006E456A"/>
    <w:rsid w:val="00781D68"/>
    <w:rsid w:val="008A2541"/>
    <w:rsid w:val="00901124"/>
    <w:rsid w:val="009930E5"/>
    <w:rsid w:val="00A34F9F"/>
    <w:rsid w:val="00B02D22"/>
    <w:rsid w:val="00B50194"/>
    <w:rsid w:val="00B85B68"/>
    <w:rsid w:val="00BC373A"/>
    <w:rsid w:val="00BE2981"/>
    <w:rsid w:val="00CB012B"/>
    <w:rsid w:val="00F27083"/>
    <w:rsid w:val="00F44797"/>
    <w:rsid w:val="00F523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13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7130"/>
    <w:pPr>
      <w:spacing w:after="0" w:line="240" w:lineRule="auto"/>
    </w:pPr>
    <w:rPr>
      <w:rFonts w:ascii="Calibri" w:eastAsia="Calibri" w:hAnsi="Calibri" w:cs="Times New Roman"/>
      <w:sz w:val="20"/>
      <w:szCs w:val="20"/>
      <w:lang w:val="en-IN"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3171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130"/>
    <w:rPr>
      <w:rFonts w:ascii="Calibri" w:eastAsia="Calibri" w:hAnsi="Calibri" w:cs="Times New Roman"/>
    </w:rPr>
  </w:style>
  <w:style w:type="paragraph" w:styleId="Footer">
    <w:name w:val="footer"/>
    <w:basedOn w:val="Normal"/>
    <w:link w:val="FooterChar"/>
    <w:uiPriority w:val="99"/>
    <w:unhideWhenUsed/>
    <w:rsid w:val="00317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130"/>
    <w:rPr>
      <w:rFonts w:ascii="Calibri" w:eastAsia="Calibri" w:hAnsi="Calibri" w:cs="Times New Roman"/>
    </w:rPr>
  </w:style>
  <w:style w:type="character" w:customStyle="1" w:styleId="z-TopofFormChar">
    <w:name w:val="z-Top of Form Char"/>
    <w:basedOn w:val="DefaultParagraphFont"/>
    <w:link w:val="z-TopofForm"/>
    <w:uiPriority w:val="99"/>
    <w:semiHidden/>
    <w:rsid w:val="00317130"/>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31713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link w:val="z-TopofForm"/>
    <w:uiPriority w:val="99"/>
    <w:semiHidden/>
    <w:rsid w:val="00317130"/>
    <w:rPr>
      <w:rFonts w:ascii="Arial" w:eastAsia="Calibri" w:hAnsi="Arial" w:cs="Arial"/>
      <w:vanish/>
      <w:sz w:val="16"/>
      <w:szCs w:val="16"/>
    </w:rPr>
  </w:style>
  <w:style w:type="character" w:styleId="PageNumber">
    <w:name w:val="page number"/>
    <w:basedOn w:val="DefaultParagraphFont"/>
    <w:rsid w:val="00317130"/>
  </w:style>
  <w:style w:type="paragraph" w:styleId="BalloonText">
    <w:name w:val="Balloon Text"/>
    <w:basedOn w:val="Normal"/>
    <w:link w:val="BalloonTextChar"/>
    <w:uiPriority w:val="99"/>
    <w:semiHidden/>
    <w:unhideWhenUsed/>
    <w:rsid w:val="00317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130"/>
    <w:rPr>
      <w:rFonts w:ascii="Tahoma" w:eastAsia="Calibri" w:hAnsi="Tahoma" w:cs="Tahoma"/>
      <w:sz w:val="16"/>
      <w:szCs w:val="16"/>
    </w:rPr>
  </w:style>
  <w:style w:type="paragraph" w:styleId="ListParagraph">
    <w:name w:val="List Paragraph"/>
    <w:basedOn w:val="Normal"/>
    <w:uiPriority w:val="34"/>
    <w:qFormat/>
    <w:rsid w:val="0052784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FB4F2-2188-420F-ABBC-DCD06AB46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1713</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india</dc:creator>
  <cp:lastModifiedBy>india</cp:lastModifiedBy>
  <cp:revision>6</cp:revision>
  <cp:lastPrinted>2015-03-21T11:20:00Z</cp:lastPrinted>
  <dcterms:created xsi:type="dcterms:W3CDTF">2015-03-21T08:47:00Z</dcterms:created>
  <dcterms:modified xsi:type="dcterms:W3CDTF">2015-03-21T11:23:00Z</dcterms:modified>
</cp:coreProperties>
</file>