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175" w:rsidRPr="00DD1175" w:rsidRDefault="00DD1175" w:rsidP="00DD1175">
      <w:pPr>
        <w:shd w:val="clear" w:color="auto" w:fill="FFFFFF"/>
        <w:spacing w:after="0" w:line="300" w:lineRule="atLeast"/>
        <w:outlineLvl w:val="1"/>
        <w:rPr>
          <w:rFonts w:ascii="Arial" w:eastAsia="Times New Roman" w:hAnsi="Arial" w:cs="Arial"/>
          <w:b/>
          <w:bCs/>
          <w:sz w:val="24"/>
          <w:szCs w:val="24"/>
        </w:rPr>
      </w:pPr>
      <w:r w:rsidRPr="00DD1175">
        <w:rPr>
          <w:rFonts w:ascii="Arial" w:eastAsia="Times New Roman" w:hAnsi="Arial" w:cs="Arial"/>
          <w:b/>
          <w:bCs/>
          <w:sz w:val="24"/>
        </w:rPr>
        <w:t>Guideline for issue of summons in Central Excise &amp; Service Tax matters</w:t>
      </w:r>
    </w:p>
    <w:p w:rsidR="00DD1175" w:rsidRPr="00DD1175" w:rsidRDefault="00DD1175" w:rsidP="00DD1175">
      <w:pPr>
        <w:shd w:val="clear" w:color="auto" w:fill="FFFFFF"/>
        <w:spacing w:after="0" w:line="293" w:lineRule="atLeast"/>
        <w:rPr>
          <w:rFonts w:ascii="Arial" w:eastAsia="Times New Roman" w:hAnsi="Arial" w:cs="Arial"/>
          <w:sz w:val="20"/>
          <w:szCs w:val="20"/>
        </w:rPr>
      </w:pPr>
    </w:p>
    <w:p w:rsidR="00DD1175" w:rsidRPr="00DD1175" w:rsidRDefault="00DD1175" w:rsidP="00DD1175">
      <w:pPr>
        <w:shd w:val="clear" w:color="auto" w:fill="FFFFFF"/>
        <w:spacing w:before="150" w:after="0" w:line="300" w:lineRule="atLeast"/>
        <w:jc w:val="center"/>
        <w:rPr>
          <w:rFonts w:ascii="Arial" w:eastAsia="Times New Roman" w:hAnsi="Arial" w:cs="Arial"/>
          <w:sz w:val="20"/>
          <w:szCs w:val="20"/>
        </w:rPr>
      </w:pPr>
      <w:r w:rsidRPr="00DD1175">
        <w:rPr>
          <w:rFonts w:ascii="Arial" w:eastAsia="Times New Roman" w:hAnsi="Arial" w:cs="Arial"/>
          <w:sz w:val="20"/>
          <w:szCs w:val="20"/>
        </w:rPr>
        <w:t>Government of India</w:t>
      </w:r>
    </w:p>
    <w:p w:rsidR="00DD1175" w:rsidRPr="00DD1175" w:rsidRDefault="00DD1175" w:rsidP="00DD1175">
      <w:pPr>
        <w:shd w:val="clear" w:color="auto" w:fill="FFFFFF"/>
        <w:spacing w:before="150" w:after="0" w:line="300" w:lineRule="atLeast"/>
        <w:jc w:val="center"/>
        <w:rPr>
          <w:rFonts w:ascii="Arial" w:eastAsia="Times New Roman" w:hAnsi="Arial" w:cs="Arial"/>
          <w:sz w:val="20"/>
          <w:szCs w:val="20"/>
        </w:rPr>
      </w:pPr>
      <w:r w:rsidRPr="00DD1175">
        <w:rPr>
          <w:rFonts w:ascii="Arial" w:eastAsia="Times New Roman" w:hAnsi="Arial" w:cs="Arial"/>
          <w:sz w:val="20"/>
          <w:szCs w:val="20"/>
        </w:rPr>
        <w:t>Ministry of Finance</w:t>
      </w:r>
    </w:p>
    <w:p w:rsidR="00DD1175" w:rsidRPr="00DD1175" w:rsidRDefault="00DD1175" w:rsidP="00DD1175">
      <w:pPr>
        <w:shd w:val="clear" w:color="auto" w:fill="FFFFFF"/>
        <w:spacing w:before="150" w:after="0" w:line="300" w:lineRule="atLeast"/>
        <w:jc w:val="center"/>
        <w:rPr>
          <w:rFonts w:ascii="Arial" w:eastAsia="Times New Roman" w:hAnsi="Arial" w:cs="Arial"/>
          <w:sz w:val="20"/>
          <w:szCs w:val="20"/>
        </w:rPr>
      </w:pPr>
      <w:r w:rsidRPr="00DD1175">
        <w:rPr>
          <w:rFonts w:ascii="Arial" w:eastAsia="Times New Roman" w:hAnsi="Arial" w:cs="Arial"/>
          <w:sz w:val="20"/>
          <w:szCs w:val="20"/>
        </w:rPr>
        <w:t>Department of Revenue</w:t>
      </w:r>
    </w:p>
    <w:p w:rsidR="00DD1175" w:rsidRPr="00DD1175" w:rsidRDefault="00DD1175" w:rsidP="00DD1175">
      <w:pPr>
        <w:shd w:val="clear" w:color="auto" w:fill="FFFFFF"/>
        <w:spacing w:before="150" w:after="0" w:line="300" w:lineRule="atLeast"/>
        <w:jc w:val="center"/>
        <w:rPr>
          <w:rFonts w:ascii="Arial" w:eastAsia="Times New Roman" w:hAnsi="Arial" w:cs="Arial"/>
          <w:sz w:val="20"/>
          <w:szCs w:val="20"/>
        </w:rPr>
      </w:pPr>
      <w:r w:rsidRPr="00DD1175">
        <w:rPr>
          <w:rFonts w:ascii="Arial" w:eastAsia="Times New Roman" w:hAnsi="Arial" w:cs="Arial"/>
          <w:sz w:val="20"/>
          <w:szCs w:val="20"/>
        </w:rPr>
        <w:t>Central Board of Excise and Customs</w:t>
      </w:r>
    </w:p>
    <w:p w:rsidR="00DD1175" w:rsidRPr="00DD1175" w:rsidRDefault="00DD1175" w:rsidP="00DD1175">
      <w:pPr>
        <w:shd w:val="clear" w:color="auto" w:fill="FFFFFF"/>
        <w:spacing w:after="0" w:line="300" w:lineRule="atLeast"/>
        <w:jc w:val="center"/>
        <w:rPr>
          <w:rFonts w:ascii="Arial" w:eastAsia="Times New Roman" w:hAnsi="Arial" w:cs="Arial"/>
          <w:sz w:val="20"/>
          <w:szCs w:val="20"/>
        </w:rPr>
      </w:pPr>
      <w:r w:rsidRPr="00DD1175">
        <w:rPr>
          <w:rFonts w:ascii="Arial" w:eastAsia="Times New Roman" w:hAnsi="Arial" w:cs="Arial"/>
          <w:b/>
          <w:bCs/>
          <w:sz w:val="20"/>
        </w:rPr>
        <w:t>F. No. 207/07/2014-CX-6</w:t>
      </w:r>
    </w:p>
    <w:p w:rsidR="00DD1175" w:rsidRPr="00DD1175" w:rsidRDefault="00DD1175" w:rsidP="00DD1175">
      <w:pPr>
        <w:shd w:val="clear" w:color="auto" w:fill="FFFFFF"/>
        <w:spacing w:after="0" w:line="300" w:lineRule="atLeast"/>
        <w:jc w:val="center"/>
        <w:rPr>
          <w:rFonts w:ascii="Arial" w:eastAsia="Times New Roman" w:hAnsi="Arial" w:cs="Arial"/>
          <w:sz w:val="20"/>
          <w:szCs w:val="20"/>
        </w:rPr>
      </w:pPr>
      <w:r w:rsidRPr="00DD1175">
        <w:rPr>
          <w:rFonts w:ascii="Arial" w:eastAsia="Times New Roman" w:hAnsi="Arial" w:cs="Arial"/>
          <w:b/>
          <w:bCs/>
          <w:sz w:val="20"/>
        </w:rPr>
        <w:t>Dated-</w:t>
      </w:r>
      <w:r w:rsidRPr="00DD1175">
        <w:rPr>
          <w:rFonts w:ascii="Arial" w:eastAsia="Times New Roman" w:hAnsi="Arial" w:cs="Arial"/>
          <w:b/>
          <w:bCs/>
          <w:sz w:val="20"/>
        </w:rPr>
        <w:t> 20th</w:t>
      </w:r>
      <w:r w:rsidRPr="00DD1175">
        <w:rPr>
          <w:rFonts w:ascii="Arial" w:eastAsia="Times New Roman" w:hAnsi="Arial" w:cs="Arial"/>
          <w:b/>
          <w:bCs/>
          <w:sz w:val="20"/>
        </w:rPr>
        <w:t> January, 2015 </w:t>
      </w:r>
    </w:p>
    <w:p w:rsidR="00DD1175" w:rsidRPr="00DD1175" w:rsidRDefault="00DD1175" w:rsidP="00DD1175">
      <w:pPr>
        <w:shd w:val="clear" w:color="auto" w:fill="FFFFFF"/>
        <w:spacing w:after="0" w:line="300" w:lineRule="atLeast"/>
        <w:jc w:val="both"/>
        <w:rPr>
          <w:rFonts w:ascii="Arial" w:eastAsia="Times New Roman" w:hAnsi="Arial" w:cs="Arial"/>
          <w:sz w:val="20"/>
          <w:szCs w:val="20"/>
        </w:rPr>
      </w:pPr>
      <w:r w:rsidRPr="00DD1175">
        <w:rPr>
          <w:rFonts w:ascii="Arial" w:eastAsia="Times New Roman" w:hAnsi="Arial" w:cs="Arial"/>
          <w:b/>
          <w:bCs/>
          <w:sz w:val="20"/>
        </w:rPr>
        <w:t>Sub: Instructions regarding issue of summons in Central Excise and Service Tax matters – reg.</w:t>
      </w:r>
    </w:p>
    <w:p w:rsidR="00DD1175" w:rsidRPr="00DD1175" w:rsidRDefault="00DD1175" w:rsidP="00DD1175">
      <w:pPr>
        <w:shd w:val="clear" w:color="auto" w:fill="FFFFFF"/>
        <w:spacing w:after="0" w:line="300" w:lineRule="atLeast"/>
        <w:jc w:val="both"/>
        <w:rPr>
          <w:rFonts w:ascii="Arial" w:eastAsia="Times New Roman" w:hAnsi="Arial" w:cs="Arial"/>
          <w:sz w:val="20"/>
          <w:szCs w:val="20"/>
        </w:rPr>
      </w:pPr>
      <w:r w:rsidRPr="00DD1175">
        <w:rPr>
          <w:rFonts w:ascii="Arial" w:eastAsia="Times New Roman" w:hAnsi="Arial" w:cs="Arial"/>
          <w:sz w:val="20"/>
          <w:szCs w:val="20"/>
        </w:rPr>
        <w:t>It has been</w:t>
      </w:r>
      <w:r w:rsidRPr="00DD1175">
        <w:rPr>
          <w:rFonts w:ascii="Arial" w:eastAsia="Times New Roman" w:hAnsi="Arial" w:cs="Arial"/>
          <w:sz w:val="20"/>
        </w:rPr>
        <w:t> brought </w:t>
      </w:r>
      <w:r w:rsidRPr="00DD1175">
        <w:rPr>
          <w:rFonts w:ascii="Arial" w:eastAsia="Times New Roman" w:hAnsi="Arial" w:cs="Arial"/>
          <w:sz w:val="20"/>
          <w:szCs w:val="20"/>
        </w:rPr>
        <w:t>to the notice of the Board that in some instances, the summons under Section 14 of the Central Excise Act, 1944 have been issued by the field formations to the top senior officials of the companies in a</w:t>
      </w:r>
      <w:r w:rsidRPr="00DD1175">
        <w:rPr>
          <w:rFonts w:ascii="Arial" w:eastAsia="Times New Roman" w:hAnsi="Arial" w:cs="Arial"/>
          <w:sz w:val="20"/>
        </w:rPr>
        <w:t> routine </w:t>
      </w:r>
      <w:r w:rsidRPr="00DD1175">
        <w:rPr>
          <w:rFonts w:ascii="Arial" w:eastAsia="Times New Roman" w:hAnsi="Arial" w:cs="Arial"/>
          <w:sz w:val="20"/>
          <w:szCs w:val="20"/>
        </w:rPr>
        <w:t>manner to</w:t>
      </w:r>
      <w:r w:rsidRPr="00DD1175">
        <w:rPr>
          <w:rFonts w:ascii="Arial" w:eastAsia="Times New Roman" w:hAnsi="Arial" w:cs="Arial"/>
          <w:sz w:val="20"/>
        </w:rPr>
        <w:t> call for </w:t>
      </w:r>
      <w:r w:rsidRPr="00DD1175">
        <w:rPr>
          <w:rFonts w:ascii="Arial" w:eastAsia="Times New Roman" w:hAnsi="Arial" w:cs="Arial"/>
          <w:sz w:val="20"/>
          <w:szCs w:val="20"/>
        </w:rPr>
        <w:t>material evidence/ documents. Besides, summons have been issued to enforce recovery of dues, which are under dispute.</w:t>
      </w:r>
      <w:r w:rsidRPr="00DD1175">
        <w:rPr>
          <w:rFonts w:ascii="Arial" w:eastAsia="Times New Roman" w:hAnsi="Arial" w:cs="Arial"/>
          <w:sz w:val="20"/>
        </w:rPr>
        <w:t> As per </w:t>
      </w:r>
      <w:r w:rsidRPr="00DD1175">
        <w:rPr>
          <w:rFonts w:ascii="Arial" w:eastAsia="Times New Roman" w:hAnsi="Arial" w:cs="Arial"/>
          <w:sz w:val="20"/>
          <w:szCs w:val="20"/>
        </w:rPr>
        <w:t>Section 14 of Central Excise Act, 1944, summons can be used in an inquiry for recording statements or for collecting evidence/ documents. While the evidentiary value of securing documentary and oral evidence under the said legal provision can hardly be over emphasized, nevertheless, it is desirable that summons need not always be issued when a simple letter, politely worded, can also serve the purpose of securing documents relevant to investigation. It is emphasized that the use of summons be made only as a last resort when it is absolutely required.</w:t>
      </w:r>
    </w:p>
    <w:p w:rsidR="00DD1175" w:rsidRPr="00DD1175" w:rsidRDefault="00DD1175" w:rsidP="00DD1175">
      <w:pPr>
        <w:shd w:val="clear" w:color="auto" w:fill="FFFFFF"/>
        <w:spacing w:after="0" w:line="300" w:lineRule="atLeast"/>
        <w:jc w:val="both"/>
        <w:rPr>
          <w:rFonts w:ascii="Arial" w:eastAsia="Times New Roman" w:hAnsi="Arial" w:cs="Arial"/>
          <w:sz w:val="20"/>
          <w:szCs w:val="20"/>
        </w:rPr>
      </w:pPr>
      <w:r w:rsidRPr="00DD1175">
        <w:rPr>
          <w:rFonts w:ascii="Arial" w:eastAsia="Times New Roman" w:hAnsi="Arial" w:cs="Arial"/>
          <w:sz w:val="20"/>
          <w:szCs w:val="20"/>
        </w:rPr>
        <w:t>2. On this issue, Board has already issued a</w:t>
      </w:r>
      <w:r w:rsidRPr="00DD1175">
        <w:rPr>
          <w:rFonts w:ascii="Arial" w:eastAsia="Times New Roman" w:hAnsi="Arial" w:cs="Arial"/>
          <w:sz w:val="20"/>
        </w:rPr>
        <w:t> circular </w:t>
      </w:r>
      <w:r w:rsidRPr="00DD1175">
        <w:rPr>
          <w:rFonts w:ascii="Arial" w:eastAsia="Times New Roman" w:hAnsi="Arial" w:cs="Arial"/>
          <w:b/>
          <w:bCs/>
          <w:sz w:val="20"/>
          <w:szCs w:val="20"/>
        </w:rPr>
        <w:t>vide</w:t>
      </w:r>
      <w:r w:rsidRPr="00DD1175">
        <w:rPr>
          <w:rFonts w:ascii="Arial" w:eastAsia="Times New Roman" w:hAnsi="Arial" w:cs="Arial"/>
          <w:b/>
          <w:bCs/>
          <w:sz w:val="20"/>
        </w:rPr>
        <w:t> F. No 208/122/89-CX.6 dated 13.10.1989</w:t>
      </w:r>
      <w:r w:rsidRPr="00DD1175">
        <w:rPr>
          <w:rFonts w:ascii="Arial" w:eastAsia="Times New Roman" w:hAnsi="Arial" w:cs="Arial"/>
          <w:sz w:val="20"/>
        </w:rPr>
        <w:t> </w:t>
      </w:r>
      <w:r w:rsidRPr="00DD1175">
        <w:rPr>
          <w:rFonts w:ascii="Arial" w:eastAsia="Times New Roman" w:hAnsi="Arial" w:cs="Arial"/>
          <w:sz w:val="20"/>
          <w:szCs w:val="20"/>
        </w:rPr>
        <w:t>in respect of Central Excise. Instruction has also been issued vide</w:t>
      </w:r>
      <w:r w:rsidRPr="00DD1175">
        <w:rPr>
          <w:rFonts w:ascii="Arial" w:eastAsia="Times New Roman" w:hAnsi="Arial" w:cs="Arial"/>
          <w:sz w:val="20"/>
        </w:rPr>
        <w:t> </w:t>
      </w:r>
      <w:r w:rsidRPr="00DD1175">
        <w:rPr>
          <w:rFonts w:ascii="Arial" w:eastAsia="Times New Roman" w:hAnsi="Arial" w:cs="Arial"/>
          <w:b/>
          <w:bCs/>
          <w:sz w:val="20"/>
        </w:rPr>
        <w:t>F. No. 137/39/2007-CX.4 dated 26.2.2007</w:t>
      </w:r>
      <w:r w:rsidRPr="00DD1175">
        <w:rPr>
          <w:rFonts w:ascii="Arial" w:eastAsia="Times New Roman" w:hAnsi="Arial" w:cs="Arial"/>
          <w:sz w:val="20"/>
        </w:rPr>
        <w:t> </w:t>
      </w:r>
      <w:r w:rsidRPr="00DD1175">
        <w:rPr>
          <w:rFonts w:ascii="Arial" w:eastAsia="Times New Roman" w:hAnsi="Arial" w:cs="Arial"/>
          <w:sz w:val="20"/>
          <w:szCs w:val="20"/>
        </w:rPr>
        <w:t>in Service Tax matters.</w:t>
      </w:r>
    </w:p>
    <w:p w:rsidR="00DD1175" w:rsidRPr="00DD1175" w:rsidRDefault="00DD1175" w:rsidP="00DD1175">
      <w:pPr>
        <w:shd w:val="clear" w:color="auto" w:fill="FFFFFF"/>
        <w:spacing w:before="150" w:after="0" w:line="300" w:lineRule="atLeast"/>
        <w:jc w:val="both"/>
        <w:rPr>
          <w:rFonts w:ascii="Arial" w:eastAsia="Times New Roman" w:hAnsi="Arial" w:cs="Arial"/>
          <w:sz w:val="20"/>
          <w:szCs w:val="20"/>
        </w:rPr>
      </w:pPr>
      <w:r w:rsidRPr="00DD1175">
        <w:rPr>
          <w:rFonts w:ascii="Arial" w:eastAsia="Times New Roman" w:hAnsi="Arial" w:cs="Arial"/>
          <w:sz w:val="20"/>
          <w:szCs w:val="20"/>
        </w:rPr>
        <w:t>3. The following guidelines are being issued to be followed in both Central Excise and Service Tax matters:–</w:t>
      </w:r>
    </w:p>
    <w:p w:rsidR="00DD1175" w:rsidRPr="00DD1175" w:rsidRDefault="00DD1175" w:rsidP="00DD1175">
      <w:pPr>
        <w:shd w:val="clear" w:color="auto" w:fill="FFFFFF"/>
        <w:spacing w:before="150" w:after="0" w:line="300" w:lineRule="atLeast"/>
        <w:jc w:val="both"/>
        <w:rPr>
          <w:rFonts w:ascii="Arial" w:eastAsia="Times New Roman" w:hAnsi="Arial" w:cs="Arial"/>
          <w:sz w:val="20"/>
          <w:szCs w:val="20"/>
        </w:rPr>
      </w:pPr>
      <w:r w:rsidRPr="00DD1175">
        <w:rPr>
          <w:rFonts w:ascii="Arial" w:eastAsia="Times New Roman" w:hAnsi="Arial" w:cs="Arial"/>
          <w:sz w:val="20"/>
          <w:szCs w:val="20"/>
        </w:rPr>
        <w:t>(</w:t>
      </w:r>
      <w:proofErr w:type="spellStart"/>
      <w:r w:rsidRPr="00DD1175">
        <w:rPr>
          <w:rFonts w:ascii="Arial" w:eastAsia="Times New Roman" w:hAnsi="Arial" w:cs="Arial"/>
          <w:sz w:val="20"/>
          <w:szCs w:val="20"/>
        </w:rPr>
        <w:t>i</w:t>
      </w:r>
      <w:proofErr w:type="spellEnd"/>
      <w:r w:rsidRPr="00DD1175">
        <w:rPr>
          <w:rFonts w:ascii="Arial" w:eastAsia="Times New Roman" w:hAnsi="Arial" w:cs="Arial"/>
          <w:sz w:val="20"/>
          <w:szCs w:val="20"/>
        </w:rPr>
        <w:t>) Power to issue summons are generally exercised by Superintendents, though higher officers also issue summons. Summons by Superintendents should be issued after obtaining prior written permission from an officer not below the rank of Assistant Commissioner with the reasons for issuance of summons to be recorded in writing;</w:t>
      </w:r>
    </w:p>
    <w:p w:rsidR="00DD1175" w:rsidRPr="00DD1175" w:rsidRDefault="00DD1175" w:rsidP="00DD1175">
      <w:pPr>
        <w:shd w:val="clear" w:color="auto" w:fill="FFFFFF"/>
        <w:spacing w:before="150" w:after="0" w:line="300" w:lineRule="atLeast"/>
        <w:jc w:val="both"/>
        <w:rPr>
          <w:rFonts w:ascii="Arial" w:eastAsia="Times New Roman" w:hAnsi="Arial" w:cs="Arial"/>
          <w:sz w:val="20"/>
          <w:szCs w:val="20"/>
        </w:rPr>
      </w:pPr>
      <w:r w:rsidRPr="00DD1175">
        <w:rPr>
          <w:rFonts w:ascii="Arial" w:eastAsia="Times New Roman" w:hAnsi="Arial" w:cs="Arial"/>
          <w:sz w:val="20"/>
          <w:szCs w:val="20"/>
        </w:rPr>
        <w:t>(ii) where for operational reasons it is not possible to obtain such prior written permission, oral/telephonic permission from such officer must be obtained and the same should be reduced to writing and intimated to the officer according such permission at the earliest opportunity;</w:t>
      </w:r>
    </w:p>
    <w:p w:rsidR="00DD1175" w:rsidRPr="00DD1175" w:rsidRDefault="00DD1175" w:rsidP="00DD1175">
      <w:pPr>
        <w:shd w:val="clear" w:color="auto" w:fill="FFFFFF"/>
        <w:spacing w:after="0" w:line="300" w:lineRule="atLeast"/>
        <w:jc w:val="both"/>
        <w:rPr>
          <w:rFonts w:ascii="Arial" w:eastAsia="Times New Roman" w:hAnsi="Arial" w:cs="Arial"/>
          <w:sz w:val="20"/>
          <w:szCs w:val="20"/>
        </w:rPr>
      </w:pPr>
      <w:r w:rsidRPr="00DD1175">
        <w:rPr>
          <w:rFonts w:ascii="Arial" w:eastAsia="Times New Roman" w:hAnsi="Arial" w:cs="Arial"/>
          <w:sz w:val="20"/>
          <w:szCs w:val="20"/>
        </w:rPr>
        <w:t>(iii) In</w:t>
      </w:r>
      <w:r w:rsidRPr="00DD1175">
        <w:rPr>
          <w:rFonts w:ascii="Arial" w:eastAsia="Times New Roman" w:hAnsi="Arial" w:cs="Arial"/>
          <w:sz w:val="20"/>
        </w:rPr>
        <w:t> all cases</w:t>
      </w:r>
      <w:r w:rsidRPr="00DD1175">
        <w:rPr>
          <w:rFonts w:ascii="Arial" w:eastAsia="Times New Roman" w:hAnsi="Arial" w:cs="Arial"/>
          <w:sz w:val="20"/>
          <w:szCs w:val="20"/>
        </w:rPr>
        <w:t>, where summons are issued, the officer issuing summons should submit a report or should</w:t>
      </w:r>
      <w:r w:rsidRPr="00DD1175">
        <w:rPr>
          <w:rFonts w:ascii="Arial" w:eastAsia="Times New Roman" w:hAnsi="Arial" w:cs="Arial"/>
          <w:sz w:val="20"/>
        </w:rPr>
        <w:t> record </w:t>
      </w:r>
      <w:r w:rsidRPr="00DD1175">
        <w:rPr>
          <w:rFonts w:ascii="Arial" w:eastAsia="Times New Roman" w:hAnsi="Arial" w:cs="Arial"/>
          <w:sz w:val="20"/>
          <w:szCs w:val="20"/>
        </w:rPr>
        <w:t>a</w:t>
      </w:r>
      <w:r w:rsidRPr="00DD1175">
        <w:rPr>
          <w:rFonts w:ascii="Arial" w:eastAsia="Times New Roman" w:hAnsi="Arial" w:cs="Arial"/>
          <w:sz w:val="20"/>
        </w:rPr>
        <w:t> brief </w:t>
      </w:r>
      <w:r w:rsidRPr="00DD1175">
        <w:rPr>
          <w:rFonts w:ascii="Arial" w:eastAsia="Times New Roman" w:hAnsi="Arial" w:cs="Arial"/>
          <w:sz w:val="20"/>
          <w:szCs w:val="20"/>
        </w:rPr>
        <w:t>of the proceedings in the case file and submit the same to the officer who had authorised the issue of summons.</w:t>
      </w:r>
    </w:p>
    <w:p w:rsidR="00DD1175" w:rsidRPr="00DD1175" w:rsidRDefault="00DD1175" w:rsidP="00DD1175">
      <w:pPr>
        <w:shd w:val="clear" w:color="auto" w:fill="FFFFFF"/>
        <w:spacing w:after="0" w:line="300" w:lineRule="atLeast"/>
        <w:jc w:val="both"/>
        <w:rPr>
          <w:rFonts w:ascii="Arial" w:eastAsia="Times New Roman" w:hAnsi="Arial" w:cs="Arial"/>
          <w:sz w:val="20"/>
          <w:szCs w:val="20"/>
        </w:rPr>
      </w:pPr>
      <w:r w:rsidRPr="00DD1175">
        <w:rPr>
          <w:rFonts w:ascii="Arial" w:eastAsia="Times New Roman" w:hAnsi="Arial" w:cs="Arial"/>
          <w:sz w:val="20"/>
          <w:szCs w:val="20"/>
        </w:rPr>
        <w:t>4. Further, senior management officials such as</w:t>
      </w:r>
      <w:r w:rsidRPr="00DD1175">
        <w:rPr>
          <w:rFonts w:ascii="Arial" w:eastAsia="Times New Roman" w:hAnsi="Arial" w:cs="Arial"/>
          <w:sz w:val="20"/>
        </w:rPr>
        <w:t> CEO</w:t>
      </w:r>
      <w:r w:rsidRPr="00DD1175">
        <w:rPr>
          <w:rFonts w:ascii="Arial" w:eastAsia="Times New Roman" w:hAnsi="Arial" w:cs="Arial"/>
          <w:sz w:val="20"/>
          <w:szCs w:val="20"/>
        </w:rPr>
        <w:t>,</w:t>
      </w:r>
      <w:r w:rsidRPr="00DD1175">
        <w:rPr>
          <w:rFonts w:ascii="Arial" w:eastAsia="Times New Roman" w:hAnsi="Arial" w:cs="Arial"/>
          <w:sz w:val="20"/>
        </w:rPr>
        <w:t> CFO</w:t>
      </w:r>
      <w:r w:rsidRPr="00DD1175">
        <w:rPr>
          <w:rFonts w:ascii="Arial" w:eastAsia="Times New Roman" w:hAnsi="Arial" w:cs="Arial"/>
          <w:sz w:val="20"/>
          <w:szCs w:val="20"/>
        </w:rPr>
        <w:t xml:space="preserve">, </w:t>
      </w:r>
      <w:proofErr w:type="gramStart"/>
      <w:r w:rsidRPr="00DD1175">
        <w:rPr>
          <w:rFonts w:ascii="Arial" w:eastAsia="Times New Roman" w:hAnsi="Arial" w:cs="Arial"/>
          <w:sz w:val="20"/>
          <w:szCs w:val="20"/>
        </w:rPr>
        <w:t>General</w:t>
      </w:r>
      <w:proofErr w:type="gramEnd"/>
      <w:r w:rsidRPr="00DD1175">
        <w:rPr>
          <w:rFonts w:ascii="Arial" w:eastAsia="Times New Roman" w:hAnsi="Arial" w:cs="Arial"/>
          <w:sz w:val="20"/>
          <w:szCs w:val="20"/>
        </w:rPr>
        <w:t xml:space="preserve"> Managers of a large company or a PSU should not generally be issued summons at the first instance. They should be summoned only when there are indications in the investigation of their involvement in the decision making process which led to loss of revenue.</w:t>
      </w:r>
    </w:p>
    <w:p w:rsidR="00DD1175" w:rsidRPr="00DD1175" w:rsidRDefault="00DD1175" w:rsidP="00DD1175">
      <w:pPr>
        <w:shd w:val="clear" w:color="auto" w:fill="FFFFFF"/>
        <w:spacing w:before="150" w:after="0" w:line="300" w:lineRule="atLeast"/>
        <w:jc w:val="both"/>
        <w:rPr>
          <w:rFonts w:ascii="Arial" w:eastAsia="Times New Roman" w:hAnsi="Arial" w:cs="Arial"/>
          <w:sz w:val="20"/>
          <w:szCs w:val="20"/>
        </w:rPr>
      </w:pPr>
      <w:r w:rsidRPr="00DD1175">
        <w:rPr>
          <w:rFonts w:ascii="Arial" w:eastAsia="Times New Roman" w:hAnsi="Arial" w:cs="Arial"/>
          <w:sz w:val="20"/>
          <w:szCs w:val="20"/>
        </w:rPr>
        <w:t>5. These instructions may be brought to the notice of all the field officers for strict compliance. Non observance of the instructions will be viewed seriously.</w:t>
      </w:r>
    </w:p>
    <w:sectPr w:rsidR="00DD1175" w:rsidRPr="00DD1175" w:rsidSect="00116E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1175"/>
    <w:rsid w:val="00116E18"/>
    <w:rsid w:val="00DD11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E18"/>
  </w:style>
  <w:style w:type="paragraph" w:styleId="Heading2">
    <w:name w:val="heading 2"/>
    <w:basedOn w:val="Normal"/>
    <w:link w:val="Heading2Char"/>
    <w:uiPriority w:val="9"/>
    <w:qFormat/>
    <w:rsid w:val="00DD11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1175"/>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D1175"/>
    <w:rPr>
      <w:color w:val="0000FF"/>
      <w:u w:val="single"/>
    </w:rPr>
  </w:style>
  <w:style w:type="character" w:customStyle="1" w:styleId="apple-converted-space">
    <w:name w:val="apple-converted-space"/>
    <w:basedOn w:val="DefaultParagraphFont"/>
    <w:rsid w:val="00DD1175"/>
  </w:style>
  <w:style w:type="paragraph" w:styleId="NormalWeb">
    <w:name w:val="Normal (Web)"/>
    <w:basedOn w:val="Normal"/>
    <w:uiPriority w:val="99"/>
    <w:semiHidden/>
    <w:unhideWhenUsed/>
    <w:rsid w:val="00DD11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1175"/>
    <w:rPr>
      <w:b/>
      <w:bCs/>
    </w:rPr>
  </w:style>
  <w:style w:type="character" w:customStyle="1" w:styleId="ilad">
    <w:name w:val="il_ad"/>
    <w:basedOn w:val="DefaultParagraphFont"/>
    <w:rsid w:val="00DD1175"/>
  </w:style>
  <w:style w:type="paragraph" w:styleId="BalloonText">
    <w:name w:val="Balloon Text"/>
    <w:basedOn w:val="Normal"/>
    <w:link w:val="BalloonTextChar"/>
    <w:uiPriority w:val="99"/>
    <w:semiHidden/>
    <w:unhideWhenUsed/>
    <w:rsid w:val="00DD1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7104497">
      <w:bodyDiv w:val="1"/>
      <w:marLeft w:val="0"/>
      <w:marRight w:val="0"/>
      <w:marTop w:val="0"/>
      <w:marBottom w:val="0"/>
      <w:divBdr>
        <w:top w:val="none" w:sz="0" w:space="0" w:color="auto"/>
        <w:left w:val="none" w:sz="0" w:space="0" w:color="auto"/>
        <w:bottom w:val="none" w:sz="0" w:space="0" w:color="auto"/>
        <w:right w:val="none" w:sz="0" w:space="0" w:color="auto"/>
      </w:divBdr>
      <w:divsChild>
        <w:div w:id="657927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WAHEGURU</dc:creator>
  <cp:lastModifiedBy>WAHEGURU</cp:lastModifiedBy>
  <cp:revision>1</cp:revision>
  <dcterms:created xsi:type="dcterms:W3CDTF">2015-01-22T07:08:00Z</dcterms:created>
  <dcterms:modified xsi:type="dcterms:W3CDTF">2015-01-22T07:11:00Z</dcterms:modified>
</cp:coreProperties>
</file>