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5AF" w:rsidRPr="001575FB" w:rsidRDefault="001575FB" w:rsidP="001575FB">
      <w:pPr>
        <w:spacing w:after="0"/>
        <w:rPr>
          <w:rFonts w:ascii="Arial Narrow" w:hAnsi="Arial Narrow" w:cs="Tahoma"/>
          <w:b/>
          <w:color w:val="D99594" w:themeColor="accent2" w:themeTint="99"/>
          <w:sz w:val="48"/>
          <w:szCs w:val="48"/>
        </w:rPr>
      </w:pPr>
      <w:r>
        <w:rPr>
          <w:rFonts w:ascii="Arial Narrow" w:hAnsi="Arial Narrow" w:cs="Tahoma"/>
          <w:b/>
          <w:sz w:val="24"/>
          <w:szCs w:val="24"/>
        </w:rPr>
        <w:t xml:space="preserve">                               </w:t>
      </w:r>
      <w:r w:rsidRPr="001575FB">
        <w:rPr>
          <w:rFonts w:ascii="Arial Narrow" w:hAnsi="Arial Narrow" w:cs="Tahoma"/>
          <w:b/>
          <w:color w:val="D99594" w:themeColor="accent2" w:themeTint="99"/>
          <w:sz w:val="48"/>
          <w:szCs w:val="48"/>
        </w:rPr>
        <w:t>Corporate Social Responsibility</w:t>
      </w:r>
    </w:p>
    <w:p w:rsidR="005B3AA2" w:rsidRPr="00C23658" w:rsidRDefault="005B3AA2" w:rsidP="005B3AA2">
      <w:pPr>
        <w:spacing w:after="0"/>
        <w:rPr>
          <w:rFonts w:ascii="Arial Narrow" w:hAnsi="Arial Narrow" w:cs="Tahoma"/>
          <w:b/>
          <w:sz w:val="24"/>
          <w:szCs w:val="24"/>
        </w:rPr>
      </w:pPr>
    </w:p>
    <w:p w:rsidR="005B3AA2" w:rsidRPr="001575FB" w:rsidRDefault="005B3AA2" w:rsidP="00B4270F">
      <w:pPr>
        <w:pBdr>
          <w:top w:val="single" w:sz="4" w:space="1" w:color="auto"/>
          <w:left w:val="single" w:sz="4" w:space="4" w:color="auto"/>
          <w:bottom w:val="single" w:sz="4" w:space="1" w:color="auto"/>
          <w:right w:val="single" w:sz="4" w:space="4" w:color="auto"/>
        </w:pBdr>
        <w:spacing w:after="0" w:line="240" w:lineRule="auto"/>
        <w:rPr>
          <w:rFonts w:ascii="Arial Narrow" w:hAnsi="Arial Narrow" w:cs="Tahoma"/>
          <w:b/>
          <w:color w:val="984806" w:themeColor="accent6" w:themeShade="80"/>
          <w:sz w:val="24"/>
          <w:szCs w:val="24"/>
        </w:rPr>
      </w:pPr>
      <w:r w:rsidRPr="001575FB">
        <w:rPr>
          <w:rFonts w:ascii="Arial Narrow" w:hAnsi="Arial Narrow" w:cs="Tahoma"/>
          <w:b/>
          <w:color w:val="984806" w:themeColor="accent6" w:themeShade="80"/>
          <w:sz w:val="24"/>
          <w:szCs w:val="24"/>
        </w:rPr>
        <w:t>Introduction:</w:t>
      </w:r>
    </w:p>
    <w:p w:rsidR="005B3AA2" w:rsidRPr="00C23658" w:rsidRDefault="005B3AA2" w:rsidP="005B3AA2">
      <w:pPr>
        <w:spacing w:after="0" w:line="240" w:lineRule="auto"/>
        <w:rPr>
          <w:rFonts w:ascii="Arial Narrow" w:hAnsi="Arial Narrow" w:cs="Tahoma"/>
          <w:b/>
          <w:sz w:val="24"/>
          <w:szCs w:val="24"/>
        </w:rPr>
      </w:pPr>
    </w:p>
    <w:p w:rsidR="005B3AA2" w:rsidRPr="00A12C5C" w:rsidRDefault="005B3AA2" w:rsidP="005B3AA2">
      <w:pPr>
        <w:spacing w:line="240" w:lineRule="auto"/>
        <w:jc w:val="both"/>
        <w:rPr>
          <w:rFonts w:ascii="Arial Narrow" w:hAnsi="Arial Narrow"/>
          <w:color w:val="B2A1C7" w:themeColor="accent4" w:themeTint="99"/>
          <w:sz w:val="24"/>
          <w:szCs w:val="24"/>
        </w:rPr>
      </w:pPr>
      <w:r w:rsidRPr="00A12C5C">
        <w:rPr>
          <w:rFonts w:ascii="Arial Narrow" w:hAnsi="Arial Narrow"/>
          <w:color w:val="B2A1C7" w:themeColor="accent4" w:themeTint="99"/>
          <w:sz w:val="24"/>
          <w:szCs w:val="24"/>
        </w:rPr>
        <w:t>Sustainable business success cannot be achieved solely through maximizing short term profits but instead by managing their operations in such a way as to enhance economic growth and ensuring environmental protection to promote social responsibility.</w:t>
      </w:r>
    </w:p>
    <w:p w:rsidR="005B3AA2" w:rsidRPr="00A12C5C" w:rsidRDefault="005B3AA2" w:rsidP="005B3AA2">
      <w:pPr>
        <w:spacing w:line="240" w:lineRule="auto"/>
        <w:jc w:val="both"/>
        <w:rPr>
          <w:rFonts w:ascii="Arial Narrow" w:hAnsi="Arial Narrow"/>
          <w:color w:val="B2A1C7" w:themeColor="accent4" w:themeTint="99"/>
          <w:sz w:val="24"/>
          <w:szCs w:val="24"/>
        </w:rPr>
      </w:pPr>
      <w:r w:rsidRPr="00A12C5C">
        <w:rPr>
          <w:rFonts w:ascii="Arial Narrow" w:hAnsi="Arial Narrow"/>
          <w:color w:val="B2A1C7" w:themeColor="accent4" w:themeTint="99"/>
          <w:sz w:val="24"/>
          <w:szCs w:val="24"/>
        </w:rPr>
        <w:t>Any business being a creation of society cannot remain in isolation and directly concerns the society at large and therefore should assume its responsibility to adopt CSR practices for providing assistance in some forms or other to the society.</w:t>
      </w:r>
    </w:p>
    <w:p w:rsidR="005B3AA2" w:rsidRPr="001575FB" w:rsidRDefault="007A1B5B" w:rsidP="001575FB">
      <w:pPr>
        <w:pBdr>
          <w:top w:val="single" w:sz="4" w:space="1" w:color="auto"/>
          <w:left w:val="single" w:sz="4" w:space="4" w:color="auto"/>
          <w:bottom w:val="single" w:sz="4" w:space="1" w:color="auto"/>
          <w:right w:val="single" w:sz="4" w:space="4" w:color="auto"/>
        </w:pBdr>
        <w:spacing w:after="0" w:line="240" w:lineRule="auto"/>
        <w:rPr>
          <w:rFonts w:ascii="Arial Narrow" w:hAnsi="Arial Narrow" w:cs="Tahoma"/>
          <w:b/>
          <w:color w:val="984806" w:themeColor="accent6" w:themeShade="80"/>
          <w:sz w:val="24"/>
          <w:szCs w:val="24"/>
        </w:rPr>
      </w:pPr>
      <w:r w:rsidRPr="001575FB">
        <w:rPr>
          <w:rFonts w:ascii="Arial Narrow" w:hAnsi="Arial Narrow" w:cs="Tahoma"/>
          <w:b/>
          <w:color w:val="984806" w:themeColor="accent6" w:themeShade="80"/>
          <w:sz w:val="24"/>
          <w:szCs w:val="24"/>
        </w:rPr>
        <w:t>What does CSR mean ?</w:t>
      </w:r>
    </w:p>
    <w:p w:rsidR="005B3AA2" w:rsidRPr="00A12C5C" w:rsidRDefault="005B3AA2" w:rsidP="005B3AA2">
      <w:pPr>
        <w:spacing w:line="240" w:lineRule="auto"/>
        <w:jc w:val="both"/>
        <w:rPr>
          <w:rFonts w:ascii="Arial Narrow" w:hAnsi="Arial Narrow"/>
          <w:color w:val="B2A1C7" w:themeColor="accent4" w:themeTint="99"/>
          <w:sz w:val="24"/>
          <w:szCs w:val="24"/>
        </w:rPr>
      </w:pPr>
      <w:r w:rsidRPr="00A12C5C">
        <w:rPr>
          <w:rFonts w:ascii="Arial Narrow" w:hAnsi="Arial Narrow"/>
          <w:color w:val="B2A1C7" w:themeColor="accent4" w:themeTint="99"/>
          <w:sz w:val="24"/>
          <w:szCs w:val="24"/>
        </w:rPr>
        <w:t>Let me make it clear that business is created by the society and success of business depends on society as the goods and services provided by business are ultimately consumed by society.</w:t>
      </w:r>
      <w:r w:rsidR="00D86BEF" w:rsidRPr="00A12C5C">
        <w:rPr>
          <w:rFonts w:ascii="Arial Narrow" w:hAnsi="Arial Narrow"/>
          <w:color w:val="B2A1C7" w:themeColor="accent4" w:themeTint="99"/>
          <w:sz w:val="24"/>
          <w:szCs w:val="24"/>
        </w:rPr>
        <w:t xml:space="preserve"> Thus</w:t>
      </w:r>
      <w:r w:rsidRPr="00A12C5C">
        <w:rPr>
          <w:rFonts w:ascii="Arial Narrow" w:hAnsi="Arial Narrow"/>
          <w:color w:val="B2A1C7" w:themeColor="accent4" w:themeTint="99"/>
          <w:sz w:val="24"/>
          <w:szCs w:val="24"/>
        </w:rPr>
        <w:t xml:space="preserve">, CSR is </w:t>
      </w:r>
      <w:r w:rsidR="008C13A1" w:rsidRPr="00A12C5C">
        <w:rPr>
          <w:rFonts w:ascii="Arial Narrow" w:hAnsi="Arial Narrow"/>
          <w:color w:val="B2A1C7" w:themeColor="accent4" w:themeTint="99"/>
          <w:sz w:val="24"/>
          <w:szCs w:val="24"/>
        </w:rPr>
        <w:t xml:space="preserve">the </w:t>
      </w:r>
      <w:r w:rsidRPr="00A12C5C">
        <w:rPr>
          <w:rFonts w:ascii="Arial Narrow" w:hAnsi="Arial Narrow"/>
          <w:color w:val="B2A1C7" w:themeColor="accent4" w:themeTint="99"/>
          <w:sz w:val="24"/>
          <w:szCs w:val="24"/>
        </w:rPr>
        <w:t xml:space="preserve">way </w:t>
      </w:r>
      <w:r w:rsidR="008C13A1" w:rsidRPr="00A12C5C">
        <w:rPr>
          <w:rFonts w:ascii="Arial Narrow" w:hAnsi="Arial Narrow"/>
          <w:color w:val="B2A1C7" w:themeColor="accent4" w:themeTint="99"/>
          <w:sz w:val="24"/>
          <w:szCs w:val="24"/>
        </w:rPr>
        <w:t>whereby</w:t>
      </w:r>
      <w:r w:rsidRPr="00A12C5C">
        <w:rPr>
          <w:rFonts w:ascii="Arial Narrow" w:hAnsi="Arial Narrow"/>
          <w:color w:val="B2A1C7" w:themeColor="accent4" w:themeTint="99"/>
          <w:sz w:val="24"/>
          <w:szCs w:val="24"/>
        </w:rPr>
        <w:t xml:space="preserve"> company achieves a balance of economic, environment and social imperatives while at the same time addressing shareholders’ and stakeholders’ expectations. </w:t>
      </w:r>
    </w:p>
    <w:p w:rsidR="005B3AA2" w:rsidRPr="00A12C5C" w:rsidRDefault="005B3AA2" w:rsidP="005B3AA2">
      <w:pPr>
        <w:spacing w:line="240" w:lineRule="auto"/>
        <w:jc w:val="both"/>
        <w:rPr>
          <w:rFonts w:ascii="Arial Narrow" w:hAnsi="Arial Narrow"/>
          <w:color w:val="B2A1C7" w:themeColor="accent4" w:themeTint="99"/>
          <w:sz w:val="24"/>
          <w:szCs w:val="24"/>
        </w:rPr>
      </w:pPr>
      <w:r w:rsidRPr="00A12C5C">
        <w:rPr>
          <w:rFonts w:ascii="Arial Narrow" w:hAnsi="Arial Narrow"/>
          <w:i/>
          <w:color w:val="B2A1C7" w:themeColor="accent4" w:themeTint="99"/>
          <w:sz w:val="24"/>
          <w:szCs w:val="24"/>
        </w:rPr>
        <w:t>If I cross the word ‘CORPORATE’ from CORPORATE SOCIAL RESPONSIBILITY, then it will become ‘SOCIAL RESPONSIBILITY’ that is an integral part of life and every activity of a natural person</w:t>
      </w:r>
      <w:r w:rsidRPr="00A12C5C">
        <w:rPr>
          <w:rFonts w:ascii="Arial Narrow" w:hAnsi="Arial Narrow"/>
          <w:color w:val="B2A1C7" w:themeColor="accent4" w:themeTint="99"/>
          <w:sz w:val="24"/>
          <w:szCs w:val="24"/>
        </w:rPr>
        <w:t>. Likewise, a business is like a natural person and it must be recognized as having functions, duties and moral obligations that go beyond the pursuit of profit and specific requirement of legislations which protects the society as a whole.</w:t>
      </w:r>
    </w:p>
    <w:p w:rsidR="005B3AA2" w:rsidRPr="00A12C5C" w:rsidRDefault="005B3AA2" w:rsidP="005B3AA2">
      <w:pPr>
        <w:spacing w:line="240" w:lineRule="auto"/>
        <w:jc w:val="both"/>
        <w:rPr>
          <w:rFonts w:ascii="Arial Narrow" w:hAnsi="Arial Narrow"/>
          <w:color w:val="B2A1C7" w:themeColor="accent4" w:themeTint="99"/>
          <w:sz w:val="24"/>
          <w:szCs w:val="24"/>
        </w:rPr>
      </w:pPr>
      <w:r w:rsidRPr="00A12C5C">
        <w:rPr>
          <w:rFonts w:ascii="Arial Narrow" w:hAnsi="Arial Narrow"/>
          <w:i/>
          <w:color w:val="B2A1C7" w:themeColor="accent4" w:themeTint="99"/>
          <w:sz w:val="24"/>
          <w:szCs w:val="24"/>
        </w:rPr>
        <w:t>“SUSTAINABILITY” is a destination while “SUSTAINABLE DEVELOPMENT” is a path</w:t>
      </w:r>
      <w:r w:rsidRPr="00A12C5C">
        <w:rPr>
          <w:rFonts w:ascii="Arial Narrow" w:hAnsi="Arial Narrow"/>
          <w:color w:val="B2A1C7" w:themeColor="accent4" w:themeTint="99"/>
          <w:sz w:val="24"/>
          <w:szCs w:val="24"/>
        </w:rPr>
        <w:t xml:space="preserve">. Sustainable development is there if businesses take care of various interest groups that will have a direct bearing on the functioning of the Company. Long term self interest of business are best served when corporate assume social responsibilities.  </w:t>
      </w:r>
    </w:p>
    <w:p w:rsidR="005B3AA2" w:rsidRPr="001575FB" w:rsidRDefault="00A30616" w:rsidP="001575FB">
      <w:pPr>
        <w:pBdr>
          <w:top w:val="single" w:sz="4" w:space="1" w:color="auto"/>
          <w:left w:val="single" w:sz="4" w:space="4" w:color="auto"/>
          <w:bottom w:val="single" w:sz="4" w:space="1" w:color="auto"/>
          <w:right w:val="single" w:sz="4" w:space="4" w:color="auto"/>
        </w:pBdr>
        <w:spacing w:after="0" w:line="240" w:lineRule="auto"/>
        <w:rPr>
          <w:rFonts w:ascii="Arial Narrow" w:hAnsi="Arial Narrow" w:cs="Tahoma"/>
          <w:b/>
          <w:color w:val="984806" w:themeColor="accent6" w:themeShade="80"/>
          <w:sz w:val="24"/>
          <w:szCs w:val="24"/>
        </w:rPr>
      </w:pPr>
      <w:r w:rsidRPr="001575FB">
        <w:rPr>
          <w:rFonts w:ascii="Arial Narrow" w:hAnsi="Arial Narrow" w:cs="Tahoma"/>
          <w:b/>
          <w:color w:val="984806" w:themeColor="accent6" w:themeShade="80"/>
          <w:sz w:val="24"/>
          <w:szCs w:val="24"/>
        </w:rPr>
        <w:t>Triple Bottom Line Approach of CSR</w:t>
      </w:r>
      <w:r w:rsidR="00B4270F" w:rsidRPr="001575FB">
        <w:rPr>
          <w:rFonts w:ascii="Arial Narrow" w:hAnsi="Arial Narrow" w:cs="Tahoma"/>
          <w:b/>
          <w:color w:val="984806" w:themeColor="accent6" w:themeShade="80"/>
          <w:sz w:val="24"/>
          <w:szCs w:val="24"/>
        </w:rPr>
        <w:t>:</w:t>
      </w:r>
    </w:p>
    <w:p w:rsidR="003C1A95" w:rsidRPr="00A12C5C" w:rsidRDefault="005B3AA2" w:rsidP="005B3AA2">
      <w:pPr>
        <w:spacing w:line="240" w:lineRule="auto"/>
        <w:jc w:val="both"/>
        <w:rPr>
          <w:rFonts w:ascii="Arial Narrow" w:hAnsi="Arial Narrow"/>
          <w:color w:val="B2A1C7" w:themeColor="accent4" w:themeTint="99"/>
          <w:sz w:val="24"/>
          <w:szCs w:val="24"/>
        </w:rPr>
      </w:pPr>
      <w:r w:rsidRPr="00A12C5C">
        <w:rPr>
          <w:rFonts w:ascii="Arial Narrow" w:hAnsi="Arial Narrow"/>
          <w:color w:val="B2A1C7" w:themeColor="accent4" w:themeTint="99"/>
          <w:sz w:val="24"/>
          <w:szCs w:val="24"/>
        </w:rPr>
        <w:t>Every Company needs to remember that it comes into existence not just to work for the benefit of the promoter alone. It is expected to play in the society at large. Business entities have more to do than make just profits and that is why the concept of TRIPLE BOTTOM LINE is gaining importance which includes “People, Planet and Profit” or in other words Social, Env</w:t>
      </w:r>
      <w:r w:rsidR="00BB1DFC" w:rsidRPr="00A12C5C">
        <w:rPr>
          <w:rFonts w:ascii="Arial Narrow" w:hAnsi="Arial Narrow"/>
          <w:color w:val="B2A1C7" w:themeColor="accent4" w:themeTint="99"/>
          <w:sz w:val="24"/>
          <w:szCs w:val="24"/>
        </w:rPr>
        <w:t>ironmental and economic factors:</w:t>
      </w:r>
    </w:p>
    <w:p w:rsidR="005B3AA2" w:rsidRPr="00A12C5C" w:rsidRDefault="006B6C71" w:rsidP="005B3AA2">
      <w:pPr>
        <w:spacing w:line="240" w:lineRule="auto"/>
        <w:jc w:val="both"/>
        <w:rPr>
          <w:rFonts w:ascii="Arial Narrow" w:hAnsi="Arial Narrow"/>
          <w:color w:val="B2A1C7" w:themeColor="accent4" w:themeTint="99"/>
          <w:sz w:val="24"/>
          <w:szCs w:val="24"/>
        </w:rPr>
      </w:pPr>
      <w:r w:rsidRPr="00A12C5C">
        <w:rPr>
          <w:rFonts w:ascii="Arial Narrow" w:hAnsi="Arial Narrow"/>
          <w:b/>
          <w:i/>
          <w:color w:val="B2A1C7" w:themeColor="accent4" w:themeTint="99"/>
          <w:sz w:val="24"/>
          <w:szCs w:val="24"/>
        </w:rPr>
        <w:t>Give 1</w:t>
      </w:r>
      <w:r w:rsidRPr="00A12C5C">
        <w:rPr>
          <w:rFonts w:ascii="Arial Narrow" w:hAnsi="Arial Narrow"/>
          <w:b/>
          <w:i/>
          <w:color w:val="B2A1C7" w:themeColor="accent4" w:themeTint="99"/>
          <w:sz w:val="24"/>
          <w:szCs w:val="24"/>
          <w:vertAlign w:val="superscript"/>
        </w:rPr>
        <w:t>st</w:t>
      </w:r>
      <w:r w:rsidRPr="00A12C5C">
        <w:rPr>
          <w:rFonts w:ascii="Arial Narrow" w:hAnsi="Arial Narrow"/>
          <w:b/>
          <w:i/>
          <w:color w:val="B2A1C7" w:themeColor="accent4" w:themeTint="99"/>
          <w:sz w:val="24"/>
          <w:szCs w:val="24"/>
        </w:rPr>
        <w:t xml:space="preserve"> Priority to: </w:t>
      </w:r>
      <w:r w:rsidR="005B3AA2" w:rsidRPr="00A12C5C">
        <w:rPr>
          <w:rFonts w:ascii="Arial Narrow" w:hAnsi="Arial Narrow"/>
          <w:b/>
          <w:i/>
          <w:color w:val="B2A1C7" w:themeColor="accent4" w:themeTint="99"/>
          <w:sz w:val="24"/>
          <w:szCs w:val="24"/>
        </w:rPr>
        <w:t>“People”</w:t>
      </w:r>
      <w:r w:rsidR="005B3AA2" w:rsidRPr="00A12C5C">
        <w:rPr>
          <w:rFonts w:ascii="Arial Narrow" w:hAnsi="Arial Narrow"/>
          <w:b/>
          <w:color w:val="B2A1C7" w:themeColor="accent4" w:themeTint="99"/>
          <w:sz w:val="24"/>
          <w:szCs w:val="24"/>
        </w:rPr>
        <w:t xml:space="preserve"> </w:t>
      </w:r>
      <w:r w:rsidR="005B3AA2" w:rsidRPr="00A12C5C">
        <w:rPr>
          <w:rFonts w:ascii="Arial Narrow" w:hAnsi="Arial Narrow"/>
          <w:color w:val="B2A1C7" w:themeColor="accent4" w:themeTint="99"/>
          <w:sz w:val="24"/>
          <w:szCs w:val="24"/>
        </w:rPr>
        <w:t>pertains to fair and beneficial business practices toward labor and the community and region in which a corporation conducts its business. The people issue faced by the corporate includes health, safety, diversity, education, literacy, prevention of child labor etc.</w:t>
      </w:r>
    </w:p>
    <w:p w:rsidR="005B3AA2" w:rsidRPr="00A12C5C" w:rsidRDefault="006B6C71" w:rsidP="005B3AA2">
      <w:pPr>
        <w:spacing w:line="240" w:lineRule="auto"/>
        <w:jc w:val="both"/>
        <w:rPr>
          <w:rFonts w:ascii="Arial Narrow" w:hAnsi="Arial Narrow"/>
          <w:color w:val="B2A1C7" w:themeColor="accent4" w:themeTint="99"/>
          <w:sz w:val="24"/>
          <w:szCs w:val="24"/>
        </w:rPr>
      </w:pPr>
      <w:r w:rsidRPr="00A12C5C">
        <w:rPr>
          <w:rFonts w:ascii="Arial Narrow" w:hAnsi="Arial Narrow"/>
          <w:b/>
          <w:i/>
          <w:color w:val="B2A1C7" w:themeColor="accent4" w:themeTint="99"/>
          <w:sz w:val="24"/>
          <w:szCs w:val="24"/>
        </w:rPr>
        <w:t>Give 2</w:t>
      </w:r>
      <w:r w:rsidRPr="00A12C5C">
        <w:rPr>
          <w:rFonts w:ascii="Arial Narrow" w:hAnsi="Arial Narrow"/>
          <w:b/>
          <w:i/>
          <w:color w:val="B2A1C7" w:themeColor="accent4" w:themeTint="99"/>
          <w:sz w:val="24"/>
          <w:szCs w:val="24"/>
          <w:vertAlign w:val="superscript"/>
        </w:rPr>
        <w:t>nd</w:t>
      </w:r>
      <w:r w:rsidRPr="00A12C5C">
        <w:rPr>
          <w:rFonts w:ascii="Arial Narrow" w:hAnsi="Arial Narrow"/>
          <w:b/>
          <w:i/>
          <w:color w:val="B2A1C7" w:themeColor="accent4" w:themeTint="99"/>
          <w:sz w:val="24"/>
          <w:szCs w:val="24"/>
        </w:rPr>
        <w:t xml:space="preserve"> Priority to: </w:t>
      </w:r>
      <w:r w:rsidR="005B3AA2" w:rsidRPr="00A12C5C">
        <w:rPr>
          <w:rFonts w:ascii="Arial Narrow" w:hAnsi="Arial Narrow"/>
          <w:b/>
          <w:i/>
          <w:color w:val="B2A1C7" w:themeColor="accent4" w:themeTint="99"/>
          <w:sz w:val="24"/>
          <w:szCs w:val="24"/>
        </w:rPr>
        <w:t>“Planet”</w:t>
      </w:r>
      <w:r w:rsidR="005B3AA2" w:rsidRPr="00A12C5C">
        <w:rPr>
          <w:rFonts w:ascii="Arial Narrow" w:hAnsi="Arial Narrow"/>
          <w:b/>
          <w:color w:val="B2A1C7" w:themeColor="accent4" w:themeTint="99"/>
          <w:sz w:val="24"/>
          <w:szCs w:val="24"/>
        </w:rPr>
        <w:t xml:space="preserve"> </w:t>
      </w:r>
      <w:r w:rsidR="005B3AA2" w:rsidRPr="00A12C5C">
        <w:rPr>
          <w:rFonts w:ascii="Arial Narrow" w:hAnsi="Arial Narrow"/>
          <w:color w:val="B2A1C7" w:themeColor="accent4" w:themeTint="99"/>
          <w:sz w:val="24"/>
          <w:szCs w:val="24"/>
        </w:rPr>
        <w:t>refers to sustainable environmental practices. It includes waste management, afforestation, anti pollution plants etc.</w:t>
      </w:r>
    </w:p>
    <w:p w:rsidR="005B3AA2" w:rsidRPr="00A12C5C" w:rsidRDefault="006B6C71" w:rsidP="005B3AA2">
      <w:pPr>
        <w:spacing w:line="240" w:lineRule="auto"/>
        <w:jc w:val="both"/>
        <w:rPr>
          <w:rFonts w:ascii="Arial Narrow" w:hAnsi="Arial Narrow"/>
          <w:color w:val="B2A1C7" w:themeColor="accent4" w:themeTint="99"/>
          <w:sz w:val="24"/>
          <w:szCs w:val="24"/>
        </w:rPr>
      </w:pPr>
      <w:r w:rsidRPr="00A12C5C">
        <w:rPr>
          <w:rFonts w:ascii="Arial Narrow" w:hAnsi="Arial Narrow"/>
          <w:b/>
          <w:i/>
          <w:color w:val="B2A1C7" w:themeColor="accent4" w:themeTint="99"/>
          <w:sz w:val="24"/>
          <w:szCs w:val="24"/>
        </w:rPr>
        <w:t xml:space="preserve">Give last Priority to: </w:t>
      </w:r>
      <w:r w:rsidR="005B3AA2" w:rsidRPr="00A12C5C">
        <w:rPr>
          <w:rFonts w:ascii="Arial Narrow" w:hAnsi="Arial Narrow"/>
          <w:b/>
          <w:i/>
          <w:color w:val="B2A1C7" w:themeColor="accent4" w:themeTint="99"/>
          <w:sz w:val="24"/>
          <w:szCs w:val="24"/>
        </w:rPr>
        <w:t>“Profit”</w:t>
      </w:r>
      <w:r w:rsidR="005B3AA2" w:rsidRPr="00A12C5C">
        <w:rPr>
          <w:rFonts w:ascii="Arial Narrow" w:hAnsi="Arial Narrow"/>
          <w:color w:val="B2A1C7" w:themeColor="accent4" w:themeTint="99"/>
          <w:sz w:val="24"/>
          <w:szCs w:val="24"/>
        </w:rPr>
        <w:t xml:space="preserve"> is the bottom line expected and shared by all concerns of business. </w:t>
      </w:r>
    </w:p>
    <w:p w:rsidR="005B3AA2" w:rsidRPr="00A12C5C" w:rsidRDefault="005B3AA2" w:rsidP="005B3AA2">
      <w:pPr>
        <w:spacing w:line="240" w:lineRule="auto"/>
        <w:jc w:val="both"/>
        <w:rPr>
          <w:rFonts w:ascii="Arial Narrow" w:hAnsi="Arial Narrow"/>
          <w:color w:val="B2A1C7" w:themeColor="accent4" w:themeTint="99"/>
          <w:sz w:val="24"/>
          <w:szCs w:val="24"/>
        </w:rPr>
      </w:pPr>
      <w:r w:rsidRPr="00A12C5C">
        <w:rPr>
          <w:rFonts w:ascii="Arial Narrow" w:hAnsi="Arial Narrow"/>
          <w:color w:val="B2A1C7" w:themeColor="accent4" w:themeTint="99"/>
          <w:sz w:val="24"/>
          <w:szCs w:val="24"/>
        </w:rPr>
        <w:t xml:space="preserve">Business entities are expected to undertake those practices, which are essential for betterment of society. Corporate Social Responsibility means open and transparent business practices that are based on ethical values and respect for employees, communities and the environment. It should be designed to deliver sustainable value to society at large as well as to shareholders. Business must avoid every unethical </w:t>
      </w:r>
      <w:r w:rsidRPr="00A12C5C">
        <w:rPr>
          <w:rFonts w:ascii="Arial Narrow" w:hAnsi="Arial Narrow"/>
          <w:color w:val="B2A1C7" w:themeColor="accent4" w:themeTint="99"/>
          <w:sz w:val="24"/>
          <w:szCs w:val="24"/>
        </w:rPr>
        <w:lastRenderedPageBreak/>
        <w:t xml:space="preserve">practice, viz. hoarding and creating of scarcity, adulteration, tax avoidance etc. to protect the society from its ill- effects.   </w:t>
      </w:r>
    </w:p>
    <w:p w:rsidR="005B3AA2" w:rsidRPr="00A12C5C" w:rsidRDefault="005B3AA2" w:rsidP="005B3AA2">
      <w:pPr>
        <w:spacing w:line="240" w:lineRule="auto"/>
        <w:jc w:val="both"/>
        <w:rPr>
          <w:rFonts w:ascii="Arial Narrow" w:hAnsi="Arial Narrow"/>
          <w:color w:val="B2A1C7" w:themeColor="accent4" w:themeTint="99"/>
          <w:sz w:val="24"/>
          <w:szCs w:val="24"/>
        </w:rPr>
      </w:pPr>
      <w:r w:rsidRPr="00A12C5C">
        <w:rPr>
          <w:rFonts w:ascii="Arial Narrow" w:hAnsi="Arial Narrow"/>
          <w:color w:val="B2A1C7" w:themeColor="accent4" w:themeTint="99"/>
          <w:sz w:val="24"/>
          <w:szCs w:val="24"/>
        </w:rPr>
        <w:t xml:space="preserve">The term Corporate Social Responsibility has increasingly been intertwined with the concept of Corporate Governance. Many commentators have considered CSR as a form of external corporate governance and the fact that the value of corporation will increase if the corporation adopts and practices CSR. </w:t>
      </w:r>
    </w:p>
    <w:p w:rsidR="00C41AC2" w:rsidRPr="001575FB" w:rsidRDefault="00056028" w:rsidP="001575FB">
      <w:pPr>
        <w:pBdr>
          <w:top w:val="single" w:sz="4" w:space="1" w:color="auto"/>
          <w:left w:val="single" w:sz="4" w:space="4" w:color="auto"/>
          <w:bottom w:val="single" w:sz="4" w:space="1" w:color="auto"/>
          <w:right w:val="single" w:sz="4" w:space="4" w:color="auto"/>
        </w:pBdr>
        <w:spacing w:after="0" w:line="240" w:lineRule="auto"/>
        <w:rPr>
          <w:rFonts w:ascii="Arial Narrow" w:hAnsi="Arial Narrow" w:cs="Tahoma"/>
          <w:b/>
          <w:color w:val="984806" w:themeColor="accent6" w:themeShade="80"/>
          <w:sz w:val="24"/>
          <w:szCs w:val="24"/>
        </w:rPr>
      </w:pPr>
      <w:r w:rsidRPr="001575FB">
        <w:rPr>
          <w:rFonts w:ascii="Arial Narrow" w:hAnsi="Arial Narrow" w:cs="Tahoma"/>
          <w:b/>
          <w:color w:val="984806" w:themeColor="accent6" w:themeShade="80"/>
          <w:sz w:val="24"/>
          <w:szCs w:val="24"/>
        </w:rPr>
        <w:t>Factors influencing CSR:</w:t>
      </w:r>
    </w:p>
    <w:p w:rsidR="00C41AC2" w:rsidRPr="00C23658" w:rsidRDefault="00C41AC2" w:rsidP="00C41AC2">
      <w:pPr>
        <w:pStyle w:val="NoSpacing"/>
        <w:jc w:val="both"/>
        <w:rPr>
          <w:rFonts w:ascii="Arial Narrow" w:eastAsia="Times New Roman" w:hAnsi="Arial Narrow"/>
          <w:sz w:val="24"/>
          <w:szCs w:val="24"/>
        </w:rPr>
      </w:pPr>
    </w:p>
    <w:p w:rsidR="00C41AC2" w:rsidRPr="00A12C5C" w:rsidRDefault="00C41AC2" w:rsidP="00C41AC2">
      <w:pPr>
        <w:pStyle w:val="NoSpacing"/>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Many factors and influences have led to increasing attention being devoted to CSR.</w:t>
      </w:r>
    </w:p>
    <w:p w:rsidR="00C41AC2" w:rsidRPr="00A12C5C" w:rsidRDefault="00C41AC2" w:rsidP="00C41AC2">
      <w:pPr>
        <w:pStyle w:val="NoSpacing"/>
        <w:numPr>
          <w:ilvl w:val="0"/>
          <w:numId w:val="15"/>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 xml:space="preserve">  Consumers and investors are showing increasing interest in supporting responsible business practices and are demanding more information on how companies are addressing risk and opportunities related to social and environmental issues.</w:t>
      </w:r>
    </w:p>
    <w:p w:rsidR="00C41AC2" w:rsidRPr="00A12C5C" w:rsidRDefault="00C41AC2" w:rsidP="00C41AC2">
      <w:pPr>
        <w:pStyle w:val="NoSpacing"/>
        <w:numPr>
          <w:ilvl w:val="0"/>
          <w:numId w:val="15"/>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 xml:space="preserve">  Advances in communication technology, such as the internet, cellular, phones and personal digital assistants, are making it easier to track corporate activities and disseminate information about them.</w:t>
      </w:r>
    </w:p>
    <w:p w:rsidR="00C41AC2" w:rsidRPr="00A12C5C" w:rsidRDefault="00C41AC2" w:rsidP="00C41AC2">
      <w:pPr>
        <w:pStyle w:val="NoSpacing"/>
        <w:numPr>
          <w:ilvl w:val="0"/>
          <w:numId w:val="15"/>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 xml:space="preserve">  Non governmental organizations are now regularly draw attention through their websites to business practices they view as problematic.</w:t>
      </w:r>
    </w:p>
    <w:p w:rsidR="00C41AC2" w:rsidRPr="00A12C5C" w:rsidRDefault="00C41AC2" w:rsidP="00C41AC2">
      <w:pPr>
        <w:pStyle w:val="NoSpacing"/>
        <w:numPr>
          <w:ilvl w:val="0"/>
          <w:numId w:val="15"/>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 xml:space="preserve">  There is increasing awareness of the limits of government legislative and regulatory initiatives to effectively capture all the issues that corporate social responsibility addresses.   </w:t>
      </w:r>
    </w:p>
    <w:p w:rsidR="00C41AC2" w:rsidRPr="00A12C5C" w:rsidRDefault="00C41AC2" w:rsidP="00C41AC2">
      <w:pPr>
        <w:pStyle w:val="NoSpacing"/>
        <w:numPr>
          <w:ilvl w:val="0"/>
          <w:numId w:val="15"/>
        </w:numPr>
        <w:ind w:hanging="385"/>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 xml:space="preserve">  Businesses are recognizing that adopting an effective approach to CSR can reduce risk of business disruptions, open up new opportunities, and enhance brand and company reputation.  </w:t>
      </w:r>
    </w:p>
    <w:p w:rsidR="00C41AC2" w:rsidRPr="00A12C5C" w:rsidRDefault="00C41AC2" w:rsidP="00C41AC2">
      <w:pPr>
        <w:pStyle w:val="NoSpacing"/>
        <w:numPr>
          <w:ilvl w:val="0"/>
          <w:numId w:val="15"/>
        </w:numPr>
        <w:ind w:hanging="385"/>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 xml:space="preserve">  Numerous serious and high profile breaches of corporate ethics have contributed to elevated public mistrust of corporations and highlighted the need for improved corporate governance, transparency, accountability and ethical standards.</w:t>
      </w:r>
    </w:p>
    <w:p w:rsidR="00C41AC2" w:rsidRPr="00A12C5C" w:rsidRDefault="00C41AC2" w:rsidP="00C41AC2">
      <w:pPr>
        <w:pStyle w:val="NoSpacing"/>
        <w:numPr>
          <w:ilvl w:val="0"/>
          <w:numId w:val="15"/>
        </w:numPr>
        <w:ind w:hanging="385"/>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 xml:space="preserve">  Governments and intergovernmental bodies, such as the United Nations, the Organization for Economic Co-operation and Development and the International Labour Organization have developed compacts, declarations, guidelines, principles and other instruments that outline social norms for acceptable conduct.</w:t>
      </w:r>
    </w:p>
    <w:p w:rsidR="00A2789A" w:rsidRPr="00A12C5C" w:rsidRDefault="00C41AC2" w:rsidP="00A2789A">
      <w:pPr>
        <w:pStyle w:val="NoSpacing"/>
        <w:numPr>
          <w:ilvl w:val="0"/>
          <w:numId w:val="15"/>
        </w:numPr>
        <w:ind w:hanging="385"/>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 xml:space="preserve">  Citizens in many countries are making it clear that corporations should meet standards of social and environmental care, no matter where they operate.</w:t>
      </w:r>
    </w:p>
    <w:p w:rsidR="005B3AA2" w:rsidRPr="00C23658" w:rsidRDefault="005B3AA2" w:rsidP="005B3AA2">
      <w:pPr>
        <w:spacing w:after="0" w:line="240" w:lineRule="auto"/>
        <w:jc w:val="center"/>
        <w:rPr>
          <w:rFonts w:ascii="Arial Narrow" w:hAnsi="Arial Narrow"/>
          <w:sz w:val="24"/>
          <w:szCs w:val="24"/>
        </w:rPr>
      </w:pPr>
    </w:p>
    <w:p w:rsidR="00A2789A" w:rsidRPr="001575FB" w:rsidRDefault="00A2789A" w:rsidP="001B438C">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Benefits of CSR:</w:t>
      </w:r>
    </w:p>
    <w:p w:rsidR="00A2789A" w:rsidRPr="00A12C5C" w:rsidRDefault="00A2789A" w:rsidP="00A2789A">
      <w:pPr>
        <w:pStyle w:val="NoSpacing"/>
        <w:jc w:val="both"/>
        <w:rPr>
          <w:rFonts w:ascii="Arial Narrow" w:eastAsia="Times New Roman" w:hAnsi="Arial Narrow"/>
          <w:color w:val="B2A1C7" w:themeColor="accent4" w:themeTint="99"/>
          <w:sz w:val="24"/>
          <w:szCs w:val="24"/>
        </w:rPr>
      </w:pP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Customers trust the products of a company and are willing to pay a premium on its products. Brand equity, is founded on values such as trust, credibility, reliability, quality and consistency.</w:t>
      </w: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Organization benefit from a better community, which is the main source of its workforce and the consumer of its products.</w:t>
      </w: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The company’s social involvement discourages excessive regulation or intervention from the government or statutory bodies, and hence gives greater freedom and flexibility in decision – making.</w:t>
      </w: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Encouraging social involvement of employees, which in turn develops a sense of loyalty towards the organization, helping in creating a dedicated workforce proud of its company. Employees like to contribute to the cause of creating a better society. Employees become champions of the company for which they are proud to work.</w:t>
      </w: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The good public image secured by one organization by their social responsiveness encourages other organizations in the neighborhood to adapt them to achieve their social responsiveness.</w:t>
      </w: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lastRenderedPageBreak/>
        <w:t>The atmosphere of social responsiveness encourages co-operative attitude between groups of companies. One company can advise or solve social problem that other organizations could not solve.</w:t>
      </w: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Companies can better address the grievances of its employees and create employment opportunities for the unemployed.</w:t>
      </w: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Better position to anticipate and respond to regulatory, economic, social and environmental changes that may occur.</w:t>
      </w: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Financial institutions are increasingly incorporating social and environmental criteria into their assessment of projects.</w:t>
      </w: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When making decisions about where to place their money, investors are looking for indicators of effective CSR management.</w:t>
      </w:r>
    </w:p>
    <w:p w:rsidR="00A2789A" w:rsidRPr="00A12C5C" w:rsidRDefault="00A2789A" w:rsidP="00A2789A">
      <w:pPr>
        <w:pStyle w:val="NoSpacing"/>
        <w:numPr>
          <w:ilvl w:val="0"/>
          <w:numId w:val="16"/>
        </w:numPr>
        <w:jc w:val="both"/>
        <w:rPr>
          <w:rFonts w:ascii="Arial Narrow" w:eastAsia="Times New Roman" w:hAnsi="Arial Narrow"/>
          <w:color w:val="B2A1C7" w:themeColor="accent4" w:themeTint="99"/>
          <w:sz w:val="24"/>
          <w:szCs w:val="24"/>
        </w:rPr>
      </w:pPr>
      <w:r w:rsidRPr="00A12C5C">
        <w:rPr>
          <w:rFonts w:ascii="Arial Narrow" w:eastAsia="Times New Roman" w:hAnsi="Arial Narrow"/>
          <w:color w:val="B2A1C7" w:themeColor="accent4" w:themeTint="99"/>
          <w:sz w:val="24"/>
          <w:szCs w:val="24"/>
        </w:rPr>
        <w:t xml:space="preserve">In a number of jurisdictions, governments have expedited approval processes for firms that have undertaken social and environmental activities beyond those required by regulations. </w:t>
      </w:r>
    </w:p>
    <w:p w:rsidR="003C1A95" w:rsidRPr="00A12C5C" w:rsidRDefault="003C1A95" w:rsidP="003C1A95">
      <w:pPr>
        <w:pStyle w:val="NoSpacing"/>
        <w:jc w:val="both"/>
        <w:rPr>
          <w:rFonts w:ascii="Arial Narrow" w:eastAsia="Times New Roman" w:hAnsi="Arial Narrow"/>
          <w:color w:val="B2A1C7" w:themeColor="accent4" w:themeTint="99"/>
          <w:sz w:val="24"/>
          <w:szCs w:val="24"/>
        </w:rPr>
      </w:pPr>
    </w:p>
    <w:p w:rsidR="0085208A" w:rsidRPr="00A12C5C" w:rsidRDefault="00836CE3" w:rsidP="0085208A">
      <w:pPr>
        <w:jc w:val="both"/>
        <w:rPr>
          <w:rFonts w:ascii="Arial Narrow" w:hAnsi="Arial Narrow"/>
          <w:b/>
          <w:bCs/>
          <w:color w:val="B2A1C7" w:themeColor="accent4" w:themeTint="99"/>
          <w:sz w:val="24"/>
          <w:szCs w:val="24"/>
        </w:rPr>
      </w:pPr>
      <w:r w:rsidRPr="00A12C5C">
        <w:rPr>
          <w:rFonts w:ascii="Arial Narrow" w:hAnsi="Arial Narrow"/>
          <w:color w:val="B2A1C7" w:themeColor="accent4" w:themeTint="99"/>
          <w:sz w:val="24"/>
          <w:szCs w:val="24"/>
        </w:rPr>
        <w:t xml:space="preserve">Thus CSR is </w:t>
      </w:r>
      <w:r w:rsidRPr="00A12C5C">
        <w:rPr>
          <w:rFonts w:ascii="Arial Narrow" w:hAnsi="Arial Narrow"/>
          <w:b/>
          <w:bCs/>
          <w:i/>
          <w:iCs/>
          <w:color w:val="B2A1C7" w:themeColor="accent4" w:themeTint="99"/>
          <w:sz w:val="24"/>
          <w:szCs w:val="24"/>
        </w:rPr>
        <w:t>“Operating a business in a manner that meets or exceeds the ethical, legal, commercial and public expectations that society has of business.”</w:t>
      </w:r>
      <w:r w:rsidRPr="00A12C5C">
        <w:rPr>
          <w:rFonts w:ascii="Arial Narrow" w:hAnsi="Arial Narrow"/>
          <w:b/>
          <w:bCs/>
          <w:color w:val="B2A1C7" w:themeColor="accent4" w:themeTint="99"/>
          <w:sz w:val="24"/>
          <w:szCs w:val="24"/>
        </w:rPr>
        <w:t xml:space="preserve"> </w:t>
      </w:r>
      <w:r w:rsidR="0085208A" w:rsidRPr="00A12C5C">
        <w:rPr>
          <w:rFonts w:ascii="Arial Narrow" w:hAnsi="Arial Narrow"/>
          <w:b/>
          <w:bCs/>
          <w:color w:val="B2A1C7" w:themeColor="accent4" w:themeTint="99"/>
          <w:sz w:val="24"/>
          <w:szCs w:val="24"/>
        </w:rPr>
        <w:t>In simple terms, CSR is Corporate’s Social Responsibility !</w:t>
      </w:r>
    </w:p>
    <w:p w:rsidR="00EF094D" w:rsidRPr="00C23658" w:rsidRDefault="00EF094D" w:rsidP="00D04A0C">
      <w:pPr>
        <w:jc w:val="center"/>
        <w:rPr>
          <w:rFonts w:ascii="Arial Narrow" w:hAnsi="Arial Narrow" w:cs="Tahoma"/>
          <w:sz w:val="24"/>
          <w:szCs w:val="24"/>
        </w:rPr>
      </w:pPr>
    </w:p>
    <w:p w:rsidR="00EF094D" w:rsidRPr="001575FB" w:rsidRDefault="00AB7E58"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CSR Legal Provisions:</w:t>
      </w:r>
    </w:p>
    <w:p w:rsidR="00923D8C" w:rsidRPr="00A12C5C" w:rsidRDefault="00923D8C" w:rsidP="00C7087D">
      <w:pPr>
        <w:ind w:left="-90"/>
        <w:jc w:val="both"/>
        <w:rPr>
          <w:rFonts w:ascii="Arial Narrow" w:hAnsi="Arial Narrow" w:cs="Tahoma"/>
          <w:bCs/>
          <w:color w:val="B2A1C7" w:themeColor="accent4" w:themeTint="99"/>
          <w:sz w:val="24"/>
          <w:szCs w:val="24"/>
        </w:rPr>
      </w:pPr>
      <w:r w:rsidRPr="00A12C5C">
        <w:rPr>
          <w:rFonts w:ascii="Arial Narrow" w:hAnsi="Arial Narrow" w:cs="Tahoma"/>
          <w:bCs/>
          <w:color w:val="B2A1C7" w:themeColor="accent4" w:themeTint="99"/>
          <w:sz w:val="24"/>
          <w:szCs w:val="24"/>
        </w:rPr>
        <w:t>Section 135 (under Chapter IX – Accounts of Companies) of the Companies Act 2013 deals with Corporate Social Responsibility. Section 135 contains 5 sub-sections with one Explanation. Schedule VII of the Companies Act 2013 (Amended by MCA Notification dated 27.02.2014) lists out the CSR activities.</w:t>
      </w:r>
    </w:p>
    <w:p w:rsidR="00B13FA4" w:rsidRPr="001575FB" w:rsidRDefault="00B13FA4"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Section 135(1) – CSR Committee</w:t>
      </w:r>
      <w:r w:rsidR="00673833" w:rsidRPr="001575FB">
        <w:rPr>
          <w:rFonts w:ascii="Arial Narrow" w:eastAsia="Times New Roman" w:hAnsi="Arial Narrow" w:cs="Tahoma"/>
          <w:b/>
          <w:color w:val="984806" w:themeColor="accent6" w:themeShade="80"/>
          <w:sz w:val="24"/>
          <w:szCs w:val="24"/>
        </w:rPr>
        <w:t xml:space="preserve"> – Applicability of CSR in a company via a CSR Committee</w:t>
      </w:r>
    </w:p>
    <w:p w:rsidR="00B13FA4" w:rsidRPr="00A12C5C" w:rsidRDefault="00B13FA4" w:rsidP="00C7087D">
      <w:pPr>
        <w:ind w:left="-90"/>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 xml:space="preserve">Every company having </w:t>
      </w:r>
      <w:r w:rsidRPr="00A12C5C">
        <w:rPr>
          <w:rFonts w:ascii="Arial Narrow" w:hAnsi="Arial Narrow" w:cs="Tahoma"/>
          <w:b/>
          <w:bCs/>
          <w:color w:val="B2A1C7" w:themeColor="accent4" w:themeTint="99"/>
          <w:sz w:val="24"/>
          <w:szCs w:val="24"/>
        </w:rPr>
        <w:t>net worth of rupees five hundred crore or more</w:t>
      </w:r>
      <w:r w:rsidRPr="00A12C5C">
        <w:rPr>
          <w:rFonts w:ascii="Arial Narrow" w:hAnsi="Arial Narrow" w:cs="Tahoma"/>
          <w:color w:val="B2A1C7" w:themeColor="accent4" w:themeTint="99"/>
          <w:sz w:val="24"/>
          <w:szCs w:val="24"/>
        </w:rPr>
        <w:t xml:space="preserve">, or </w:t>
      </w:r>
      <w:r w:rsidRPr="00A12C5C">
        <w:rPr>
          <w:rFonts w:ascii="Arial Narrow" w:hAnsi="Arial Narrow" w:cs="Tahoma"/>
          <w:b/>
          <w:bCs/>
          <w:color w:val="B2A1C7" w:themeColor="accent4" w:themeTint="99"/>
          <w:sz w:val="24"/>
          <w:szCs w:val="24"/>
        </w:rPr>
        <w:t xml:space="preserve">turnover of rupees one thousand crore or more </w:t>
      </w:r>
      <w:r w:rsidRPr="00A12C5C">
        <w:rPr>
          <w:rFonts w:ascii="Arial Narrow" w:hAnsi="Arial Narrow" w:cs="Tahoma"/>
          <w:color w:val="B2A1C7" w:themeColor="accent4" w:themeTint="99"/>
          <w:sz w:val="24"/>
          <w:szCs w:val="24"/>
        </w:rPr>
        <w:t xml:space="preserve">or </w:t>
      </w:r>
      <w:r w:rsidRPr="00A12C5C">
        <w:rPr>
          <w:rFonts w:ascii="Arial Narrow" w:hAnsi="Arial Narrow" w:cs="Tahoma"/>
          <w:b/>
          <w:bCs/>
          <w:color w:val="B2A1C7" w:themeColor="accent4" w:themeTint="99"/>
          <w:sz w:val="24"/>
          <w:szCs w:val="24"/>
        </w:rPr>
        <w:t xml:space="preserve">a net profit of Rupees five crore or more </w:t>
      </w:r>
      <w:r w:rsidRPr="00A12C5C">
        <w:rPr>
          <w:rFonts w:ascii="Arial Narrow" w:hAnsi="Arial Narrow" w:cs="Tahoma"/>
          <w:color w:val="B2A1C7" w:themeColor="accent4" w:themeTint="99"/>
          <w:sz w:val="24"/>
          <w:szCs w:val="24"/>
        </w:rPr>
        <w:t xml:space="preserve">during any financial year </w:t>
      </w:r>
      <w:r w:rsidRPr="00A12C5C">
        <w:rPr>
          <w:rFonts w:ascii="Arial Narrow" w:hAnsi="Arial Narrow" w:cs="Tahoma"/>
          <w:b/>
          <w:bCs/>
          <w:color w:val="B2A1C7" w:themeColor="accent4" w:themeTint="99"/>
          <w:sz w:val="24"/>
          <w:szCs w:val="24"/>
        </w:rPr>
        <w:t xml:space="preserve">shall constitute a Corporate Social Responsibility Committee of the Board </w:t>
      </w:r>
      <w:r w:rsidRPr="00A12C5C">
        <w:rPr>
          <w:rFonts w:ascii="Arial Narrow" w:hAnsi="Arial Narrow" w:cs="Tahoma"/>
          <w:color w:val="B2A1C7" w:themeColor="accent4" w:themeTint="99"/>
          <w:sz w:val="24"/>
          <w:szCs w:val="24"/>
        </w:rPr>
        <w:t>consisting of three or more directors, out of which at least one director sh</w:t>
      </w:r>
      <w:r w:rsidR="00673833" w:rsidRPr="00A12C5C">
        <w:rPr>
          <w:rFonts w:ascii="Arial Narrow" w:hAnsi="Arial Narrow" w:cs="Tahoma"/>
          <w:color w:val="B2A1C7" w:themeColor="accent4" w:themeTint="99"/>
          <w:sz w:val="24"/>
          <w:szCs w:val="24"/>
        </w:rPr>
        <w:t>all be an independent director.</w:t>
      </w:r>
      <w:r w:rsidR="00DE76DE" w:rsidRPr="00A12C5C">
        <w:rPr>
          <w:rFonts w:ascii="Arial Narrow" w:hAnsi="Arial Narrow" w:cs="Tahoma"/>
          <w:color w:val="B2A1C7" w:themeColor="accent4" w:themeTint="99"/>
          <w:sz w:val="24"/>
          <w:szCs w:val="24"/>
        </w:rPr>
        <w:t xml:space="preserve"> (</w:t>
      </w:r>
      <w:r w:rsidR="00DE76DE" w:rsidRPr="00A12C5C">
        <w:rPr>
          <w:rFonts w:ascii="Arial Narrow" w:hAnsi="Arial Narrow" w:cs="Tahoma"/>
          <w:i/>
          <w:color w:val="B2A1C7" w:themeColor="accent4" w:themeTint="99"/>
          <w:sz w:val="24"/>
          <w:szCs w:val="24"/>
        </w:rPr>
        <w:t xml:space="preserve">If the company need not required </w:t>
      </w:r>
      <w:r w:rsidR="001B34D1" w:rsidRPr="00A12C5C">
        <w:rPr>
          <w:rFonts w:ascii="Arial Narrow" w:hAnsi="Arial Narrow" w:cs="Tahoma"/>
          <w:i/>
          <w:color w:val="B2A1C7" w:themeColor="accent4" w:themeTint="99"/>
          <w:sz w:val="24"/>
          <w:szCs w:val="24"/>
        </w:rPr>
        <w:t>appointing</w:t>
      </w:r>
      <w:r w:rsidR="00DE76DE" w:rsidRPr="00A12C5C">
        <w:rPr>
          <w:rFonts w:ascii="Arial Narrow" w:hAnsi="Arial Narrow" w:cs="Tahoma"/>
          <w:i/>
          <w:color w:val="B2A1C7" w:themeColor="accent4" w:themeTint="99"/>
          <w:sz w:val="24"/>
          <w:szCs w:val="24"/>
        </w:rPr>
        <w:t xml:space="preserve"> an Independent Director, then, such companies can have a CSR committee without a </w:t>
      </w:r>
      <w:r w:rsidR="001B34D1" w:rsidRPr="00A12C5C">
        <w:rPr>
          <w:rFonts w:ascii="Arial Narrow" w:hAnsi="Arial Narrow" w:cs="Tahoma"/>
          <w:i/>
          <w:color w:val="B2A1C7" w:themeColor="accent4" w:themeTint="99"/>
          <w:sz w:val="24"/>
          <w:szCs w:val="24"/>
        </w:rPr>
        <w:t>Independent</w:t>
      </w:r>
      <w:r w:rsidR="00DE76DE" w:rsidRPr="00A12C5C">
        <w:rPr>
          <w:rFonts w:ascii="Arial Narrow" w:hAnsi="Arial Narrow" w:cs="Tahoma"/>
          <w:i/>
          <w:color w:val="B2A1C7" w:themeColor="accent4" w:themeTint="99"/>
          <w:sz w:val="24"/>
          <w:szCs w:val="24"/>
        </w:rPr>
        <w:t xml:space="preserve"> Director. Further if any </w:t>
      </w:r>
      <w:r w:rsidR="001B34D1" w:rsidRPr="00A12C5C">
        <w:rPr>
          <w:rFonts w:ascii="Arial Narrow" w:hAnsi="Arial Narrow" w:cs="Tahoma"/>
          <w:i/>
          <w:color w:val="B2A1C7" w:themeColor="accent4" w:themeTint="99"/>
          <w:sz w:val="24"/>
          <w:szCs w:val="24"/>
        </w:rPr>
        <w:t>company has</w:t>
      </w:r>
      <w:r w:rsidR="00DE76DE" w:rsidRPr="00A12C5C">
        <w:rPr>
          <w:rFonts w:ascii="Arial Narrow" w:hAnsi="Arial Narrow" w:cs="Tahoma"/>
          <w:i/>
          <w:color w:val="B2A1C7" w:themeColor="accent4" w:themeTint="99"/>
          <w:sz w:val="24"/>
          <w:szCs w:val="24"/>
        </w:rPr>
        <w:t xml:space="preserve"> only 2 directors (Pvt Cos) then such two directors can constitute a CSR committee</w:t>
      </w:r>
      <w:r w:rsidR="001B34D1" w:rsidRPr="00A12C5C">
        <w:rPr>
          <w:rFonts w:ascii="Arial Narrow" w:hAnsi="Arial Narrow" w:cs="Tahoma"/>
          <w:color w:val="B2A1C7" w:themeColor="accent4" w:themeTint="99"/>
          <w:sz w:val="24"/>
          <w:szCs w:val="24"/>
        </w:rPr>
        <w:t xml:space="preserve"> </w:t>
      </w:r>
      <w:r w:rsidR="007E35FA" w:rsidRPr="00A12C5C">
        <w:rPr>
          <w:rFonts w:ascii="Arial Narrow" w:hAnsi="Arial Narrow" w:cs="Tahoma"/>
          <w:color w:val="B2A1C7" w:themeColor="accent4" w:themeTint="99"/>
          <w:sz w:val="24"/>
          <w:szCs w:val="24"/>
        </w:rPr>
        <w:t xml:space="preserve">– </w:t>
      </w:r>
      <w:r w:rsidR="007E35FA" w:rsidRPr="00A12C5C">
        <w:rPr>
          <w:rFonts w:ascii="Arial Narrow" w:hAnsi="Arial Narrow" w:cs="Tahoma"/>
          <w:i/>
          <w:color w:val="B2A1C7" w:themeColor="accent4" w:themeTint="99"/>
          <w:sz w:val="24"/>
          <w:szCs w:val="24"/>
        </w:rPr>
        <w:t>Rule 5</w:t>
      </w:r>
      <w:r w:rsidR="001B34D1" w:rsidRPr="00A12C5C">
        <w:rPr>
          <w:rFonts w:ascii="Arial Narrow" w:hAnsi="Arial Narrow" w:cs="Tahoma"/>
          <w:color w:val="B2A1C7" w:themeColor="accent4" w:themeTint="99"/>
          <w:szCs w:val="24"/>
        </w:rPr>
        <w:t xml:space="preserve"> </w:t>
      </w:r>
      <w:r w:rsidR="00DE76DE" w:rsidRPr="00A12C5C">
        <w:rPr>
          <w:rFonts w:ascii="Arial Narrow" w:hAnsi="Arial Narrow" w:cs="Tahoma"/>
          <w:color w:val="B2A1C7" w:themeColor="accent4" w:themeTint="99"/>
          <w:sz w:val="24"/>
          <w:szCs w:val="24"/>
        </w:rPr>
        <w:t xml:space="preserve">) </w:t>
      </w:r>
    </w:p>
    <w:p w:rsidR="00B13FA4" w:rsidRPr="001575FB" w:rsidRDefault="00B13FA4"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Section 135(2) – Disclosure of CSR Committee Constitution in the Boards’ Report:</w:t>
      </w:r>
    </w:p>
    <w:p w:rsidR="00B13FA4" w:rsidRPr="00A12C5C" w:rsidRDefault="00B13FA4" w:rsidP="00C7087D">
      <w:pPr>
        <w:ind w:left="-90"/>
        <w:jc w:val="both"/>
        <w:rPr>
          <w:rFonts w:ascii="Arial Narrow" w:hAnsi="Arial Narrow" w:cs="Tahoma"/>
          <w:bCs/>
          <w:color w:val="B2A1C7" w:themeColor="accent4" w:themeTint="99"/>
          <w:sz w:val="24"/>
          <w:szCs w:val="24"/>
        </w:rPr>
      </w:pPr>
      <w:r w:rsidRPr="00CD7D47">
        <w:rPr>
          <w:rFonts w:ascii="Arial Narrow" w:hAnsi="Arial Narrow" w:cs="Tahoma"/>
          <w:bCs/>
          <w:sz w:val="24"/>
          <w:szCs w:val="24"/>
        </w:rPr>
        <w:t>“</w:t>
      </w:r>
      <w:r w:rsidRPr="00A12C5C">
        <w:rPr>
          <w:rFonts w:ascii="Arial Narrow" w:hAnsi="Arial Narrow" w:cs="Tahoma"/>
          <w:bCs/>
          <w:color w:val="B2A1C7" w:themeColor="accent4" w:themeTint="99"/>
          <w:sz w:val="24"/>
          <w:szCs w:val="24"/>
        </w:rPr>
        <w:t>The Board's report under sub-section (</w:t>
      </w:r>
      <w:r w:rsidRPr="00A12C5C">
        <w:rPr>
          <w:rFonts w:ascii="Arial Narrow" w:hAnsi="Arial Narrow" w:cs="Tahoma"/>
          <w:bCs/>
          <w:i/>
          <w:iCs/>
          <w:color w:val="B2A1C7" w:themeColor="accent4" w:themeTint="99"/>
          <w:sz w:val="24"/>
          <w:szCs w:val="24"/>
        </w:rPr>
        <w:t xml:space="preserve">3) of section 134 shall disclose </w:t>
      </w:r>
      <w:r w:rsidRPr="00A12C5C">
        <w:rPr>
          <w:rFonts w:ascii="Arial Narrow" w:hAnsi="Arial Narrow" w:cs="Tahoma"/>
          <w:bCs/>
          <w:color w:val="B2A1C7" w:themeColor="accent4" w:themeTint="99"/>
          <w:sz w:val="24"/>
          <w:szCs w:val="24"/>
        </w:rPr>
        <w:t>the composition of the Corporate Social Responsibility Committee.”</w:t>
      </w:r>
    </w:p>
    <w:p w:rsidR="00B13FA4" w:rsidRPr="001575FB" w:rsidRDefault="00B13FA4"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Section 135(3) – Functions of CSR Committee:</w:t>
      </w:r>
    </w:p>
    <w:p w:rsidR="00B13FA4" w:rsidRPr="00A12C5C" w:rsidRDefault="00B13FA4" w:rsidP="00C7087D">
      <w:pPr>
        <w:ind w:left="-90"/>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The Corporate Social Responsibility Committee shall,—</w:t>
      </w:r>
    </w:p>
    <w:p w:rsidR="000E2D49" w:rsidRPr="00A12C5C" w:rsidRDefault="000E2D49" w:rsidP="00C7087D">
      <w:pPr>
        <w:numPr>
          <w:ilvl w:val="0"/>
          <w:numId w:val="17"/>
        </w:num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 xml:space="preserve">formulate and recommend to the Board, a </w:t>
      </w:r>
      <w:r w:rsidRPr="00A12C5C">
        <w:rPr>
          <w:rFonts w:ascii="Arial Narrow" w:hAnsi="Arial Narrow" w:cs="Tahoma"/>
          <w:b/>
          <w:bCs/>
          <w:color w:val="B2A1C7" w:themeColor="accent4" w:themeTint="99"/>
          <w:sz w:val="24"/>
          <w:szCs w:val="24"/>
        </w:rPr>
        <w:t>Corporate Social Responsibility Policy</w:t>
      </w:r>
      <w:r w:rsidRPr="00A12C5C">
        <w:rPr>
          <w:rFonts w:ascii="Arial Narrow" w:hAnsi="Arial Narrow" w:cs="Tahoma"/>
          <w:color w:val="B2A1C7" w:themeColor="accent4" w:themeTint="99"/>
          <w:sz w:val="24"/>
          <w:szCs w:val="24"/>
        </w:rPr>
        <w:t xml:space="preserve"> which shall indicate the </w:t>
      </w:r>
      <w:r w:rsidRPr="00A12C5C">
        <w:rPr>
          <w:rFonts w:ascii="Arial Narrow" w:hAnsi="Arial Narrow" w:cs="Tahoma"/>
          <w:b/>
          <w:bCs/>
          <w:color w:val="B2A1C7" w:themeColor="accent4" w:themeTint="99"/>
          <w:sz w:val="24"/>
          <w:szCs w:val="24"/>
        </w:rPr>
        <w:t>activities to be undertaken by the company as specified in Schedule VII</w:t>
      </w:r>
      <w:r w:rsidRPr="00A12C5C">
        <w:rPr>
          <w:rFonts w:ascii="Arial Narrow" w:hAnsi="Arial Narrow" w:cs="Tahoma"/>
          <w:color w:val="B2A1C7" w:themeColor="accent4" w:themeTint="99"/>
          <w:sz w:val="24"/>
          <w:szCs w:val="24"/>
        </w:rPr>
        <w:t>;</w:t>
      </w:r>
    </w:p>
    <w:p w:rsidR="00B13FA4" w:rsidRPr="00A12C5C" w:rsidRDefault="00B13FA4" w:rsidP="00C7087D">
      <w:pPr>
        <w:ind w:left="-90"/>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 xml:space="preserve">(b) recommend the </w:t>
      </w:r>
      <w:r w:rsidRPr="00A12C5C">
        <w:rPr>
          <w:rFonts w:ascii="Arial Narrow" w:hAnsi="Arial Narrow" w:cs="Tahoma"/>
          <w:b/>
          <w:bCs/>
          <w:color w:val="B2A1C7" w:themeColor="accent4" w:themeTint="99"/>
          <w:sz w:val="24"/>
          <w:szCs w:val="24"/>
        </w:rPr>
        <w:t xml:space="preserve">amount of expenditure </w:t>
      </w:r>
      <w:r w:rsidRPr="00A12C5C">
        <w:rPr>
          <w:rFonts w:ascii="Arial Narrow" w:hAnsi="Arial Narrow" w:cs="Tahoma"/>
          <w:color w:val="B2A1C7" w:themeColor="accent4" w:themeTint="99"/>
          <w:sz w:val="24"/>
          <w:szCs w:val="24"/>
        </w:rPr>
        <w:t>to be incurred on the activities referred to in clause (a); and</w:t>
      </w:r>
    </w:p>
    <w:p w:rsidR="00B13FA4" w:rsidRPr="00A12C5C" w:rsidRDefault="00B13FA4" w:rsidP="00C7087D">
      <w:pPr>
        <w:ind w:left="-90"/>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lastRenderedPageBreak/>
        <w:t xml:space="preserve">(c) </w:t>
      </w:r>
      <w:r w:rsidRPr="00A12C5C">
        <w:rPr>
          <w:rFonts w:ascii="Arial Narrow" w:hAnsi="Arial Narrow" w:cs="Tahoma"/>
          <w:b/>
          <w:bCs/>
          <w:color w:val="B2A1C7" w:themeColor="accent4" w:themeTint="99"/>
          <w:sz w:val="24"/>
          <w:szCs w:val="24"/>
        </w:rPr>
        <w:t xml:space="preserve">monitor the Corporate Social Responsibility Policy </w:t>
      </w:r>
      <w:r w:rsidRPr="00A12C5C">
        <w:rPr>
          <w:rFonts w:ascii="Arial Narrow" w:hAnsi="Arial Narrow" w:cs="Tahoma"/>
          <w:color w:val="B2A1C7" w:themeColor="accent4" w:themeTint="99"/>
          <w:sz w:val="24"/>
          <w:szCs w:val="24"/>
        </w:rPr>
        <w:t>of the company from time to time.</w:t>
      </w:r>
    </w:p>
    <w:p w:rsidR="007F261E" w:rsidRPr="00B13FA4" w:rsidRDefault="007F261E" w:rsidP="00C7087D">
      <w:pPr>
        <w:ind w:left="-90"/>
        <w:jc w:val="both"/>
        <w:rPr>
          <w:rFonts w:ascii="Arial Narrow" w:hAnsi="Arial Narrow" w:cs="Tahoma"/>
          <w:sz w:val="24"/>
          <w:szCs w:val="24"/>
        </w:rPr>
      </w:pPr>
    </w:p>
    <w:p w:rsidR="00B13FA4" w:rsidRPr="001575FB" w:rsidRDefault="00B13FA4"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Section 135(4) – Role of the Board:</w:t>
      </w:r>
    </w:p>
    <w:p w:rsidR="00B13FA4" w:rsidRPr="00A12C5C" w:rsidRDefault="00B13FA4" w:rsidP="00A40FAB">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The Board of every company referred to in sub-section (1) shall,—</w:t>
      </w:r>
    </w:p>
    <w:p w:rsidR="00B13FA4" w:rsidRPr="00A12C5C" w:rsidRDefault="00B13FA4" w:rsidP="00A40FAB">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 xml:space="preserve">(a) after taking into account the recommendations made by the Corporate Social Responsibility Committee, </w:t>
      </w:r>
      <w:r w:rsidRPr="00A12C5C">
        <w:rPr>
          <w:rFonts w:ascii="Arial Narrow" w:hAnsi="Arial Narrow" w:cs="Tahoma"/>
          <w:b/>
          <w:bCs/>
          <w:color w:val="B2A1C7" w:themeColor="accent4" w:themeTint="99"/>
          <w:sz w:val="24"/>
          <w:szCs w:val="24"/>
        </w:rPr>
        <w:t>approve the Corporate Social Responsibility Policy</w:t>
      </w:r>
      <w:r w:rsidRPr="00A12C5C">
        <w:rPr>
          <w:rFonts w:ascii="Arial Narrow" w:hAnsi="Arial Narrow" w:cs="Tahoma"/>
          <w:color w:val="B2A1C7" w:themeColor="accent4" w:themeTint="99"/>
          <w:sz w:val="24"/>
          <w:szCs w:val="24"/>
        </w:rPr>
        <w:t xml:space="preserve"> for the company and </w:t>
      </w:r>
      <w:r w:rsidRPr="00A12C5C">
        <w:rPr>
          <w:rFonts w:ascii="Arial Narrow" w:hAnsi="Arial Narrow" w:cs="Tahoma"/>
          <w:b/>
          <w:bCs/>
          <w:color w:val="B2A1C7" w:themeColor="accent4" w:themeTint="99"/>
          <w:sz w:val="24"/>
          <w:szCs w:val="24"/>
        </w:rPr>
        <w:t>disclose contents of such Policy in its report and also place it on the company's website</w:t>
      </w:r>
      <w:r w:rsidRPr="00A12C5C">
        <w:rPr>
          <w:rFonts w:ascii="Arial Narrow" w:hAnsi="Arial Narrow" w:cs="Tahoma"/>
          <w:color w:val="B2A1C7" w:themeColor="accent4" w:themeTint="99"/>
          <w:sz w:val="24"/>
          <w:szCs w:val="24"/>
        </w:rPr>
        <w:t xml:space="preserve">, if any, in such manner as may be prescribed; and </w:t>
      </w:r>
    </w:p>
    <w:p w:rsidR="00B13FA4" w:rsidRPr="00A12C5C" w:rsidRDefault="00B13FA4" w:rsidP="007F261E">
      <w:pPr>
        <w:jc w:val="both"/>
        <w:rPr>
          <w:rFonts w:ascii="Arial Narrow" w:hAnsi="Arial Narrow" w:cs="Tahoma"/>
          <w:b/>
          <w:bCs/>
          <w:color w:val="B2A1C7" w:themeColor="accent4" w:themeTint="99"/>
          <w:sz w:val="24"/>
          <w:szCs w:val="24"/>
        </w:rPr>
      </w:pPr>
      <w:r w:rsidRPr="00A12C5C">
        <w:rPr>
          <w:rFonts w:ascii="Arial Narrow" w:hAnsi="Arial Narrow" w:cs="Tahoma"/>
          <w:color w:val="B2A1C7" w:themeColor="accent4" w:themeTint="99"/>
          <w:sz w:val="24"/>
          <w:szCs w:val="24"/>
        </w:rPr>
        <w:t xml:space="preserve">(b) ensure that the </w:t>
      </w:r>
      <w:r w:rsidRPr="00A12C5C">
        <w:rPr>
          <w:rFonts w:ascii="Arial Narrow" w:hAnsi="Arial Narrow" w:cs="Tahoma"/>
          <w:b/>
          <w:bCs/>
          <w:color w:val="B2A1C7" w:themeColor="accent4" w:themeTint="99"/>
          <w:sz w:val="24"/>
          <w:szCs w:val="24"/>
        </w:rPr>
        <w:t xml:space="preserve">activities </w:t>
      </w:r>
      <w:r w:rsidRPr="00A12C5C">
        <w:rPr>
          <w:rFonts w:ascii="Arial Narrow" w:hAnsi="Arial Narrow" w:cs="Tahoma"/>
          <w:color w:val="B2A1C7" w:themeColor="accent4" w:themeTint="99"/>
          <w:sz w:val="24"/>
          <w:szCs w:val="24"/>
        </w:rPr>
        <w:t xml:space="preserve">as are included in Corporate Social Responsibility Policy of the company </w:t>
      </w:r>
      <w:r w:rsidRPr="00A12C5C">
        <w:rPr>
          <w:rFonts w:ascii="Arial Narrow" w:hAnsi="Arial Narrow" w:cs="Tahoma"/>
          <w:b/>
          <w:bCs/>
          <w:color w:val="B2A1C7" w:themeColor="accent4" w:themeTint="99"/>
          <w:sz w:val="24"/>
          <w:szCs w:val="24"/>
        </w:rPr>
        <w:t>are undertaken by the company.</w:t>
      </w:r>
    </w:p>
    <w:p w:rsidR="00B13FA4" w:rsidRPr="001575FB" w:rsidRDefault="00B13FA4"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Section 135(5) – CSR Expenditure / Mandatory CSR Spending</w:t>
      </w:r>
      <w:r w:rsidR="003A512E" w:rsidRPr="001575FB">
        <w:rPr>
          <w:rFonts w:ascii="Arial Narrow" w:eastAsia="Times New Roman" w:hAnsi="Arial Narrow" w:cs="Tahoma"/>
          <w:b/>
          <w:color w:val="984806" w:themeColor="accent6" w:themeShade="80"/>
          <w:sz w:val="24"/>
          <w:szCs w:val="24"/>
        </w:rPr>
        <w:t>:</w:t>
      </w:r>
      <w:r w:rsidRPr="001575FB">
        <w:rPr>
          <w:rFonts w:ascii="Arial Narrow" w:eastAsia="Times New Roman" w:hAnsi="Arial Narrow" w:cs="Tahoma"/>
          <w:b/>
          <w:color w:val="984806" w:themeColor="accent6" w:themeShade="80"/>
          <w:sz w:val="24"/>
          <w:szCs w:val="24"/>
        </w:rPr>
        <w:t xml:space="preserve"> </w:t>
      </w:r>
    </w:p>
    <w:p w:rsidR="00B13FA4" w:rsidRPr="00A12C5C" w:rsidRDefault="00B13FA4" w:rsidP="00C7087D">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 xml:space="preserve">The Board of every company referred to in sub-section (1), </w:t>
      </w:r>
      <w:r w:rsidRPr="00A12C5C">
        <w:rPr>
          <w:rFonts w:ascii="Arial Narrow" w:hAnsi="Arial Narrow" w:cs="Tahoma"/>
          <w:b/>
          <w:bCs/>
          <w:color w:val="B2A1C7" w:themeColor="accent4" w:themeTint="99"/>
          <w:sz w:val="24"/>
          <w:szCs w:val="24"/>
          <w:u w:val="single"/>
        </w:rPr>
        <w:t>shall</w:t>
      </w:r>
      <w:r w:rsidRPr="00A12C5C">
        <w:rPr>
          <w:rFonts w:ascii="Arial Narrow" w:hAnsi="Arial Narrow" w:cs="Tahoma"/>
          <w:color w:val="B2A1C7" w:themeColor="accent4" w:themeTint="99"/>
          <w:sz w:val="24"/>
          <w:szCs w:val="24"/>
        </w:rPr>
        <w:t xml:space="preserve"> ensure that the company spends, in every financial year, </w:t>
      </w:r>
      <w:r w:rsidRPr="00A12C5C">
        <w:rPr>
          <w:rFonts w:ascii="Arial Narrow" w:hAnsi="Arial Narrow" w:cs="Tahoma"/>
          <w:b/>
          <w:bCs/>
          <w:color w:val="B2A1C7" w:themeColor="accent4" w:themeTint="99"/>
          <w:sz w:val="24"/>
          <w:szCs w:val="24"/>
        </w:rPr>
        <w:t>at least two per cent. of the average net profits of the company made during the three immediately preceding financial years</w:t>
      </w:r>
      <w:r w:rsidRPr="00A12C5C">
        <w:rPr>
          <w:rFonts w:ascii="Arial Narrow" w:hAnsi="Arial Narrow" w:cs="Tahoma"/>
          <w:color w:val="B2A1C7" w:themeColor="accent4" w:themeTint="99"/>
          <w:sz w:val="24"/>
          <w:szCs w:val="24"/>
        </w:rPr>
        <w:t>, in pursuance of its Corporate Social Responsibility Policy:</w:t>
      </w:r>
    </w:p>
    <w:p w:rsidR="00B13FA4" w:rsidRPr="00A12C5C" w:rsidRDefault="00B13FA4" w:rsidP="00C7087D">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 xml:space="preserve">Provided that the company shall </w:t>
      </w:r>
      <w:r w:rsidRPr="00A12C5C">
        <w:rPr>
          <w:rFonts w:ascii="Arial Narrow" w:hAnsi="Arial Narrow" w:cs="Tahoma"/>
          <w:b/>
          <w:bCs/>
          <w:color w:val="B2A1C7" w:themeColor="accent4" w:themeTint="99"/>
          <w:sz w:val="24"/>
          <w:szCs w:val="24"/>
        </w:rPr>
        <w:t>give preference to the local area and areas around it where it perates</w:t>
      </w:r>
      <w:r w:rsidRPr="00A12C5C">
        <w:rPr>
          <w:rFonts w:ascii="Arial Narrow" w:hAnsi="Arial Narrow" w:cs="Tahoma"/>
          <w:color w:val="B2A1C7" w:themeColor="accent4" w:themeTint="99"/>
          <w:sz w:val="24"/>
          <w:szCs w:val="24"/>
        </w:rPr>
        <w:t>, for spending the amount earmarked for Corporate Social Responsibility activities:</w:t>
      </w:r>
    </w:p>
    <w:p w:rsidR="00B46A78" w:rsidRPr="00A12C5C" w:rsidRDefault="00B13FA4" w:rsidP="00C7087D">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 xml:space="preserve">Provided further that </w:t>
      </w:r>
      <w:r w:rsidRPr="00A12C5C">
        <w:rPr>
          <w:rFonts w:ascii="Arial Narrow" w:hAnsi="Arial Narrow" w:cs="Tahoma"/>
          <w:b/>
          <w:bCs/>
          <w:color w:val="B2A1C7" w:themeColor="accent4" w:themeTint="99"/>
          <w:sz w:val="24"/>
          <w:szCs w:val="24"/>
        </w:rPr>
        <w:t>if the company fails to spend such amount,</w:t>
      </w:r>
      <w:r w:rsidRPr="00A12C5C">
        <w:rPr>
          <w:rFonts w:ascii="Arial Narrow" w:hAnsi="Arial Narrow" w:cs="Tahoma"/>
          <w:color w:val="B2A1C7" w:themeColor="accent4" w:themeTint="99"/>
          <w:sz w:val="24"/>
          <w:szCs w:val="24"/>
        </w:rPr>
        <w:t xml:space="preserve"> the Board shall, in its report made under clause (o) of sub-section (3) of section 134, </w:t>
      </w:r>
      <w:r w:rsidRPr="00A12C5C">
        <w:rPr>
          <w:rFonts w:ascii="Arial Narrow" w:hAnsi="Arial Narrow" w:cs="Tahoma"/>
          <w:b/>
          <w:bCs/>
          <w:color w:val="B2A1C7" w:themeColor="accent4" w:themeTint="99"/>
          <w:sz w:val="24"/>
          <w:szCs w:val="24"/>
          <w:u w:val="single"/>
        </w:rPr>
        <w:t>specify the reasons for not spending the amount</w:t>
      </w:r>
    </w:p>
    <w:p w:rsidR="00B46A78" w:rsidRPr="00C23658" w:rsidRDefault="00B46A78" w:rsidP="00C7087D">
      <w:pPr>
        <w:jc w:val="both"/>
        <w:rPr>
          <w:rFonts w:ascii="Arial Narrow" w:hAnsi="Arial Narrow" w:cs="Tahoma"/>
          <w:sz w:val="24"/>
          <w:szCs w:val="24"/>
        </w:rPr>
      </w:pPr>
    </w:p>
    <w:p w:rsidR="00381606" w:rsidRPr="001575FB" w:rsidRDefault="00381606"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Important Provisions in</w:t>
      </w:r>
    </w:p>
    <w:p w:rsidR="00EF094D" w:rsidRPr="001575FB" w:rsidRDefault="00723651"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Companies (CSR Policy) Rules, 2014 (w.e.f 01.04.2014) (MCA Notification dated 27.02.2014)</w:t>
      </w:r>
      <w:r w:rsidR="000A4FC6" w:rsidRPr="001575FB">
        <w:rPr>
          <w:rFonts w:ascii="Arial Narrow" w:eastAsia="Times New Roman" w:hAnsi="Arial Narrow" w:cs="Tahoma"/>
          <w:b/>
          <w:color w:val="984806" w:themeColor="accent6" w:themeShade="80"/>
          <w:sz w:val="24"/>
          <w:szCs w:val="24"/>
        </w:rPr>
        <w:t>:</w:t>
      </w:r>
    </w:p>
    <w:p w:rsidR="00381606" w:rsidRDefault="00381606" w:rsidP="00381606">
      <w:pPr>
        <w:spacing w:after="0"/>
        <w:jc w:val="both"/>
        <w:rPr>
          <w:rFonts w:ascii="Arial Narrow" w:hAnsi="Arial Narrow" w:cs="Tahoma"/>
          <w:b/>
          <w:bCs/>
          <w:sz w:val="24"/>
          <w:szCs w:val="24"/>
          <w:lang w:val="en-IN"/>
        </w:rPr>
      </w:pPr>
    </w:p>
    <w:p w:rsidR="00EF094D" w:rsidRPr="001575FB" w:rsidRDefault="0070399C"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CSR Expenditure (Rule 7):</w:t>
      </w:r>
    </w:p>
    <w:p w:rsidR="007C1F52" w:rsidRPr="00C23658" w:rsidRDefault="007C1F52" w:rsidP="00381606">
      <w:pPr>
        <w:spacing w:after="0"/>
        <w:jc w:val="both"/>
        <w:rPr>
          <w:rFonts w:ascii="Arial Narrow" w:hAnsi="Arial Narrow" w:cs="Tahoma"/>
          <w:sz w:val="24"/>
          <w:szCs w:val="24"/>
        </w:rPr>
      </w:pPr>
    </w:p>
    <w:p w:rsidR="0070399C" w:rsidRPr="00A12C5C" w:rsidRDefault="0070399C" w:rsidP="007C1F52">
      <w:pPr>
        <w:numPr>
          <w:ilvl w:val="0"/>
          <w:numId w:val="18"/>
        </w:numPr>
        <w:jc w:val="both"/>
        <w:rPr>
          <w:rFonts w:ascii="Arial Narrow" w:hAnsi="Arial Narrow" w:cs="Tahoma"/>
          <w:color w:val="B2A1C7" w:themeColor="accent4" w:themeTint="99"/>
          <w:sz w:val="24"/>
          <w:szCs w:val="24"/>
        </w:rPr>
      </w:pPr>
      <w:r w:rsidRPr="00A12C5C">
        <w:rPr>
          <w:rFonts w:ascii="Arial Narrow" w:hAnsi="Arial Narrow" w:cs="Tahoma"/>
          <w:b/>
          <w:bCs/>
          <w:color w:val="B2A1C7" w:themeColor="accent4" w:themeTint="99"/>
          <w:sz w:val="24"/>
          <w:szCs w:val="24"/>
          <w:u w:val="single"/>
        </w:rPr>
        <w:t>Shall include</w:t>
      </w:r>
      <w:r w:rsidRPr="00A12C5C">
        <w:rPr>
          <w:rFonts w:ascii="Arial Narrow" w:hAnsi="Arial Narrow" w:cs="Tahoma"/>
          <w:b/>
          <w:bCs/>
          <w:color w:val="B2A1C7" w:themeColor="accent4" w:themeTint="99"/>
          <w:sz w:val="24"/>
          <w:szCs w:val="24"/>
        </w:rPr>
        <w:t xml:space="preserve"> all expenditure including contribution to corpus of the CSR projects, approved by the Board on the recommendation of the CSR Committee;</w:t>
      </w:r>
    </w:p>
    <w:p w:rsidR="0070399C" w:rsidRPr="00A12C5C" w:rsidRDefault="0070399C" w:rsidP="007C1F52">
      <w:pPr>
        <w:numPr>
          <w:ilvl w:val="0"/>
          <w:numId w:val="18"/>
        </w:numPr>
        <w:jc w:val="both"/>
        <w:rPr>
          <w:rFonts w:ascii="Arial Narrow" w:hAnsi="Arial Narrow" w:cs="Tahoma"/>
          <w:color w:val="B2A1C7" w:themeColor="accent4" w:themeTint="99"/>
          <w:sz w:val="24"/>
          <w:szCs w:val="24"/>
        </w:rPr>
      </w:pPr>
      <w:r w:rsidRPr="00A12C5C">
        <w:rPr>
          <w:rFonts w:ascii="Arial Narrow" w:hAnsi="Arial Narrow" w:cs="Tahoma"/>
          <w:b/>
          <w:bCs/>
          <w:color w:val="B2A1C7" w:themeColor="accent4" w:themeTint="99"/>
          <w:sz w:val="24"/>
          <w:szCs w:val="24"/>
          <w:u w:val="single"/>
        </w:rPr>
        <w:t>Shall not include</w:t>
      </w:r>
      <w:r w:rsidRPr="00A12C5C">
        <w:rPr>
          <w:rFonts w:ascii="Arial Narrow" w:hAnsi="Arial Narrow" w:cs="Tahoma"/>
          <w:b/>
          <w:bCs/>
          <w:color w:val="B2A1C7" w:themeColor="accent4" w:themeTint="99"/>
          <w:sz w:val="24"/>
          <w:szCs w:val="24"/>
        </w:rPr>
        <w:t xml:space="preserve"> any expenditure on an item not in conformity with activities listed in Sch.VII of the Act.</w:t>
      </w:r>
    </w:p>
    <w:p w:rsidR="0070399C" w:rsidRPr="00A12C5C" w:rsidRDefault="0070399C" w:rsidP="007C1F52">
      <w:pPr>
        <w:numPr>
          <w:ilvl w:val="0"/>
          <w:numId w:val="18"/>
        </w:num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w:t>
      </w:r>
      <w:r w:rsidRPr="00A12C5C">
        <w:rPr>
          <w:rFonts w:ascii="Arial Narrow" w:hAnsi="Arial Narrow" w:cs="Tahoma"/>
          <w:b/>
          <w:bCs/>
          <w:color w:val="B2A1C7" w:themeColor="accent4" w:themeTint="99"/>
          <w:sz w:val="24"/>
          <w:szCs w:val="24"/>
        </w:rPr>
        <w:t xml:space="preserve">Net Profit (Rule 2(f)) </w:t>
      </w:r>
      <w:r w:rsidRPr="00A12C5C">
        <w:rPr>
          <w:rFonts w:ascii="Arial Narrow" w:hAnsi="Arial Narrow" w:cs="Tahoma"/>
          <w:color w:val="B2A1C7" w:themeColor="accent4" w:themeTint="99"/>
          <w:sz w:val="24"/>
          <w:szCs w:val="24"/>
        </w:rPr>
        <w:t>means the net profit of a company as per its financial statement prepared in accordance with the applicable provisions of the Act, but shall not include the following:</w:t>
      </w:r>
    </w:p>
    <w:p w:rsidR="0070399C" w:rsidRPr="00A12C5C" w:rsidRDefault="0070399C" w:rsidP="007C1F52">
      <w:pPr>
        <w:numPr>
          <w:ilvl w:val="2"/>
          <w:numId w:val="18"/>
        </w:num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Any profit arising from any overseas branch or branches of the company, whether operated as a separate Company or otherwise; and</w:t>
      </w:r>
    </w:p>
    <w:p w:rsidR="0070399C" w:rsidRPr="00A12C5C" w:rsidRDefault="0070399C" w:rsidP="007C1F52">
      <w:pPr>
        <w:numPr>
          <w:ilvl w:val="2"/>
          <w:numId w:val="18"/>
        </w:num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lastRenderedPageBreak/>
        <w:t>Any dividend received from other Companies in India which are covered under and complying the provisions of CSR rules.}</w:t>
      </w:r>
      <w:r w:rsidRPr="00A12C5C">
        <w:rPr>
          <w:rFonts w:ascii="Arial Narrow" w:hAnsi="Arial Narrow" w:cs="Tahoma"/>
          <w:b/>
          <w:bCs/>
          <w:color w:val="B2A1C7" w:themeColor="accent4" w:themeTint="99"/>
          <w:sz w:val="24"/>
          <w:szCs w:val="24"/>
        </w:rPr>
        <w:t xml:space="preserve"> </w:t>
      </w:r>
    </w:p>
    <w:p w:rsidR="00E22670" w:rsidRPr="001575FB" w:rsidRDefault="00E22670"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CSR Exemption (Rule 3(1)):</w:t>
      </w:r>
    </w:p>
    <w:p w:rsidR="00B26729" w:rsidRPr="00A12C5C" w:rsidRDefault="00E22670" w:rsidP="000249CC">
      <w:pPr>
        <w:jc w:val="both"/>
        <w:rPr>
          <w:rFonts w:ascii="Arial Narrow" w:hAnsi="Arial Narrow" w:cs="Tahoma"/>
          <w:b/>
          <w:bCs/>
          <w:color w:val="B2A1C7" w:themeColor="accent4" w:themeTint="99"/>
          <w:sz w:val="24"/>
          <w:szCs w:val="24"/>
          <w:lang w:val="en-IN"/>
        </w:rPr>
      </w:pPr>
      <w:r w:rsidRPr="00A12C5C">
        <w:rPr>
          <w:rFonts w:ascii="Arial Narrow" w:hAnsi="Arial Narrow" w:cs="Tahoma"/>
          <w:b/>
          <w:bCs/>
          <w:color w:val="B2A1C7" w:themeColor="accent4" w:themeTint="99"/>
          <w:sz w:val="24"/>
          <w:szCs w:val="24"/>
        </w:rPr>
        <w:t>Non-Applicability:</w:t>
      </w:r>
      <w:r w:rsidRPr="00A12C5C">
        <w:rPr>
          <w:rFonts w:ascii="Arial Narrow" w:hAnsi="Arial Narrow" w:cs="Tahoma"/>
          <w:bCs/>
          <w:color w:val="B2A1C7" w:themeColor="accent4" w:themeTint="99"/>
          <w:sz w:val="24"/>
          <w:szCs w:val="24"/>
        </w:rPr>
        <w:t xml:space="preserve"> Every company which ceases to be a company covered u/s.135(1) for 3 consecutive FY shall not comply with Section 135 till such time it meets the criteria u/s.135(1). </w:t>
      </w:r>
    </w:p>
    <w:p w:rsidR="000249CC" w:rsidRPr="001575FB" w:rsidRDefault="000249CC"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CSR Policy (Rule 6):</w:t>
      </w:r>
    </w:p>
    <w:p w:rsidR="000249CC" w:rsidRPr="00A12C5C" w:rsidRDefault="000249CC" w:rsidP="000249CC">
      <w:pPr>
        <w:jc w:val="both"/>
        <w:rPr>
          <w:rFonts w:ascii="Arial Narrow" w:hAnsi="Arial Narrow" w:cs="Tahoma"/>
          <w:color w:val="B2A1C7" w:themeColor="accent4" w:themeTint="99"/>
          <w:sz w:val="24"/>
          <w:szCs w:val="24"/>
        </w:rPr>
      </w:pPr>
      <w:r w:rsidRPr="00A12C5C">
        <w:rPr>
          <w:rFonts w:ascii="Arial Narrow" w:hAnsi="Arial Narrow" w:cs="Tahoma"/>
          <w:b/>
          <w:bCs/>
          <w:color w:val="B2A1C7" w:themeColor="accent4" w:themeTint="99"/>
          <w:sz w:val="24"/>
          <w:szCs w:val="24"/>
        </w:rPr>
        <w:t>The CSR Policy shall include:</w:t>
      </w:r>
    </w:p>
    <w:p w:rsidR="000E2D49" w:rsidRPr="00A12C5C" w:rsidRDefault="000E2D49" w:rsidP="000249CC">
      <w:pPr>
        <w:numPr>
          <w:ilvl w:val="0"/>
          <w:numId w:val="19"/>
        </w:numPr>
        <w:jc w:val="both"/>
        <w:rPr>
          <w:rFonts w:ascii="Arial Narrow" w:hAnsi="Arial Narrow" w:cs="Tahoma"/>
          <w:color w:val="B2A1C7" w:themeColor="accent4" w:themeTint="99"/>
          <w:sz w:val="24"/>
          <w:szCs w:val="24"/>
        </w:rPr>
      </w:pPr>
      <w:r w:rsidRPr="00A12C5C">
        <w:rPr>
          <w:rFonts w:ascii="Arial Narrow" w:hAnsi="Arial Narrow" w:cs="Tahoma"/>
          <w:b/>
          <w:bCs/>
          <w:color w:val="B2A1C7" w:themeColor="accent4" w:themeTint="99"/>
          <w:sz w:val="24"/>
          <w:szCs w:val="24"/>
        </w:rPr>
        <w:t xml:space="preserve"> </w:t>
      </w:r>
      <w:r w:rsidRPr="00A12C5C">
        <w:rPr>
          <w:rFonts w:ascii="Arial Narrow" w:hAnsi="Arial Narrow" w:cs="Tahoma"/>
          <w:bCs/>
          <w:color w:val="B2A1C7" w:themeColor="accent4" w:themeTint="99"/>
          <w:sz w:val="24"/>
          <w:szCs w:val="24"/>
        </w:rPr>
        <w:t>A list of CSR Projects;</w:t>
      </w:r>
    </w:p>
    <w:p w:rsidR="000E2D49" w:rsidRPr="00A12C5C" w:rsidRDefault="000E2D49" w:rsidP="000249CC">
      <w:pPr>
        <w:numPr>
          <w:ilvl w:val="0"/>
          <w:numId w:val="19"/>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The projects shall relate to or falling under Sch.VII of the Act;</w:t>
      </w:r>
    </w:p>
    <w:p w:rsidR="000E2D49" w:rsidRPr="00A12C5C" w:rsidRDefault="000E2D49" w:rsidP="000249CC">
      <w:pPr>
        <w:numPr>
          <w:ilvl w:val="0"/>
          <w:numId w:val="19"/>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Monitoring Process of the Projects;</w:t>
      </w:r>
    </w:p>
    <w:p w:rsidR="000E2D49" w:rsidRPr="00A12C5C" w:rsidRDefault="000E2D49" w:rsidP="000249CC">
      <w:pPr>
        <w:numPr>
          <w:ilvl w:val="0"/>
          <w:numId w:val="19"/>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CSR Activities shall not be in the ordinary course of business;</w:t>
      </w:r>
    </w:p>
    <w:p w:rsidR="00B3659A" w:rsidRPr="00A12C5C" w:rsidRDefault="000E2D49" w:rsidP="00A12C5C">
      <w:pPr>
        <w:numPr>
          <w:ilvl w:val="0"/>
          <w:numId w:val="19"/>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The surplus arising out of CSR projects shall not form part of business profits of the company.</w:t>
      </w:r>
    </w:p>
    <w:p w:rsidR="00EF094D" w:rsidRPr="001575FB" w:rsidRDefault="00B868B6"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CSR Reporting (Rule 8 &amp; 9):</w:t>
      </w:r>
    </w:p>
    <w:p w:rsidR="00EF6983" w:rsidRPr="00A12C5C" w:rsidRDefault="00B868B6" w:rsidP="00B868B6">
      <w:pPr>
        <w:jc w:val="both"/>
        <w:rPr>
          <w:rFonts w:ascii="Arial Narrow" w:hAnsi="Arial Narrow" w:cs="Tahoma"/>
          <w:bCs/>
          <w:color w:val="B2A1C7" w:themeColor="accent4" w:themeTint="99"/>
          <w:sz w:val="24"/>
          <w:szCs w:val="24"/>
        </w:rPr>
      </w:pPr>
      <w:r w:rsidRPr="00A12C5C">
        <w:rPr>
          <w:rFonts w:ascii="Arial Narrow" w:hAnsi="Arial Narrow" w:cs="Tahoma"/>
          <w:bCs/>
          <w:color w:val="B2A1C7" w:themeColor="accent4" w:themeTint="99"/>
          <w:sz w:val="24"/>
          <w:szCs w:val="24"/>
        </w:rPr>
        <w:t xml:space="preserve">The Board’s Report w.e.f FY 2014 shall include an ANNUAL REPORT ON CSR containing particulars specified in Annexure. Display the Report in the </w:t>
      </w:r>
      <w:r w:rsidR="00B3659A" w:rsidRPr="00A12C5C">
        <w:rPr>
          <w:rFonts w:ascii="Arial Narrow" w:hAnsi="Arial Narrow" w:cs="Tahoma"/>
          <w:bCs/>
          <w:color w:val="B2A1C7" w:themeColor="accent4" w:themeTint="99"/>
          <w:sz w:val="24"/>
          <w:szCs w:val="24"/>
        </w:rPr>
        <w:t>company’s website.</w:t>
      </w:r>
    </w:p>
    <w:p w:rsidR="00204223" w:rsidRPr="001575FB" w:rsidRDefault="001868E1"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t xml:space="preserve">Guidelines for </w:t>
      </w:r>
      <w:r w:rsidR="00B868B6" w:rsidRPr="001575FB">
        <w:rPr>
          <w:rFonts w:ascii="Arial Narrow" w:eastAsia="Times New Roman" w:hAnsi="Arial Narrow" w:cs="Tahoma"/>
          <w:b/>
          <w:color w:val="984806" w:themeColor="accent6" w:themeShade="80"/>
          <w:sz w:val="24"/>
          <w:szCs w:val="24"/>
        </w:rPr>
        <w:t xml:space="preserve">CSR Activities </w:t>
      </w:r>
      <w:r w:rsidRPr="001575FB">
        <w:rPr>
          <w:rFonts w:ascii="Arial Narrow" w:eastAsia="Times New Roman" w:hAnsi="Arial Narrow" w:cs="Tahoma"/>
          <w:b/>
          <w:color w:val="984806" w:themeColor="accent6" w:themeShade="80"/>
          <w:sz w:val="24"/>
          <w:szCs w:val="24"/>
        </w:rPr>
        <w:t xml:space="preserve"> </w:t>
      </w:r>
      <w:r w:rsidR="00B868B6" w:rsidRPr="001575FB">
        <w:rPr>
          <w:rFonts w:ascii="Arial Narrow" w:eastAsia="Times New Roman" w:hAnsi="Arial Narrow" w:cs="Tahoma"/>
          <w:b/>
          <w:color w:val="984806" w:themeColor="accent6" w:themeShade="80"/>
          <w:sz w:val="24"/>
          <w:szCs w:val="24"/>
        </w:rPr>
        <w:t>(Rule 4)</w:t>
      </w:r>
      <w:r w:rsidR="00240C69" w:rsidRPr="001575FB">
        <w:rPr>
          <w:rFonts w:ascii="Arial Narrow" w:eastAsia="Times New Roman" w:hAnsi="Arial Narrow" w:cs="Tahoma"/>
          <w:b/>
          <w:color w:val="984806" w:themeColor="accent6" w:themeShade="80"/>
          <w:sz w:val="24"/>
          <w:szCs w:val="24"/>
        </w:rPr>
        <w:t>:</w:t>
      </w:r>
    </w:p>
    <w:p w:rsidR="000E2D49" w:rsidRPr="00A12C5C" w:rsidRDefault="000E2D49" w:rsidP="00B868B6">
      <w:pPr>
        <w:numPr>
          <w:ilvl w:val="0"/>
          <w:numId w:val="20"/>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Activities as per CSR Policy</w:t>
      </w:r>
    </w:p>
    <w:p w:rsidR="000E2D49" w:rsidRPr="00A12C5C" w:rsidRDefault="000E2D49" w:rsidP="00B868B6">
      <w:pPr>
        <w:numPr>
          <w:ilvl w:val="0"/>
          <w:numId w:val="20"/>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Either New / On-going</w:t>
      </w:r>
    </w:p>
    <w:p w:rsidR="000E2D49" w:rsidRPr="00A12C5C" w:rsidRDefault="000E2D49" w:rsidP="00B868B6">
      <w:pPr>
        <w:numPr>
          <w:ilvl w:val="0"/>
          <w:numId w:val="20"/>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Excluding activities in the normal course of business</w:t>
      </w:r>
    </w:p>
    <w:p w:rsidR="000E2D49" w:rsidRPr="00A12C5C" w:rsidRDefault="000E2D49" w:rsidP="00B868B6">
      <w:pPr>
        <w:numPr>
          <w:ilvl w:val="0"/>
          <w:numId w:val="20"/>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The Board may undertake the activities either through a reg. trust / reg. society / a company u/.8 (Else, have a 3 years track record of undertaking similar projects) </w:t>
      </w:r>
    </w:p>
    <w:p w:rsidR="000E2D49" w:rsidRPr="00A12C5C" w:rsidRDefault="000E2D49" w:rsidP="00B868B6">
      <w:pPr>
        <w:numPr>
          <w:ilvl w:val="0"/>
          <w:numId w:val="20"/>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The company may collaborate with other companies for carrying out CSR activities (But the CSR committees of respective companies shall be able to report the activities separately in their reports)</w:t>
      </w:r>
    </w:p>
    <w:p w:rsidR="000E2D49" w:rsidRPr="00A12C5C" w:rsidRDefault="000E2D49" w:rsidP="00F5206E">
      <w:pPr>
        <w:numPr>
          <w:ilvl w:val="0"/>
          <w:numId w:val="20"/>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CSR activities in India only shall qualify for CSR expenditure</w:t>
      </w:r>
    </w:p>
    <w:p w:rsidR="000E2D49" w:rsidRPr="00A12C5C" w:rsidRDefault="000E2D49" w:rsidP="00F5206E">
      <w:pPr>
        <w:numPr>
          <w:ilvl w:val="0"/>
          <w:numId w:val="20"/>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CSR activities that benefit only the employees of the company or their families shall not be considered as CSR activities for Sec 135.</w:t>
      </w:r>
    </w:p>
    <w:p w:rsidR="000E2D49" w:rsidRPr="00A12C5C" w:rsidRDefault="000E2D49" w:rsidP="00F5206E">
      <w:pPr>
        <w:numPr>
          <w:ilvl w:val="0"/>
          <w:numId w:val="20"/>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Can be done through Implementing Agencies also. But that agency shall have a 3 year CSR activity done, track record. The exp. Incurred for engaging the agency shall not exceed 5% of total CSR expenditure of the company in one FY. </w:t>
      </w:r>
    </w:p>
    <w:p w:rsidR="000E2D49" w:rsidRPr="00A12C5C" w:rsidRDefault="000E2D49" w:rsidP="00F5206E">
      <w:pPr>
        <w:numPr>
          <w:ilvl w:val="0"/>
          <w:numId w:val="20"/>
        </w:numPr>
        <w:jc w:val="both"/>
        <w:rPr>
          <w:rFonts w:ascii="Arial Narrow" w:hAnsi="Arial Narrow" w:cs="Tahoma"/>
          <w:color w:val="B2A1C7" w:themeColor="accent4" w:themeTint="99"/>
          <w:sz w:val="24"/>
          <w:szCs w:val="24"/>
        </w:rPr>
      </w:pPr>
      <w:r w:rsidRPr="00A12C5C">
        <w:rPr>
          <w:rFonts w:ascii="Arial Narrow" w:hAnsi="Arial Narrow" w:cs="Tahoma"/>
          <w:bCs/>
          <w:color w:val="B2A1C7" w:themeColor="accent4" w:themeTint="99"/>
          <w:sz w:val="24"/>
          <w:szCs w:val="24"/>
        </w:rPr>
        <w:t xml:space="preserve"> Contribution to Political Party  (either directly or indirectly) shall not be considered as CSR Activity. </w:t>
      </w:r>
    </w:p>
    <w:p w:rsidR="001868E1" w:rsidRPr="001575FB" w:rsidRDefault="001868E1" w:rsidP="001575FB">
      <w:pPr>
        <w:pStyle w:val="NoSpacing"/>
        <w:pBdr>
          <w:top w:val="single" w:sz="4" w:space="1" w:color="auto"/>
          <w:left w:val="single" w:sz="4" w:space="4" w:color="auto"/>
          <w:bottom w:val="single" w:sz="4" w:space="1" w:color="auto"/>
          <w:right w:val="single" w:sz="4" w:space="4" w:color="auto"/>
        </w:pBdr>
        <w:jc w:val="both"/>
        <w:rPr>
          <w:rFonts w:ascii="Arial Narrow" w:eastAsia="Times New Roman" w:hAnsi="Arial Narrow" w:cs="Tahoma"/>
          <w:b/>
          <w:color w:val="984806" w:themeColor="accent6" w:themeShade="80"/>
          <w:sz w:val="24"/>
          <w:szCs w:val="24"/>
        </w:rPr>
      </w:pPr>
      <w:r w:rsidRPr="001575FB">
        <w:rPr>
          <w:rFonts w:ascii="Arial Narrow" w:eastAsia="Times New Roman" w:hAnsi="Arial Narrow" w:cs="Tahoma"/>
          <w:b/>
          <w:color w:val="984806" w:themeColor="accent6" w:themeShade="80"/>
          <w:sz w:val="24"/>
          <w:szCs w:val="24"/>
        </w:rPr>
        <w:lastRenderedPageBreak/>
        <w:t xml:space="preserve">List of CSR Activities (Permitted under </w:t>
      </w:r>
      <w:r w:rsidR="00F54FC6" w:rsidRPr="001575FB">
        <w:rPr>
          <w:rFonts w:ascii="Arial Narrow" w:eastAsia="Times New Roman" w:hAnsi="Arial Narrow" w:cs="Tahoma"/>
          <w:b/>
          <w:color w:val="984806" w:themeColor="accent6" w:themeShade="80"/>
          <w:sz w:val="24"/>
          <w:szCs w:val="24"/>
        </w:rPr>
        <w:t>Schedule</w:t>
      </w:r>
      <w:r w:rsidRPr="001575FB">
        <w:rPr>
          <w:rFonts w:ascii="Arial Narrow" w:eastAsia="Times New Roman" w:hAnsi="Arial Narrow" w:cs="Tahoma"/>
          <w:b/>
          <w:color w:val="984806" w:themeColor="accent6" w:themeShade="80"/>
          <w:sz w:val="24"/>
          <w:szCs w:val="24"/>
        </w:rPr>
        <w:t xml:space="preserve"> VII of Companies Act 2013:</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 xml:space="preserve">a) Eradicating hunger, poverty and malnutrition, promoting preventive health care </w:t>
      </w:r>
      <w:r w:rsidRPr="00A12C5C">
        <w:rPr>
          <w:rFonts w:ascii="Arial Narrow" w:hAnsi="Arial Narrow" w:cs="Tahoma"/>
          <w:i/>
          <w:iCs/>
          <w:color w:val="B2A1C7" w:themeColor="accent4" w:themeTint="99"/>
          <w:sz w:val="24"/>
          <w:szCs w:val="24"/>
        </w:rPr>
        <w:t>(*amended</w:t>
      </w:r>
      <w:r w:rsidR="003119FB" w:rsidRPr="00A12C5C">
        <w:rPr>
          <w:rFonts w:ascii="Arial Narrow" w:hAnsi="Arial Narrow" w:cs="Tahoma"/>
          <w:i/>
          <w:iCs/>
          <w:color w:val="B2A1C7" w:themeColor="accent4" w:themeTint="99"/>
          <w:sz w:val="24"/>
          <w:szCs w:val="24"/>
        </w:rPr>
        <w:t xml:space="preserve"> vide MCA Notification dated 31.03.2014 -</w:t>
      </w:r>
      <w:r w:rsidRPr="00A12C5C">
        <w:rPr>
          <w:rFonts w:ascii="Arial Narrow" w:hAnsi="Arial Narrow" w:cs="Tahoma"/>
          <w:i/>
          <w:iCs/>
          <w:color w:val="B2A1C7" w:themeColor="accent4" w:themeTint="99"/>
          <w:sz w:val="24"/>
          <w:szCs w:val="24"/>
        </w:rPr>
        <w:t xml:space="preserve"> promoting health care including preventive health care) </w:t>
      </w:r>
      <w:r w:rsidRPr="00A12C5C">
        <w:rPr>
          <w:rFonts w:ascii="Arial Narrow" w:hAnsi="Arial Narrow" w:cs="Tahoma"/>
          <w:color w:val="B2A1C7" w:themeColor="accent4" w:themeTint="99"/>
          <w:sz w:val="24"/>
          <w:szCs w:val="24"/>
        </w:rPr>
        <w:t>and sanitation and making available safe drinking water;</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b) Promoting education, including special education and employment enhancing vacation skills especially among children, women, elderly, and the differently-abled and livelihood enhancement projects;</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c) Promoting gender equality, empowering women, setting up homes and hostels for women and orphans; setting up old age homes, day care centers and such other facilities for senior citizens and measures for reducing inequalities faced by socially and economically backward</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Groups;</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d) Ensuring environmental sustainability, ecological balance, protection of flora and fauna, animal welfare, agroforestry, conservation of natural resources and maintaining quality of soil, air and water;</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e) Protection of national heritage, art and culture including restoration of buildings and sites of historical importance and works of art; setting up public libraries; promotion and development of traditional arts and handicrafts;</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f) Measures for the benefit of armed forces veterans, war widows and their dependents;</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g) Training to promote rural sports, nationally recognized sports, paralympic sports and Olympic sports;</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h) Contribution to the Prime Minister’s National Relief Fund or any other fund set up by the Central Government for socio-economic development and relief and welfare of the Scheduled Castes, the Scheduled Tribes, other backward classes, minorities and women;</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i) Contributions or funds to technology incubators located within academic institutions which are approved by the Central Government;</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 xml:space="preserve">j) Rural development projects. </w:t>
      </w:r>
    </w:p>
    <w:p w:rsidR="00F54FC6" w:rsidRPr="00A12C5C" w:rsidRDefault="00F54FC6" w:rsidP="00F54FC6">
      <w:pPr>
        <w:jc w:val="both"/>
        <w:rPr>
          <w:rFonts w:ascii="Arial Narrow" w:hAnsi="Arial Narrow" w:cs="Tahoma"/>
          <w:color w:val="B2A1C7" w:themeColor="accent4" w:themeTint="99"/>
          <w:sz w:val="24"/>
          <w:szCs w:val="24"/>
        </w:rPr>
      </w:pPr>
      <w:r w:rsidRPr="00A12C5C">
        <w:rPr>
          <w:rFonts w:ascii="Arial Narrow" w:hAnsi="Arial Narrow" w:cs="Tahoma"/>
          <w:color w:val="B2A1C7" w:themeColor="accent4" w:themeTint="99"/>
          <w:sz w:val="24"/>
          <w:szCs w:val="24"/>
        </w:rPr>
        <w:t>(k) *slum area development (inserted by MCA Notification dated 6/8/2014)</w:t>
      </w:r>
      <w:r w:rsidRPr="00A12C5C">
        <w:rPr>
          <w:rFonts w:ascii="Arial Narrow" w:hAnsi="Arial Narrow" w:cs="Tahoma"/>
          <w:b/>
          <w:bCs/>
          <w:color w:val="B2A1C7" w:themeColor="accent4" w:themeTint="99"/>
          <w:sz w:val="24"/>
          <w:szCs w:val="24"/>
        </w:rPr>
        <w:t xml:space="preserve"> </w:t>
      </w:r>
    </w:p>
    <w:p w:rsidR="00174B11" w:rsidRPr="00A12C5C" w:rsidRDefault="00174B11" w:rsidP="00174B11">
      <w:pPr>
        <w:rPr>
          <w:rFonts w:ascii="Arial Narrow" w:hAnsi="Arial Narrow" w:cs="Tahoma"/>
          <w:i/>
          <w:color w:val="B2A1C7" w:themeColor="accent4" w:themeTint="99"/>
          <w:sz w:val="20"/>
          <w:szCs w:val="24"/>
        </w:rPr>
      </w:pPr>
      <w:r w:rsidRPr="00A12C5C">
        <w:rPr>
          <w:rFonts w:ascii="Arial Narrow" w:hAnsi="Arial Narrow" w:cs="Tahoma"/>
          <w:i/>
          <w:color w:val="B2A1C7" w:themeColor="accent4" w:themeTint="99"/>
          <w:sz w:val="20"/>
          <w:szCs w:val="24"/>
        </w:rPr>
        <w:t>Students are advised to also refer MCA Circular 21/2014 dated 18</w:t>
      </w:r>
      <w:r w:rsidRPr="00A12C5C">
        <w:rPr>
          <w:rFonts w:ascii="Arial Narrow" w:hAnsi="Arial Narrow" w:cs="Tahoma"/>
          <w:i/>
          <w:color w:val="B2A1C7" w:themeColor="accent4" w:themeTint="99"/>
          <w:sz w:val="20"/>
          <w:szCs w:val="24"/>
          <w:vertAlign w:val="superscript"/>
        </w:rPr>
        <w:t>th</w:t>
      </w:r>
      <w:r w:rsidRPr="00A12C5C">
        <w:rPr>
          <w:rFonts w:ascii="Arial Narrow" w:hAnsi="Arial Narrow" w:cs="Tahoma"/>
          <w:i/>
          <w:color w:val="B2A1C7" w:themeColor="accent4" w:themeTint="99"/>
          <w:sz w:val="20"/>
          <w:szCs w:val="24"/>
        </w:rPr>
        <w:t xml:space="preserve"> June 2014 – for more practical clarifications of CSR activities schedule.</w:t>
      </w:r>
    </w:p>
    <w:p w:rsidR="002F5B6F" w:rsidRPr="00C23658" w:rsidRDefault="001575FB" w:rsidP="001575FB">
      <w:pPr>
        <w:pBdr>
          <w:top w:val="single" w:sz="4" w:space="1" w:color="auto"/>
          <w:left w:val="single" w:sz="4" w:space="3" w:color="auto"/>
          <w:bottom w:val="single" w:sz="4" w:space="1" w:color="auto"/>
          <w:right w:val="single" w:sz="4" w:space="4" w:color="auto"/>
        </w:pBdr>
        <w:spacing w:after="0"/>
        <w:jc w:val="center"/>
        <w:rPr>
          <w:rFonts w:ascii="Arial Narrow" w:hAnsi="Arial Narrow" w:cs="Tahoma"/>
          <w:b/>
          <w:sz w:val="24"/>
          <w:szCs w:val="24"/>
        </w:rPr>
      </w:pPr>
      <w:r>
        <w:rPr>
          <w:rFonts w:ascii="Arial Narrow" w:hAnsi="Arial Narrow" w:cs="Tahoma"/>
          <w:b/>
          <w:sz w:val="24"/>
          <w:szCs w:val="24"/>
        </w:rPr>
        <w:t>************************************************************************************************************************</w:t>
      </w:r>
    </w:p>
    <w:p w:rsidR="002F5B6F" w:rsidRPr="00C23658" w:rsidRDefault="002F5B6F" w:rsidP="00D04A0C">
      <w:pPr>
        <w:jc w:val="center"/>
        <w:rPr>
          <w:rFonts w:ascii="Arial Narrow" w:hAnsi="Arial Narrow" w:cs="Tahoma"/>
          <w:sz w:val="24"/>
          <w:szCs w:val="24"/>
        </w:rPr>
      </w:pPr>
    </w:p>
    <w:sectPr w:rsidR="002F5B6F" w:rsidRPr="00C23658" w:rsidSect="00A12C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716" w:rsidRDefault="00061716" w:rsidP="00162A00">
      <w:pPr>
        <w:spacing w:after="0" w:line="240" w:lineRule="auto"/>
      </w:pPr>
      <w:r>
        <w:separator/>
      </w:r>
    </w:p>
  </w:endnote>
  <w:endnote w:type="continuationSeparator" w:id="1">
    <w:p w:rsidR="00061716" w:rsidRDefault="00061716" w:rsidP="00162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FB" w:rsidRDefault="001575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FB" w:rsidRDefault="001575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FB" w:rsidRDefault="00157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716" w:rsidRDefault="00061716" w:rsidP="00162A00">
      <w:pPr>
        <w:spacing w:after="0" w:line="240" w:lineRule="auto"/>
      </w:pPr>
      <w:r>
        <w:separator/>
      </w:r>
    </w:p>
  </w:footnote>
  <w:footnote w:type="continuationSeparator" w:id="1">
    <w:p w:rsidR="00061716" w:rsidRDefault="00061716" w:rsidP="00162A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FB" w:rsidRDefault="001575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2922" o:spid="_x0000_s512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Rajesh Kumar Choti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A01" w:rsidRDefault="001575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2923" o:spid="_x0000_s5125"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Rajesh Kumar Chotia"/>
        </v:shape>
      </w:pict>
    </w:r>
    <w:r w:rsidR="00086A01">
      <w:rPr>
        <w:noProof/>
        <w:lang w:eastAsia="zh-TW"/>
      </w:rPr>
      <w:pict>
        <v:shapetype id="_x0000_t202" coordsize="21600,21600" o:spt="202" path="m,l,21600r21600,l21600,xe">
          <v:stroke joinstyle="miter"/>
          <v:path gradientshapeok="t" o:connecttype="rect"/>
        </v:shapetype>
        <v:shape id="_x0000_s5122" type="#_x0000_t202" style="position:absolute;margin-left:1in;margin-top:29.25pt;width:468pt;height:13.45pt;z-index:251658240;mso-width-percent:1000;mso-position-horizontal-relative:page;mso-position-vertical-relative:page;mso-width-percent:1000;mso-width-relative:margin;v-text-anchor:middle" o:allowincell="f" filled="f" stroked="f">
          <v:textbox style="mso-fit-shape-to-text:t" inset=",0,,0">
            <w:txbxContent>
              <w:p w:rsidR="00F84369" w:rsidRDefault="00F84369" w:rsidP="00F84369">
                <w:pPr>
                  <w:spacing w:after="0" w:line="240" w:lineRule="auto"/>
                  <w:jc w:val="right"/>
                </w:pPr>
                <w:r>
                  <w:t>Rajesh Kumar Chotia</w:t>
                </w:r>
              </w:p>
            </w:txbxContent>
          </v:textbox>
          <w10:wrap anchorx="margin" anchory="margin"/>
        </v:shape>
      </w:pict>
    </w:r>
    <w:r w:rsidR="00086A01">
      <w:rPr>
        <w:noProof/>
        <w:lang w:eastAsia="zh-TW"/>
      </w:rPr>
      <w:pict>
        <v:shape id="_x0000_s5121" type="#_x0000_t202" style="position:absolute;margin-left:540pt;margin-top:29.25pt;width:1in;height:13.45pt;z-index:251657216;mso-width-percent:1000;mso-position-horizontal-relative:page;mso-position-vertical-relative:page;mso-width-percent:1000;mso-width-relative:right-margin-area;v-text-anchor:middle" o:allowincell="f" fillcolor="#4f81bd" stroked="f">
          <v:textbox style="mso-fit-shape-to-text:t" inset=",0,,0">
            <w:txbxContent>
              <w:p w:rsidR="00086A01" w:rsidRPr="00086A01" w:rsidRDefault="00086A01">
                <w:pPr>
                  <w:spacing w:after="0" w:line="240" w:lineRule="auto"/>
                  <w:rPr>
                    <w:color w:val="FFFFFF"/>
                  </w:rPr>
                </w:pPr>
                <w:fldSimple w:instr=" PAGE   \* MERGEFORMAT ">
                  <w:r w:rsidR="00A12C5C" w:rsidRPr="00A12C5C">
                    <w:rPr>
                      <w:noProof/>
                      <w:color w:val="FFFFFF"/>
                    </w:rPr>
                    <w:t>6</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FB" w:rsidRDefault="001575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2921" o:spid="_x0000_s512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Rajesh Kumar Choti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46C"/>
    <w:multiLevelType w:val="hybridMultilevel"/>
    <w:tmpl w:val="F06AC3EC"/>
    <w:lvl w:ilvl="0" w:tplc="1C3A41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E7572F"/>
    <w:multiLevelType w:val="hybridMultilevel"/>
    <w:tmpl w:val="DD2215D6"/>
    <w:lvl w:ilvl="0" w:tplc="F3ACD8A8">
      <w:start w:val="1"/>
      <w:numFmt w:val="bullet"/>
      <w:lvlText w:val="•"/>
      <w:lvlJc w:val="left"/>
      <w:pPr>
        <w:tabs>
          <w:tab w:val="num" w:pos="720"/>
        </w:tabs>
        <w:ind w:left="720" w:hanging="360"/>
      </w:pPr>
      <w:rPr>
        <w:rFonts w:ascii="Arial" w:hAnsi="Arial" w:hint="default"/>
      </w:rPr>
    </w:lvl>
    <w:lvl w:ilvl="1" w:tplc="508091DE" w:tentative="1">
      <w:start w:val="1"/>
      <w:numFmt w:val="bullet"/>
      <w:lvlText w:val="•"/>
      <w:lvlJc w:val="left"/>
      <w:pPr>
        <w:tabs>
          <w:tab w:val="num" w:pos="1440"/>
        </w:tabs>
        <w:ind w:left="1440" w:hanging="360"/>
      </w:pPr>
      <w:rPr>
        <w:rFonts w:ascii="Arial" w:hAnsi="Arial" w:hint="default"/>
      </w:rPr>
    </w:lvl>
    <w:lvl w:ilvl="2" w:tplc="8D8E1624" w:tentative="1">
      <w:start w:val="1"/>
      <w:numFmt w:val="bullet"/>
      <w:lvlText w:val="•"/>
      <w:lvlJc w:val="left"/>
      <w:pPr>
        <w:tabs>
          <w:tab w:val="num" w:pos="2160"/>
        </w:tabs>
        <w:ind w:left="2160" w:hanging="360"/>
      </w:pPr>
      <w:rPr>
        <w:rFonts w:ascii="Arial" w:hAnsi="Arial" w:hint="default"/>
      </w:rPr>
    </w:lvl>
    <w:lvl w:ilvl="3" w:tplc="A458658A" w:tentative="1">
      <w:start w:val="1"/>
      <w:numFmt w:val="bullet"/>
      <w:lvlText w:val="•"/>
      <w:lvlJc w:val="left"/>
      <w:pPr>
        <w:tabs>
          <w:tab w:val="num" w:pos="2880"/>
        </w:tabs>
        <w:ind w:left="2880" w:hanging="360"/>
      </w:pPr>
      <w:rPr>
        <w:rFonts w:ascii="Arial" w:hAnsi="Arial" w:hint="default"/>
      </w:rPr>
    </w:lvl>
    <w:lvl w:ilvl="4" w:tplc="C504E686" w:tentative="1">
      <w:start w:val="1"/>
      <w:numFmt w:val="bullet"/>
      <w:lvlText w:val="•"/>
      <w:lvlJc w:val="left"/>
      <w:pPr>
        <w:tabs>
          <w:tab w:val="num" w:pos="3600"/>
        </w:tabs>
        <w:ind w:left="3600" w:hanging="360"/>
      </w:pPr>
      <w:rPr>
        <w:rFonts w:ascii="Arial" w:hAnsi="Arial" w:hint="default"/>
      </w:rPr>
    </w:lvl>
    <w:lvl w:ilvl="5" w:tplc="285217B0" w:tentative="1">
      <w:start w:val="1"/>
      <w:numFmt w:val="bullet"/>
      <w:lvlText w:val="•"/>
      <w:lvlJc w:val="left"/>
      <w:pPr>
        <w:tabs>
          <w:tab w:val="num" w:pos="4320"/>
        </w:tabs>
        <w:ind w:left="4320" w:hanging="360"/>
      </w:pPr>
      <w:rPr>
        <w:rFonts w:ascii="Arial" w:hAnsi="Arial" w:hint="default"/>
      </w:rPr>
    </w:lvl>
    <w:lvl w:ilvl="6" w:tplc="06124A96" w:tentative="1">
      <w:start w:val="1"/>
      <w:numFmt w:val="bullet"/>
      <w:lvlText w:val="•"/>
      <w:lvlJc w:val="left"/>
      <w:pPr>
        <w:tabs>
          <w:tab w:val="num" w:pos="5040"/>
        </w:tabs>
        <w:ind w:left="5040" w:hanging="360"/>
      </w:pPr>
      <w:rPr>
        <w:rFonts w:ascii="Arial" w:hAnsi="Arial" w:hint="default"/>
      </w:rPr>
    </w:lvl>
    <w:lvl w:ilvl="7" w:tplc="EDDE139C" w:tentative="1">
      <w:start w:val="1"/>
      <w:numFmt w:val="bullet"/>
      <w:lvlText w:val="•"/>
      <w:lvlJc w:val="left"/>
      <w:pPr>
        <w:tabs>
          <w:tab w:val="num" w:pos="5760"/>
        </w:tabs>
        <w:ind w:left="5760" w:hanging="360"/>
      </w:pPr>
      <w:rPr>
        <w:rFonts w:ascii="Arial" w:hAnsi="Arial" w:hint="default"/>
      </w:rPr>
    </w:lvl>
    <w:lvl w:ilvl="8" w:tplc="C2ACC710" w:tentative="1">
      <w:start w:val="1"/>
      <w:numFmt w:val="bullet"/>
      <w:lvlText w:val="•"/>
      <w:lvlJc w:val="left"/>
      <w:pPr>
        <w:tabs>
          <w:tab w:val="num" w:pos="6480"/>
        </w:tabs>
        <w:ind w:left="6480" w:hanging="360"/>
      </w:pPr>
      <w:rPr>
        <w:rFonts w:ascii="Arial" w:hAnsi="Arial" w:hint="default"/>
      </w:rPr>
    </w:lvl>
  </w:abstractNum>
  <w:abstractNum w:abstractNumId="2">
    <w:nsid w:val="087C3695"/>
    <w:multiLevelType w:val="hybridMultilevel"/>
    <w:tmpl w:val="FDAC698A"/>
    <w:lvl w:ilvl="0" w:tplc="498CD7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0155EB"/>
    <w:multiLevelType w:val="hybridMultilevel"/>
    <w:tmpl w:val="CC5A2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A5E28"/>
    <w:multiLevelType w:val="hybridMultilevel"/>
    <w:tmpl w:val="918C5382"/>
    <w:lvl w:ilvl="0" w:tplc="0409000F">
      <w:start w:val="1"/>
      <w:numFmt w:val="decimal"/>
      <w:lvlText w:val="%1."/>
      <w:lvlJc w:val="left"/>
      <w:pPr>
        <w:ind w:left="835" w:hanging="360"/>
      </w:pPr>
    </w:lvl>
    <w:lvl w:ilvl="1" w:tplc="04090019">
      <w:start w:val="1"/>
      <w:numFmt w:val="lowerLetter"/>
      <w:lvlText w:val="%2."/>
      <w:lvlJc w:val="left"/>
      <w:pPr>
        <w:ind w:left="1555" w:hanging="360"/>
      </w:pPr>
    </w:lvl>
    <w:lvl w:ilvl="2" w:tplc="FA0C2362">
      <w:start w:val="1"/>
      <w:numFmt w:val="lowerLetter"/>
      <w:lvlText w:val="%3)"/>
      <w:lvlJc w:val="left"/>
      <w:pPr>
        <w:ind w:left="2455" w:hanging="360"/>
      </w:pPr>
      <w:rPr>
        <w:rFonts w:hint="default"/>
      </w:r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5">
    <w:nsid w:val="179449F1"/>
    <w:multiLevelType w:val="hybridMultilevel"/>
    <w:tmpl w:val="C79EAF58"/>
    <w:lvl w:ilvl="0" w:tplc="3C84287A">
      <w:start w:val="1"/>
      <w:numFmt w:val="bullet"/>
      <w:lvlText w:val="•"/>
      <w:lvlJc w:val="left"/>
      <w:pPr>
        <w:tabs>
          <w:tab w:val="num" w:pos="720"/>
        </w:tabs>
        <w:ind w:left="720" w:hanging="360"/>
      </w:pPr>
      <w:rPr>
        <w:rFonts w:ascii="Arial" w:hAnsi="Arial" w:hint="default"/>
      </w:rPr>
    </w:lvl>
    <w:lvl w:ilvl="1" w:tplc="47561FA8" w:tentative="1">
      <w:start w:val="1"/>
      <w:numFmt w:val="bullet"/>
      <w:lvlText w:val="•"/>
      <w:lvlJc w:val="left"/>
      <w:pPr>
        <w:tabs>
          <w:tab w:val="num" w:pos="1440"/>
        </w:tabs>
        <w:ind w:left="1440" w:hanging="360"/>
      </w:pPr>
      <w:rPr>
        <w:rFonts w:ascii="Arial" w:hAnsi="Arial" w:hint="default"/>
      </w:rPr>
    </w:lvl>
    <w:lvl w:ilvl="2" w:tplc="D4CE9056" w:tentative="1">
      <w:start w:val="1"/>
      <w:numFmt w:val="bullet"/>
      <w:lvlText w:val="•"/>
      <w:lvlJc w:val="left"/>
      <w:pPr>
        <w:tabs>
          <w:tab w:val="num" w:pos="2160"/>
        </w:tabs>
        <w:ind w:left="2160" w:hanging="360"/>
      </w:pPr>
      <w:rPr>
        <w:rFonts w:ascii="Arial" w:hAnsi="Arial" w:hint="default"/>
      </w:rPr>
    </w:lvl>
    <w:lvl w:ilvl="3" w:tplc="C5D8A3CE" w:tentative="1">
      <w:start w:val="1"/>
      <w:numFmt w:val="bullet"/>
      <w:lvlText w:val="•"/>
      <w:lvlJc w:val="left"/>
      <w:pPr>
        <w:tabs>
          <w:tab w:val="num" w:pos="2880"/>
        </w:tabs>
        <w:ind w:left="2880" w:hanging="360"/>
      </w:pPr>
      <w:rPr>
        <w:rFonts w:ascii="Arial" w:hAnsi="Arial" w:hint="default"/>
      </w:rPr>
    </w:lvl>
    <w:lvl w:ilvl="4" w:tplc="A15CE0EE" w:tentative="1">
      <w:start w:val="1"/>
      <w:numFmt w:val="bullet"/>
      <w:lvlText w:val="•"/>
      <w:lvlJc w:val="left"/>
      <w:pPr>
        <w:tabs>
          <w:tab w:val="num" w:pos="3600"/>
        </w:tabs>
        <w:ind w:left="3600" w:hanging="360"/>
      </w:pPr>
      <w:rPr>
        <w:rFonts w:ascii="Arial" w:hAnsi="Arial" w:hint="default"/>
      </w:rPr>
    </w:lvl>
    <w:lvl w:ilvl="5" w:tplc="9C561666" w:tentative="1">
      <w:start w:val="1"/>
      <w:numFmt w:val="bullet"/>
      <w:lvlText w:val="•"/>
      <w:lvlJc w:val="left"/>
      <w:pPr>
        <w:tabs>
          <w:tab w:val="num" w:pos="4320"/>
        </w:tabs>
        <w:ind w:left="4320" w:hanging="360"/>
      </w:pPr>
      <w:rPr>
        <w:rFonts w:ascii="Arial" w:hAnsi="Arial" w:hint="default"/>
      </w:rPr>
    </w:lvl>
    <w:lvl w:ilvl="6" w:tplc="8884985E" w:tentative="1">
      <w:start w:val="1"/>
      <w:numFmt w:val="bullet"/>
      <w:lvlText w:val="•"/>
      <w:lvlJc w:val="left"/>
      <w:pPr>
        <w:tabs>
          <w:tab w:val="num" w:pos="5040"/>
        </w:tabs>
        <w:ind w:left="5040" w:hanging="360"/>
      </w:pPr>
      <w:rPr>
        <w:rFonts w:ascii="Arial" w:hAnsi="Arial" w:hint="default"/>
      </w:rPr>
    </w:lvl>
    <w:lvl w:ilvl="7" w:tplc="D1A2ED4C" w:tentative="1">
      <w:start w:val="1"/>
      <w:numFmt w:val="bullet"/>
      <w:lvlText w:val="•"/>
      <w:lvlJc w:val="left"/>
      <w:pPr>
        <w:tabs>
          <w:tab w:val="num" w:pos="5760"/>
        </w:tabs>
        <w:ind w:left="5760" w:hanging="360"/>
      </w:pPr>
      <w:rPr>
        <w:rFonts w:ascii="Arial" w:hAnsi="Arial" w:hint="default"/>
      </w:rPr>
    </w:lvl>
    <w:lvl w:ilvl="8" w:tplc="2996BC5C" w:tentative="1">
      <w:start w:val="1"/>
      <w:numFmt w:val="bullet"/>
      <w:lvlText w:val="•"/>
      <w:lvlJc w:val="left"/>
      <w:pPr>
        <w:tabs>
          <w:tab w:val="num" w:pos="6480"/>
        </w:tabs>
        <w:ind w:left="6480" w:hanging="360"/>
      </w:pPr>
      <w:rPr>
        <w:rFonts w:ascii="Arial" w:hAnsi="Arial" w:hint="default"/>
      </w:rPr>
    </w:lvl>
  </w:abstractNum>
  <w:abstractNum w:abstractNumId="6">
    <w:nsid w:val="184F332A"/>
    <w:multiLevelType w:val="hybridMultilevel"/>
    <w:tmpl w:val="E65E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60DBD"/>
    <w:multiLevelType w:val="hybridMultilevel"/>
    <w:tmpl w:val="2CC86B8C"/>
    <w:lvl w:ilvl="0" w:tplc="0242F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65953"/>
    <w:multiLevelType w:val="hybridMultilevel"/>
    <w:tmpl w:val="819CB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808CF"/>
    <w:multiLevelType w:val="hybridMultilevel"/>
    <w:tmpl w:val="6158F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A6936"/>
    <w:multiLevelType w:val="hybridMultilevel"/>
    <w:tmpl w:val="36723C90"/>
    <w:lvl w:ilvl="0" w:tplc="C6DEBAA6">
      <w:start w:val="1"/>
      <w:numFmt w:val="bullet"/>
      <w:lvlText w:val="•"/>
      <w:lvlJc w:val="left"/>
      <w:pPr>
        <w:tabs>
          <w:tab w:val="num" w:pos="720"/>
        </w:tabs>
        <w:ind w:left="720" w:hanging="360"/>
      </w:pPr>
      <w:rPr>
        <w:rFonts w:ascii="Arial" w:hAnsi="Arial" w:hint="default"/>
      </w:rPr>
    </w:lvl>
    <w:lvl w:ilvl="1" w:tplc="0070308C" w:tentative="1">
      <w:start w:val="1"/>
      <w:numFmt w:val="bullet"/>
      <w:lvlText w:val="•"/>
      <w:lvlJc w:val="left"/>
      <w:pPr>
        <w:tabs>
          <w:tab w:val="num" w:pos="1440"/>
        </w:tabs>
        <w:ind w:left="1440" w:hanging="360"/>
      </w:pPr>
      <w:rPr>
        <w:rFonts w:ascii="Arial" w:hAnsi="Arial" w:hint="default"/>
      </w:rPr>
    </w:lvl>
    <w:lvl w:ilvl="2" w:tplc="D8D4B59E" w:tentative="1">
      <w:start w:val="1"/>
      <w:numFmt w:val="bullet"/>
      <w:lvlText w:val="•"/>
      <w:lvlJc w:val="left"/>
      <w:pPr>
        <w:tabs>
          <w:tab w:val="num" w:pos="2160"/>
        </w:tabs>
        <w:ind w:left="2160" w:hanging="360"/>
      </w:pPr>
      <w:rPr>
        <w:rFonts w:ascii="Arial" w:hAnsi="Arial" w:hint="default"/>
      </w:rPr>
    </w:lvl>
    <w:lvl w:ilvl="3" w:tplc="F7621274" w:tentative="1">
      <w:start w:val="1"/>
      <w:numFmt w:val="bullet"/>
      <w:lvlText w:val="•"/>
      <w:lvlJc w:val="left"/>
      <w:pPr>
        <w:tabs>
          <w:tab w:val="num" w:pos="2880"/>
        </w:tabs>
        <w:ind w:left="2880" w:hanging="360"/>
      </w:pPr>
      <w:rPr>
        <w:rFonts w:ascii="Arial" w:hAnsi="Arial" w:hint="default"/>
      </w:rPr>
    </w:lvl>
    <w:lvl w:ilvl="4" w:tplc="6CA0BE90" w:tentative="1">
      <w:start w:val="1"/>
      <w:numFmt w:val="bullet"/>
      <w:lvlText w:val="•"/>
      <w:lvlJc w:val="left"/>
      <w:pPr>
        <w:tabs>
          <w:tab w:val="num" w:pos="3600"/>
        </w:tabs>
        <w:ind w:left="3600" w:hanging="360"/>
      </w:pPr>
      <w:rPr>
        <w:rFonts w:ascii="Arial" w:hAnsi="Arial" w:hint="default"/>
      </w:rPr>
    </w:lvl>
    <w:lvl w:ilvl="5" w:tplc="21AC2B16" w:tentative="1">
      <w:start w:val="1"/>
      <w:numFmt w:val="bullet"/>
      <w:lvlText w:val="•"/>
      <w:lvlJc w:val="left"/>
      <w:pPr>
        <w:tabs>
          <w:tab w:val="num" w:pos="4320"/>
        </w:tabs>
        <w:ind w:left="4320" w:hanging="360"/>
      </w:pPr>
      <w:rPr>
        <w:rFonts w:ascii="Arial" w:hAnsi="Arial" w:hint="default"/>
      </w:rPr>
    </w:lvl>
    <w:lvl w:ilvl="6" w:tplc="54A6BAC2" w:tentative="1">
      <w:start w:val="1"/>
      <w:numFmt w:val="bullet"/>
      <w:lvlText w:val="•"/>
      <w:lvlJc w:val="left"/>
      <w:pPr>
        <w:tabs>
          <w:tab w:val="num" w:pos="5040"/>
        </w:tabs>
        <w:ind w:left="5040" w:hanging="360"/>
      </w:pPr>
      <w:rPr>
        <w:rFonts w:ascii="Arial" w:hAnsi="Arial" w:hint="default"/>
      </w:rPr>
    </w:lvl>
    <w:lvl w:ilvl="7" w:tplc="2A824730" w:tentative="1">
      <w:start w:val="1"/>
      <w:numFmt w:val="bullet"/>
      <w:lvlText w:val="•"/>
      <w:lvlJc w:val="left"/>
      <w:pPr>
        <w:tabs>
          <w:tab w:val="num" w:pos="5760"/>
        </w:tabs>
        <w:ind w:left="5760" w:hanging="360"/>
      </w:pPr>
      <w:rPr>
        <w:rFonts w:ascii="Arial" w:hAnsi="Arial" w:hint="default"/>
      </w:rPr>
    </w:lvl>
    <w:lvl w:ilvl="8" w:tplc="71507914" w:tentative="1">
      <w:start w:val="1"/>
      <w:numFmt w:val="bullet"/>
      <w:lvlText w:val="•"/>
      <w:lvlJc w:val="left"/>
      <w:pPr>
        <w:tabs>
          <w:tab w:val="num" w:pos="6480"/>
        </w:tabs>
        <w:ind w:left="6480" w:hanging="360"/>
      </w:pPr>
      <w:rPr>
        <w:rFonts w:ascii="Arial" w:hAnsi="Arial" w:hint="default"/>
      </w:rPr>
    </w:lvl>
  </w:abstractNum>
  <w:abstractNum w:abstractNumId="11">
    <w:nsid w:val="454D50F9"/>
    <w:multiLevelType w:val="hybridMultilevel"/>
    <w:tmpl w:val="F4085F10"/>
    <w:lvl w:ilvl="0" w:tplc="BB46E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5C4D02"/>
    <w:multiLevelType w:val="hybridMultilevel"/>
    <w:tmpl w:val="2BACF1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6426931"/>
    <w:multiLevelType w:val="hybridMultilevel"/>
    <w:tmpl w:val="A2A8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9C6337"/>
    <w:multiLevelType w:val="hybridMultilevel"/>
    <w:tmpl w:val="794E0FCC"/>
    <w:lvl w:ilvl="0" w:tplc="0C0CAC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081355"/>
    <w:multiLevelType w:val="hybridMultilevel"/>
    <w:tmpl w:val="A5CC17EC"/>
    <w:lvl w:ilvl="0" w:tplc="2418F9B8">
      <w:start w:val="1"/>
      <w:numFmt w:val="lowerLetter"/>
      <w:lvlText w:val="(%1)"/>
      <w:lvlJc w:val="left"/>
      <w:pPr>
        <w:tabs>
          <w:tab w:val="num" w:pos="720"/>
        </w:tabs>
        <w:ind w:left="720" w:hanging="360"/>
      </w:pPr>
    </w:lvl>
    <w:lvl w:ilvl="1" w:tplc="9CE23032" w:tentative="1">
      <w:start w:val="1"/>
      <w:numFmt w:val="lowerLetter"/>
      <w:lvlText w:val="(%2)"/>
      <w:lvlJc w:val="left"/>
      <w:pPr>
        <w:tabs>
          <w:tab w:val="num" w:pos="1440"/>
        </w:tabs>
        <w:ind w:left="1440" w:hanging="360"/>
      </w:pPr>
    </w:lvl>
    <w:lvl w:ilvl="2" w:tplc="618A4E9E" w:tentative="1">
      <w:start w:val="1"/>
      <w:numFmt w:val="lowerLetter"/>
      <w:lvlText w:val="(%3)"/>
      <w:lvlJc w:val="left"/>
      <w:pPr>
        <w:tabs>
          <w:tab w:val="num" w:pos="2160"/>
        </w:tabs>
        <w:ind w:left="2160" w:hanging="360"/>
      </w:pPr>
    </w:lvl>
    <w:lvl w:ilvl="3" w:tplc="71EE5044" w:tentative="1">
      <w:start w:val="1"/>
      <w:numFmt w:val="lowerLetter"/>
      <w:lvlText w:val="(%4)"/>
      <w:lvlJc w:val="left"/>
      <w:pPr>
        <w:tabs>
          <w:tab w:val="num" w:pos="2880"/>
        </w:tabs>
        <w:ind w:left="2880" w:hanging="360"/>
      </w:pPr>
    </w:lvl>
    <w:lvl w:ilvl="4" w:tplc="95BE0538" w:tentative="1">
      <w:start w:val="1"/>
      <w:numFmt w:val="lowerLetter"/>
      <w:lvlText w:val="(%5)"/>
      <w:lvlJc w:val="left"/>
      <w:pPr>
        <w:tabs>
          <w:tab w:val="num" w:pos="3600"/>
        </w:tabs>
        <w:ind w:left="3600" w:hanging="360"/>
      </w:pPr>
    </w:lvl>
    <w:lvl w:ilvl="5" w:tplc="73449346" w:tentative="1">
      <w:start w:val="1"/>
      <w:numFmt w:val="lowerLetter"/>
      <w:lvlText w:val="(%6)"/>
      <w:lvlJc w:val="left"/>
      <w:pPr>
        <w:tabs>
          <w:tab w:val="num" w:pos="4320"/>
        </w:tabs>
        <w:ind w:left="4320" w:hanging="360"/>
      </w:pPr>
    </w:lvl>
    <w:lvl w:ilvl="6" w:tplc="6602F2D6" w:tentative="1">
      <w:start w:val="1"/>
      <w:numFmt w:val="lowerLetter"/>
      <w:lvlText w:val="(%7)"/>
      <w:lvlJc w:val="left"/>
      <w:pPr>
        <w:tabs>
          <w:tab w:val="num" w:pos="5040"/>
        </w:tabs>
        <w:ind w:left="5040" w:hanging="360"/>
      </w:pPr>
    </w:lvl>
    <w:lvl w:ilvl="7" w:tplc="96E6804A" w:tentative="1">
      <w:start w:val="1"/>
      <w:numFmt w:val="lowerLetter"/>
      <w:lvlText w:val="(%8)"/>
      <w:lvlJc w:val="left"/>
      <w:pPr>
        <w:tabs>
          <w:tab w:val="num" w:pos="5760"/>
        </w:tabs>
        <w:ind w:left="5760" w:hanging="360"/>
      </w:pPr>
    </w:lvl>
    <w:lvl w:ilvl="8" w:tplc="3CFA968C" w:tentative="1">
      <w:start w:val="1"/>
      <w:numFmt w:val="lowerLetter"/>
      <w:lvlText w:val="(%9)"/>
      <w:lvlJc w:val="left"/>
      <w:pPr>
        <w:tabs>
          <w:tab w:val="num" w:pos="6480"/>
        </w:tabs>
        <w:ind w:left="6480" w:hanging="360"/>
      </w:pPr>
    </w:lvl>
  </w:abstractNum>
  <w:abstractNum w:abstractNumId="16">
    <w:nsid w:val="619B4AEF"/>
    <w:multiLevelType w:val="hybridMultilevel"/>
    <w:tmpl w:val="5972E7A6"/>
    <w:lvl w:ilvl="0" w:tplc="8BDE2D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AB90F02"/>
    <w:multiLevelType w:val="hybridMultilevel"/>
    <w:tmpl w:val="D1622EEA"/>
    <w:lvl w:ilvl="0" w:tplc="F3CC5F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FA01AF9"/>
    <w:multiLevelType w:val="hybridMultilevel"/>
    <w:tmpl w:val="FFB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B428D"/>
    <w:multiLevelType w:val="hybridMultilevel"/>
    <w:tmpl w:val="9E165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5F6ADD"/>
    <w:multiLevelType w:val="hybridMultilevel"/>
    <w:tmpl w:val="CE68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0"/>
  </w:num>
  <w:num w:numId="4">
    <w:abstractNumId w:val="6"/>
  </w:num>
  <w:num w:numId="5">
    <w:abstractNumId w:val="14"/>
  </w:num>
  <w:num w:numId="6">
    <w:abstractNumId w:val="11"/>
  </w:num>
  <w:num w:numId="7">
    <w:abstractNumId w:val="2"/>
  </w:num>
  <w:num w:numId="8">
    <w:abstractNumId w:val="16"/>
  </w:num>
  <w:num w:numId="9">
    <w:abstractNumId w:val="0"/>
  </w:num>
  <w:num w:numId="10">
    <w:abstractNumId w:val="17"/>
  </w:num>
  <w:num w:numId="11">
    <w:abstractNumId w:val="7"/>
  </w:num>
  <w:num w:numId="12">
    <w:abstractNumId w:val="9"/>
  </w:num>
  <w:num w:numId="13">
    <w:abstractNumId w:val="8"/>
  </w:num>
  <w:num w:numId="14">
    <w:abstractNumId w:val="3"/>
  </w:num>
  <w:num w:numId="15">
    <w:abstractNumId w:val="4"/>
  </w:num>
  <w:num w:numId="16">
    <w:abstractNumId w:val="19"/>
  </w:num>
  <w:num w:numId="17">
    <w:abstractNumId w:val="15"/>
  </w:num>
  <w:num w:numId="18">
    <w:abstractNumId w:val="13"/>
  </w:num>
  <w:num w:numId="19">
    <w:abstractNumId w:val="1"/>
  </w:num>
  <w:num w:numId="20">
    <w:abstractNumId w:val="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925EA9"/>
    <w:rsid w:val="00002C2F"/>
    <w:rsid w:val="000117C5"/>
    <w:rsid w:val="00020333"/>
    <w:rsid w:val="000249CC"/>
    <w:rsid w:val="00040BB4"/>
    <w:rsid w:val="00056028"/>
    <w:rsid w:val="00061716"/>
    <w:rsid w:val="0008091E"/>
    <w:rsid w:val="00084DCD"/>
    <w:rsid w:val="00086A01"/>
    <w:rsid w:val="00094C61"/>
    <w:rsid w:val="000A4FC6"/>
    <w:rsid w:val="000E2D49"/>
    <w:rsid w:val="000F5D58"/>
    <w:rsid w:val="00106661"/>
    <w:rsid w:val="001575FB"/>
    <w:rsid w:val="00162A00"/>
    <w:rsid w:val="00174B11"/>
    <w:rsid w:val="001868E1"/>
    <w:rsid w:val="001A1607"/>
    <w:rsid w:val="001A1743"/>
    <w:rsid w:val="001A30A6"/>
    <w:rsid w:val="001B34D1"/>
    <w:rsid w:val="001B438C"/>
    <w:rsid w:val="001C2475"/>
    <w:rsid w:val="001E0861"/>
    <w:rsid w:val="001E5073"/>
    <w:rsid w:val="00204223"/>
    <w:rsid w:val="00210C40"/>
    <w:rsid w:val="00240C69"/>
    <w:rsid w:val="002452FC"/>
    <w:rsid w:val="00250DE5"/>
    <w:rsid w:val="00262A7F"/>
    <w:rsid w:val="002713F5"/>
    <w:rsid w:val="002B62BB"/>
    <w:rsid w:val="002D7710"/>
    <w:rsid w:val="002E2A66"/>
    <w:rsid w:val="002E4282"/>
    <w:rsid w:val="002F5B6F"/>
    <w:rsid w:val="0030135D"/>
    <w:rsid w:val="003119FB"/>
    <w:rsid w:val="00326E1E"/>
    <w:rsid w:val="00340D07"/>
    <w:rsid w:val="00345D8A"/>
    <w:rsid w:val="00347AA8"/>
    <w:rsid w:val="003538E1"/>
    <w:rsid w:val="00381606"/>
    <w:rsid w:val="00385BF0"/>
    <w:rsid w:val="00387118"/>
    <w:rsid w:val="003A3204"/>
    <w:rsid w:val="003A512E"/>
    <w:rsid w:val="003C1A95"/>
    <w:rsid w:val="003C6C56"/>
    <w:rsid w:val="003E7449"/>
    <w:rsid w:val="003F35AF"/>
    <w:rsid w:val="003F62D7"/>
    <w:rsid w:val="0041373D"/>
    <w:rsid w:val="004476F3"/>
    <w:rsid w:val="004550BF"/>
    <w:rsid w:val="004A6B02"/>
    <w:rsid w:val="004C229A"/>
    <w:rsid w:val="004C6C34"/>
    <w:rsid w:val="005061B6"/>
    <w:rsid w:val="00512A9D"/>
    <w:rsid w:val="00593515"/>
    <w:rsid w:val="005B3AA2"/>
    <w:rsid w:val="005E6232"/>
    <w:rsid w:val="00607458"/>
    <w:rsid w:val="00613EF6"/>
    <w:rsid w:val="00624BC4"/>
    <w:rsid w:val="006349FD"/>
    <w:rsid w:val="00646806"/>
    <w:rsid w:val="00654C02"/>
    <w:rsid w:val="00655072"/>
    <w:rsid w:val="00673833"/>
    <w:rsid w:val="006816BE"/>
    <w:rsid w:val="00681A09"/>
    <w:rsid w:val="00684F49"/>
    <w:rsid w:val="006B258E"/>
    <w:rsid w:val="006B6C71"/>
    <w:rsid w:val="006E72FA"/>
    <w:rsid w:val="006F1F92"/>
    <w:rsid w:val="0070399C"/>
    <w:rsid w:val="00710988"/>
    <w:rsid w:val="0071103E"/>
    <w:rsid w:val="00723651"/>
    <w:rsid w:val="007259F7"/>
    <w:rsid w:val="00727E99"/>
    <w:rsid w:val="00732D15"/>
    <w:rsid w:val="007878FD"/>
    <w:rsid w:val="00787B34"/>
    <w:rsid w:val="00790A3F"/>
    <w:rsid w:val="007A1B5B"/>
    <w:rsid w:val="007A2EB6"/>
    <w:rsid w:val="007C1F52"/>
    <w:rsid w:val="007E35FA"/>
    <w:rsid w:val="007F261E"/>
    <w:rsid w:val="007F6AB6"/>
    <w:rsid w:val="00820602"/>
    <w:rsid w:val="00836CE3"/>
    <w:rsid w:val="0085208A"/>
    <w:rsid w:val="0086528E"/>
    <w:rsid w:val="00897313"/>
    <w:rsid w:val="008C0DB3"/>
    <w:rsid w:val="008C13A1"/>
    <w:rsid w:val="008C1701"/>
    <w:rsid w:val="008E1A6D"/>
    <w:rsid w:val="008E33D3"/>
    <w:rsid w:val="008F2794"/>
    <w:rsid w:val="00917809"/>
    <w:rsid w:val="00923D8C"/>
    <w:rsid w:val="00925EA9"/>
    <w:rsid w:val="0093065F"/>
    <w:rsid w:val="00942408"/>
    <w:rsid w:val="00946E0D"/>
    <w:rsid w:val="00957202"/>
    <w:rsid w:val="00963BDB"/>
    <w:rsid w:val="00964123"/>
    <w:rsid w:val="00983347"/>
    <w:rsid w:val="00991CD3"/>
    <w:rsid w:val="00992821"/>
    <w:rsid w:val="009F4059"/>
    <w:rsid w:val="00A02562"/>
    <w:rsid w:val="00A0459D"/>
    <w:rsid w:val="00A106C2"/>
    <w:rsid w:val="00A12C5C"/>
    <w:rsid w:val="00A2789A"/>
    <w:rsid w:val="00A30616"/>
    <w:rsid w:val="00A40FAB"/>
    <w:rsid w:val="00A51C77"/>
    <w:rsid w:val="00A54F73"/>
    <w:rsid w:val="00A70178"/>
    <w:rsid w:val="00A73118"/>
    <w:rsid w:val="00AB7E58"/>
    <w:rsid w:val="00B03BB3"/>
    <w:rsid w:val="00B06F39"/>
    <w:rsid w:val="00B13FA4"/>
    <w:rsid w:val="00B164F1"/>
    <w:rsid w:val="00B24061"/>
    <w:rsid w:val="00B26729"/>
    <w:rsid w:val="00B3659A"/>
    <w:rsid w:val="00B4270F"/>
    <w:rsid w:val="00B45006"/>
    <w:rsid w:val="00B46A78"/>
    <w:rsid w:val="00B62A6E"/>
    <w:rsid w:val="00B7324F"/>
    <w:rsid w:val="00B868B6"/>
    <w:rsid w:val="00BB1303"/>
    <w:rsid w:val="00BB1DFC"/>
    <w:rsid w:val="00BE75A2"/>
    <w:rsid w:val="00C06827"/>
    <w:rsid w:val="00C1660A"/>
    <w:rsid w:val="00C23658"/>
    <w:rsid w:val="00C25301"/>
    <w:rsid w:val="00C41AC2"/>
    <w:rsid w:val="00C54783"/>
    <w:rsid w:val="00C55950"/>
    <w:rsid w:val="00C7087D"/>
    <w:rsid w:val="00C75CAE"/>
    <w:rsid w:val="00CD3102"/>
    <w:rsid w:val="00CD7D47"/>
    <w:rsid w:val="00D04A0C"/>
    <w:rsid w:val="00D20E37"/>
    <w:rsid w:val="00D45188"/>
    <w:rsid w:val="00D713FA"/>
    <w:rsid w:val="00D827A1"/>
    <w:rsid w:val="00D84AE3"/>
    <w:rsid w:val="00D86BEF"/>
    <w:rsid w:val="00DD224D"/>
    <w:rsid w:val="00DE0F3F"/>
    <w:rsid w:val="00DE76DE"/>
    <w:rsid w:val="00E22670"/>
    <w:rsid w:val="00E425DE"/>
    <w:rsid w:val="00E67D4A"/>
    <w:rsid w:val="00E774BF"/>
    <w:rsid w:val="00ED0FE1"/>
    <w:rsid w:val="00EF094D"/>
    <w:rsid w:val="00EF4F72"/>
    <w:rsid w:val="00EF6983"/>
    <w:rsid w:val="00F1382C"/>
    <w:rsid w:val="00F13A71"/>
    <w:rsid w:val="00F178C3"/>
    <w:rsid w:val="00F31B93"/>
    <w:rsid w:val="00F42B1A"/>
    <w:rsid w:val="00F5206E"/>
    <w:rsid w:val="00F54FC6"/>
    <w:rsid w:val="00F80AF5"/>
    <w:rsid w:val="00F84369"/>
    <w:rsid w:val="00F87D1D"/>
    <w:rsid w:val="00F94F60"/>
    <w:rsid w:val="00F977EF"/>
    <w:rsid w:val="00FA47AD"/>
    <w:rsid w:val="00FB19D4"/>
    <w:rsid w:val="00FC17F2"/>
    <w:rsid w:val="00FF13EE"/>
    <w:rsid w:val="00FF6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29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32"/>
    <w:pPr>
      <w:ind w:left="720"/>
      <w:contextualSpacing/>
    </w:pPr>
  </w:style>
  <w:style w:type="paragraph" w:styleId="Header">
    <w:name w:val="header"/>
    <w:basedOn w:val="Normal"/>
    <w:link w:val="HeaderChar"/>
    <w:uiPriority w:val="99"/>
    <w:unhideWhenUsed/>
    <w:rsid w:val="00162A00"/>
    <w:pPr>
      <w:tabs>
        <w:tab w:val="center" w:pos="4680"/>
        <w:tab w:val="right" w:pos="9360"/>
      </w:tabs>
    </w:pPr>
  </w:style>
  <w:style w:type="character" w:customStyle="1" w:styleId="HeaderChar">
    <w:name w:val="Header Char"/>
    <w:basedOn w:val="DefaultParagraphFont"/>
    <w:link w:val="Header"/>
    <w:uiPriority w:val="99"/>
    <w:rsid w:val="00162A00"/>
    <w:rPr>
      <w:sz w:val="22"/>
      <w:szCs w:val="22"/>
    </w:rPr>
  </w:style>
  <w:style w:type="paragraph" w:styleId="Footer">
    <w:name w:val="footer"/>
    <w:basedOn w:val="Normal"/>
    <w:link w:val="FooterChar"/>
    <w:uiPriority w:val="99"/>
    <w:unhideWhenUsed/>
    <w:rsid w:val="00162A00"/>
    <w:pPr>
      <w:tabs>
        <w:tab w:val="center" w:pos="4680"/>
        <w:tab w:val="right" w:pos="9360"/>
      </w:tabs>
    </w:pPr>
  </w:style>
  <w:style w:type="character" w:customStyle="1" w:styleId="FooterChar">
    <w:name w:val="Footer Char"/>
    <w:basedOn w:val="DefaultParagraphFont"/>
    <w:link w:val="Footer"/>
    <w:uiPriority w:val="99"/>
    <w:rsid w:val="00162A00"/>
    <w:rPr>
      <w:sz w:val="22"/>
      <w:szCs w:val="22"/>
    </w:rPr>
  </w:style>
  <w:style w:type="paragraph" w:styleId="BalloonText">
    <w:name w:val="Balloon Text"/>
    <w:basedOn w:val="Normal"/>
    <w:link w:val="BalloonTextChar"/>
    <w:uiPriority w:val="99"/>
    <w:semiHidden/>
    <w:unhideWhenUsed/>
    <w:rsid w:val="0016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A00"/>
    <w:rPr>
      <w:rFonts w:ascii="Tahoma" w:hAnsi="Tahoma" w:cs="Tahoma"/>
      <w:sz w:val="16"/>
      <w:szCs w:val="16"/>
    </w:rPr>
  </w:style>
  <w:style w:type="character" w:styleId="Hyperlink">
    <w:name w:val="Hyperlink"/>
    <w:basedOn w:val="DefaultParagraphFont"/>
    <w:uiPriority w:val="99"/>
    <w:unhideWhenUsed/>
    <w:rsid w:val="00162A00"/>
    <w:rPr>
      <w:color w:val="0000FF"/>
      <w:u w:val="single"/>
    </w:rPr>
  </w:style>
  <w:style w:type="paragraph" w:styleId="NoSpacing">
    <w:name w:val="No Spacing"/>
    <w:uiPriority w:val="1"/>
    <w:qFormat/>
    <w:rsid w:val="00C41AC2"/>
    <w:rPr>
      <w:rFonts w:eastAsia="Calibri"/>
      <w:sz w:val="22"/>
      <w:szCs w:val="22"/>
    </w:rPr>
  </w:style>
  <w:style w:type="paragraph" w:styleId="NormalWeb">
    <w:name w:val="Normal (Web)"/>
    <w:basedOn w:val="Normal"/>
    <w:uiPriority w:val="99"/>
    <w:semiHidden/>
    <w:unhideWhenUsed/>
    <w:rsid w:val="00836CE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118977">
      <w:bodyDiv w:val="1"/>
      <w:marLeft w:val="0"/>
      <w:marRight w:val="0"/>
      <w:marTop w:val="0"/>
      <w:marBottom w:val="0"/>
      <w:divBdr>
        <w:top w:val="none" w:sz="0" w:space="0" w:color="auto"/>
        <w:left w:val="none" w:sz="0" w:space="0" w:color="auto"/>
        <w:bottom w:val="none" w:sz="0" w:space="0" w:color="auto"/>
        <w:right w:val="none" w:sz="0" w:space="0" w:color="auto"/>
      </w:divBdr>
    </w:div>
    <w:div w:id="380399956">
      <w:bodyDiv w:val="1"/>
      <w:marLeft w:val="0"/>
      <w:marRight w:val="0"/>
      <w:marTop w:val="0"/>
      <w:marBottom w:val="0"/>
      <w:divBdr>
        <w:top w:val="none" w:sz="0" w:space="0" w:color="auto"/>
        <w:left w:val="none" w:sz="0" w:space="0" w:color="auto"/>
        <w:bottom w:val="none" w:sz="0" w:space="0" w:color="auto"/>
        <w:right w:val="none" w:sz="0" w:space="0" w:color="auto"/>
      </w:divBdr>
    </w:div>
    <w:div w:id="389764376">
      <w:bodyDiv w:val="1"/>
      <w:marLeft w:val="0"/>
      <w:marRight w:val="0"/>
      <w:marTop w:val="0"/>
      <w:marBottom w:val="0"/>
      <w:divBdr>
        <w:top w:val="none" w:sz="0" w:space="0" w:color="auto"/>
        <w:left w:val="none" w:sz="0" w:space="0" w:color="auto"/>
        <w:bottom w:val="none" w:sz="0" w:space="0" w:color="auto"/>
        <w:right w:val="none" w:sz="0" w:space="0" w:color="auto"/>
      </w:divBdr>
    </w:div>
    <w:div w:id="545532574">
      <w:bodyDiv w:val="1"/>
      <w:marLeft w:val="0"/>
      <w:marRight w:val="0"/>
      <w:marTop w:val="0"/>
      <w:marBottom w:val="0"/>
      <w:divBdr>
        <w:top w:val="none" w:sz="0" w:space="0" w:color="auto"/>
        <w:left w:val="none" w:sz="0" w:space="0" w:color="auto"/>
        <w:bottom w:val="none" w:sz="0" w:space="0" w:color="auto"/>
        <w:right w:val="none" w:sz="0" w:space="0" w:color="auto"/>
      </w:divBdr>
      <w:divsChild>
        <w:div w:id="239489511">
          <w:marLeft w:val="547"/>
          <w:marRight w:val="0"/>
          <w:marTop w:val="0"/>
          <w:marBottom w:val="0"/>
          <w:divBdr>
            <w:top w:val="none" w:sz="0" w:space="0" w:color="auto"/>
            <w:left w:val="none" w:sz="0" w:space="0" w:color="auto"/>
            <w:bottom w:val="none" w:sz="0" w:space="0" w:color="auto"/>
            <w:right w:val="none" w:sz="0" w:space="0" w:color="auto"/>
          </w:divBdr>
        </w:div>
      </w:divsChild>
    </w:div>
    <w:div w:id="915556781">
      <w:bodyDiv w:val="1"/>
      <w:marLeft w:val="0"/>
      <w:marRight w:val="0"/>
      <w:marTop w:val="0"/>
      <w:marBottom w:val="0"/>
      <w:divBdr>
        <w:top w:val="none" w:sz="0" w:space="0" w:color="auto"/>
        <w:left w:val="none" w:sz="0" w:space="0" w:color="auto"/>
        <w:bottom w:val="none" w:sz="0" w:space="0" w:color="auto"/>
        <w:right w:val="none" w:sz="0" w:space="0" w:color="auto"/>
      </w:divBdr>
    </w:div>
    <w:div w:id="956914995">
      <w:bodyDiv w:val="1"/>
      <w:marLeft w:val="0"/>
      <w:marRight w:val="0"/>
      <w:marTop w:val="0"/>
      <w:marBottom w:val="0"/>
      <w:divBdr>
        <w:top w:val="none" w:sz="0" w:space="0" w:color="auto"/>
        <w:left w:val="none" w:sz="0" w:space="0" w:color="auto"/>
        <w:bottom w:val="none" w:sz="0" w:space="0" w:color="auto"/>
        <w:right w:val="none" w:sz="0" w:space="0" w:color="auto"/>
      </w:divBdr>
    </w:div>
    <w:div w:id="1198739830">
      <w:bodyDiv w:val="1"/>
      <w:marLeft w:val="0"/>
      <w:marRight w:val="0"/>
      <w:marTop w:val="0"/>
      <w:marBottom w:val="0"/>
      <w:divBdr>
        <w:top w:val="none" w:sz="0" w:space="0" w:color="auto"/>
        <w:left w:val="none" w:sz="0" w:space="0" w:color="auto"/>
        <w:bottom w:val="none" w:sz="0" w:space="0" w:color="auto"/>
        <w:right w:val="none" w:sz="0" w:space="0" w:color="auto"/>
      </w:divBdr>
    </w:div>
    <w:div w:id="1295022330">
      <w:bodyDiv w:val="1"/>
      <w:marLeft w:val="0"/>
      <w:marRight w:val="0"/>
      <w:marTop w:val="0"/>
      <w:marBottom w:val="0"/>
      <w:divBdr>
        <w:top w:val="none" w:sz="0" w:space="0" w:color="auto"/>
        <w:left w:val="none" w:sz="0" w:space="0" w:color="auto"/>
        <w:bottom w:val="none" w:sz="0" w:space="0" w:color="auto"/>
        <w:right w:val="none" w:sz="0" w:space="0" w:color="auto"/>
      </w:divBdr>
    </w:div>
    <w:div w:id="1335954549">
      <w:bodyDiv w:val="1"/>
      <w:marLeft w:val="0"/>
      <w:marRight w:val="0"/>
      <w:marTop w:val="0"/>
      <w:marBottom w:val="0"/>
      <w:divBdr>
        <w:top w:val="none" w:sz="0" w:space="0" w:color="auto"/>
        <w:left w:val="none" w:sz="0" w:space="0" w:color="auto"/>
        <w:bottom w:val="none" w:sz="0" w:space="0" w:color="auto"/>
        <w:right w:val="none" w:sz="0" w:space="0" w:color="auto"/>
      </w:divBdr>
    </w:div>
    <w:div w:id="1382483813">
      <w:bodyDiv w:val="1"/>
      <w:marLeft w:val="0"/>
      <w:marRight w:val="0"/>
      <w:marTop w:val="0"/>
      <w:marBottom w:val="0"/>
      <w:divBdr>
        <w:top w:val="none" w:sz="0" w:space="0" w:color="auto"/>
        <w:left w:val="none" w:sz="0" w:space="0" w:color="auto"/>
        <w:bottom w:val="none" w:sz="0" w:space="0" w:color="auto"/>
        <w:right w:val="none" w:sz="0" w:space="0" w:color="auto"/>
      </w:divBdr>
    </w:div>
    <w:div w:id="1670252170">
      <w:bodyDiv w:val="1"/>
      <w:marLeft w:val="0"/>
      <w:marRight w:val="0"/>
      <w:marTop w:val="0"/>
      <w:marBottom w:val="0"/>
      <w:divBdr>
        <w:top w:val="none" w:sz="0" w:space="0" w:color="auto"/>
        <w:left w:val="none" w:sz="0" w:space="0" w:color="auto"/>
        <w:bottom w:val="none" w:sz="0" w:space="0" w:color="auto"/>
        <w:right w:val="none" w:sz="0" w:space="0" w:color="auto"/>
      </w:divBdr>
    </w:div>
    <w:div w:id="1677071085">
      <w:bodyDiv w:val="1"/>
      <w:marLeft w:val="0"/>
      <w:marRight w:val="0"/>
      <w:marTop w:val="0"/>
      <w:marBottom w:val="0"/>
      <w:divBdr>
        <w:top w:val="none" w:sz="0" w:space="0" w:color="auto"/>
        <w:left w:val="none" w:sz="0" w:space="0" w:color="auto"/>
        <w:bottom w:val="none" w:sz="0" w:space="0" w:color="auto"/>
        <w:right w:val="none" w:sz="0" w:space="0" w:color="auto"/>
      </w:divBdr>
    </w:div>
    <w:div w:id="1972327165">
      <w:bodyDiv w:val="1"/>
      <w:marLeft w:val="0"/>
      <w:marRight w:val="0"/>
      <w:marTop w:val="0"/>
      <w:marBottom w:val="0"/>
      <w:divBdr>
        <w:top w:val="none" w:sz="0" w:space="0" w:color="auto"/>
        <w:left w:val="none" w:sz="0" w:space="0" w:color="auto"/>
        <w:bottom w:val="none" w:sz="0" w:space="0" w:color="auto"/>
        <w:right w:val="none" w:sz="0" w:space="0" w:color="auto"/>
      </w:divBdr>
    </w:div>
    <w:div w:id="2021201234">
      <w:bodyDiv w:val="1"/>
      <w:marLeft w:val="0"/>
      <w:marRight w:val="0"/>
      <w:marTop w:val="0"/>
      <w:marBottom w:val="0"/>
      <w:divBdr>
        <w:top w:val="none" w:sz="0" w:space="0" w:color="auto"/>
        <w:left w:val="none" w:sz="0" w:space="0" w:color="auto"/>
        <w:bottom w:val="none" w:sz="0" w:space="0" w:color="auto"/>
        <w:right w:val="none" w:sz="0" w:space="0" w:color="auto"/>
      </w:divBdr>
    </w:div>
    <w:div w:id="2062629418">
      <w:bodyDiv w:val="1"/>
      <w:marLeft w:val="0"/>
      <w:marRight w:val="0"/>
      <w:marTop w:val="0"/>
      <w:marBottom w:val="0"/>
      <w:divBdr>
        <w:top w:val="none" w:sz="0" w:space="0" w:color="auto"/>
        <w:left w:val="none" w:sz="0" w:space="0" w:color="auto"/>
        <w:bottom w:val="none" w:sz="0" w:space="0" w:color="auto"/>
        <w:right w:val="none" w:sz="0" w:space="0" w:color="auto"/>
      </w:divBdr>
    </w:div>
    <w:div w:id="209342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8501F-C4B2-4963-A107-F12C568B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KRISHNAN</dc:creator>
  <cp:keywords/>
  <dc:description/>
  <cp:lastModifiedBy>jigar</cp:lastModifiedBy>
  <cp:revision>2</cp:revision>
  <dcterms:created xsi:type="dcterms:W3CDTF">2014-12-16T08:03:00Z</dcterms:created>
  <dcterms:modified xsi:type="dcterms:W3CDTF">2014-12-16T08:03:00Z</dcterms:modified>
</cp:coreProperties>
</file>