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0" w:type="dxa"/>
        <w:tblCellSpacing w:w="0" w:type="dxa"/>
        <w:tblInd w:w="-144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00"/>
      </w:tblGrid>
      <w:tr w:rsidR="001C3E17" w:rsidRPr="001C3E17" w:rsidTr="001C3E17">
        <w:trPr>
          <w:tblCellSpacing w:w="0" w:type="dxa"/>
        </w:trPr>
        <w:tc>
          <w:tcPr>
            <w:tcW w:w="0" w:type="auto"/>
            <w:vAlign w:val="center"/>
            <w:hideMark/>
          </w:tcPr>
          <w:p w:rsidR="001C3E17" w:rsidRDefault="001C3E17" w:rsidP="001C3E17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color w:val="010162"/>
                <w:sz w:val="24"/>
                <w:szCs w:val="24"/>
              </w:rPr>
            </w:pPr>
            <w:r w:rsidRPr="001C3E17">
              <w:rPr>
                <w:rFonts w:ascii="Arial" w:eastAsia="Times New Roman" w:hAnsi="Arial" w:cs="Arial"/>
                <w:b/>
                <w:bCs/>
                <w:color w:val="010162"/>
                <w:sz w:val="24"/>
                <w:szCs w:val="24"/>
              </w:rPr>
              <w:t xml:space="preserve">Non applicability of Sections 407 to 414 of the Companies Act 2013, for the Intermediate </w:t>
            </w:r>
          </w:p>
          <w:p w:rsidR="001C3E17" w:rsidRPr="001C3E17" w:rsidRDefault="001C3E17" w:rsidP="001C3E17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C3E17">
              <w:rPr>
                <w:rFonts w:ascii="Arial" w:eastAsia="Times New Roman" w:hAnsi="Arial" w:cs="Arial"/>
                <w:b/>
                <w:bCs/>
                <w:color w:val="010162"/>
                <w:sz w:val="24"/>
                <w:szCs w:val="24"/>
              </w:rPr>
              <w:t>(IPC) Examination to be held in November 2014. - (12-09-2014)</w:t>
            </w:r>
          </w:p>
          <w:p w:rsidR="001C3E17" w:rsidRPr="001C3E17" w:rsidRDefault="001C3E17" w:rsidP="001C3E17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C3E1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pict>
                <v:rect id="_x0000_i1025" style="width:0;height:.75pt" o:hralign="center" o:hrstd="t" o:hrnoshade="t" o:hr="t" fillcolor="silver" stroked="f"/>
              </w:pict>
            </w:r>
          </w:p>
        </w:tc>
      </w:tr>
      <w:tr w:rsidR="001C3E17" w:rsidRPr="001C3E17" w:rsidTr="001C3E1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38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800"/>
            </w:tblGrid>
            <w:tr w:rsidR="001C3E17" w:rsidRPr="001C3E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3E17" w:rsidRPr="001C3E17" w:rsidRDefault="001C3E17" w:rsidP="001C3E17">
                  <w:pPr>
                    <w:spacing w:after="240" w:line="255" w:lineRule="atLeast"/>
                    <w:jc w:val="center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u w:val="single"/>
                    </w:rPr>
                    <w:t>Intermediate (IPC) Course students - November 2014 examination</w:t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br/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br/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Paper 2: Business Laws, Ethics and Communication</w:t>
                  </w:r>
                </w:p>
              </w:tc>
            </w:tr>
            <w:tr w:rsidR="001C3E17" w:rsidRPr="001C3E1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C3E17" w:rsidRDefault="001C3E17" w:rsidP="001C3E17">
                  <w:pPr>
                    <w:spacing w:before="100" w:beforeAutospacing="1" w:after="100" w:afterAutospacing="1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Non applicability of Sections 407 to 414 of the Companies Act 2013, for the Intermediate (IPC) Examination to be held in November 2014 </w:t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br/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br/>
                    <w:t>It is hereby informed that Sections 407 to 414 of the Companies Act, 2013 relating to NCLT and NCLAT (notified on 12th September, 2013)</w:t>
                  </w:r>
                </w:p>
                <w:p w:rsidR="001C3E17" w:rsidRDefault="001C3E17" w:rsidP="001C3E17">
                  <w:pPr>
                    <w:spacing w:before="100" w:beforeAutospacing="1" w:after="100" w:afterAutospacing="1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formed part of the syllabus of the abovementioned paper as applicable for November, 2014 examinations. Consequently, the said sections </w:t>
                  </w:r>
                </w:p>
                <w:p w:rsidR="001C3E17" w:rsidRDefault="001C3E17" w:rsidP="001C3E17">
                  <w:pPr>
                    <w:spacing w:before="100" w:beforeAutospacing="1" w:after="100" w:afterAutospacing="1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were also incorporated in,</w:t>
                  </w:r>
                  <w:r w:rsidRPr="001C3E17">
                    <w:rPr>
                      <w:rFonts w:ascii="Arial" w:eastAsia="Times New Roman" w:hAnsi="Arial" w:cs="Arial"/>
                      <w:b/>
                      <w:color w:val="333333"/>
                      <w:sz w:val="18"/>
                      <w:szCs w:val="18"/>
                      <w:u w:val="single"/>
                    </w:rPr>
                    <w:t xml:space="preserve"> Para 1.19 of Unit 1 from Page Nos. 22 to 26 of the Supplementary Study paper</w:t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 prepared for the said examinations.</w:t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br/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br/>
                    <w:t xml:space="preserve">However, keeping in view the fact that the NCLT and NCLAT are not in operation till date, students are hereby informed that the </w:t>
                  </w:r>
                </w:p>
                <w:p w:rsidR="001C3E17" w:rsidRDefault="001C3E17" w:rsidP="001C3E17">
                  <w:pPr>
                    <w:spacing w:before="100" w:beforeAutospacing="1" w:after="100" w:afterAutospacing="1" w:line="255" w:lineRule="atLeast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</w:pP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notified</w:t>
                  </w:r>
                  <w:r w:rsidRPr="001C3E17">
                    <w:rPr>
                      <w:rFonts w:ascii="Arial" w:eastAsia="Times New Roman" w:hAnsi="Arial" w:cs="Arial"/>
                      <w:color w:val="333333"/>
                      <w:sz w:val="18"/>
                    </w:rPr>
                    <w:t> </w:t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 xml:space="preserve">Sections 407 to 414 of the Companies Act, 2013 are not applicable for Intermediate (IPC) examination, to be held </w:t>
                  </w:r>
                </w:p>
                <w:p w:rsidR="001C3E17" w:rsidRPr="001C3E17" w:rsidRDefault="001C3E17" w:rsidP="001C3E17">
                  <w:pPr>
                    <w:spacing w:before="100" w:beforeAutospacing="1" w:after="100" w:afterAutospacing="1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in November 2014 (Paper 2: Business Laws, Ethics and Communication).</w:t>
                  </w:r>
                </w:p>
              </w:tc>
            </w:tr>
            <w:tr w:rsidR="001C3E17" w:rsidRPr="001C3E17" w:rsidTr="001C3E17">
              <w:trPr>
                <w:trHeight w:val="73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C3E17" w:rsidRPr="001C3E17" w:rsidRDefault="001C3E17" w:rsidP="001C3E17">
                  <w:pPr>
                    <w:spacing w:after="0" w:line="255" w:lineRule="atLeast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Director,</w:t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br/>
                  </w:r>
                  <w:r w:rsidRPr="001C3E17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</w:rPr>
                    <w:t>Board of Studies</w:t>
                  </w:r>
                </w:p>
              </w:tc>
            </w:tr>
          </w:tbl>
          <w:p w:rsidR="001C3E17" w:rsidRPr="001C3E17" w:rsidRDefault="001C3E17" w:rsidP="001C3E17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C3E17" w:rsidRPr="001C3E17" w:rsidTr="001C3E1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1C3E17" w:rsidRPr="001C3E17" w:rsidRDefault="001C3E17" w:rsidP="001C3E17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1C3E17" w:rsidRPr="001C3E17" w:rsidTr="001C3E17">
        <w:trPr>
          <w:tblCellSpacing w:w="0" w:type="dxa"/>
        </w:trPr>
        <w:tc>
          <w:tcPr>
            <w:tcW w:w="0" w:type="auto"/>
            <w:vAlign w:val="center"/>
            <w:hideMark/>
          </w:tcPr>
          <w:p w:rsidR="001C3E17" w:rsidRPr="001C3E17" w:rsidRDefault="001C3E17" w:rsidP="001C3E17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D54FEB" w:rsidRDefault="00D54FEB"/>
    <w:sectPr w:rsidR="00D54F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C3E17"/>
    <w:rsid w:val="001C3E17"/>
    <w:rsid w:val="00D5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inner">
    <w:name w:val="heading_inner"/>
    <w:basedOn w:val="DefaultParagraphFont"/>
    <w:rsid w:val="001C3E17"/>
  </w:style>
  <w:style w:type="character" w:styleId="Strong">
    <w:name w:val="Strong"/>
    <w:basedOn w:val="DefaultParagraphFont"/>
    <w:uiPriority w:val="22"/>
    <w:qFormat/>
    <w:rsid w:val="001C3E17"/>
    <w:rPr>
      <w:b/>
      <w:bCs/>
    </w:rPr>
  </w:style>
  <w:style w:type="paragraph" w:styleId="NormalWeb">
    <w:name w:val="Normal (Web)"/>
    <w:basedOn w:val="Normal"/>
    <w:uiPriority w:val="99"/>
    <w:unhideWhenUsed/>
    <w:rsid w:val="001C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C3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2014-09-14T06:07:00Z</dcterms:created>
  <dcterms:modified xsi:type="dcterms:W3CDTF">2014-09-14T06:09:00Z</dcterms:modified>
</cp:coreProperties>
</file>