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FC3" w:rsidRDefault="00516FC3" w:rsidP="00516FC3">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 xml:space="preserve">                    </w:t>
      </w:r>
      <w:r w:rsidR="000C5767">
        <w:rPr>
          <w:rFonts w:ascii="TimesNewRomanPS-BoldMT" w:hAnsi="TimesNewRomanPS-BoldMT" w:cs="TimesNewRomanPS-BoldMT"/>
          <w:b/>
          <w:bCs/>
          <w:sz w:val="28"/>
          <w:szCs w:val="28"/>
        </w:rPr>
        <w:t xml:space="preserve">                             </w:t>
      </w:r>
      <w:r>
        <w:rPr>
          <w:rFonts w:ascii="TimesNewRomanPS-BoldMT" w:hAnsi="TimesNewRomanPS-BoldMT" w:cs="TimesNewRomanPS-BoldMT"/>
          <w:b/>
          <w:bCs/>
          <w:sz w:val="28"/>
          <w:szCs w:val="28"/>
        </w:rPr>
        <w:t xml:space="preserve">    Non-Banking</w:t>
      </w:r>
    </w:p>
    <w:p w:rsidR="00516FC3" w:rsidRPr="000C5767" w:rsidRDefault="00516FC3" w:rsidP="00516FC3">
      <w:pPr>
        <w:autoSpaceDE w:val="0"/>
        <w:autoSpaceDN w:val="0"/>
        <w:adjustRightInd w:val="0"/>
        <w:spacing w:after="0" w:line="240" w:lineRule="auto"/>
        <w:rPr>
          <w:rFonts w:ascii="Arial" w:hAnsi="Arial" w:cs="Arial"/>
          <w:b/>
          <w:bCs/>
        </w:rPr>
      </w:pPr>
      <w:r w:rsidRPr="000C5767">
        <w:rPr>
          <w:rFonts w:ascii="Arial" w:hAnsi="Arial" w:cs="Arial"/>
          <w:b/>
          <w:bCs/>
        </w:rPr>
        <w:t>Classification of NBFC :</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hAnsi="Arial" w:cs="Arial"/>
          <w:b/>
          <w:bCs/>
        </w:rPr>
        <w:t xml:space="preserve">A. </w:t>
      </w:r>
      <w:r w:rsidRPr="000C5767">
        <w:rPr>
          <w:rFonts w:ascii="Arial" w:eastAsia="ArialMT" w:hAnsi="Arial" w:cs="Arial"/>
        </w:rPr>
        <w:t>NBFC is one whose principal business is that of receiving deposits or that of financial institution.</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1. Equipment Leasing Company.</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2. Hire Purchase Finance Company.</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3. Investment Company.</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4. Loan Company.</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hAnsi="Arial" w:cs="Arial"/>
          <w:sz w:val="24"/>
          <w:szCs w:val="24"/>
        </w:rPr>
        <w:t xml:space="preserve">5. </w:t>
      </w:r>
      <w:r w:rsidRPr="000C5767">
        <w:rPr>
          <w:rFonts w:ascii="Arial" w:eastAsia="ArialMT" w:hAnsi="Arial" w:cs="Arial"/>
        </w:rPr>
        <w:t xml:space="preserve">RNBC </w:t>
      </w:r>
      <w:r w:rsidRPr="000C5767">
        <w:rPr>
          <w:rFonts w:ascii="Arial" w:hAnsi="Arial" w:cs="Arial"/>
          <w:i/>
          <w:iCs/>
        </w:rPr>
        <w:t xml:space="preserve">i.e. </w:t>
      </w:r>
      <w:r w:rsidRPr="000C5767">
        <w:rPr>
          <w:rFonts w:ascii="Arial" w:eastAsia="ArialMT" w:hAnsi="Arial" w:cs="Arial"/>
        </w:rPr>
        <w:t>Residuary non-banking co. that receives deposits under any scheme.</w:t>
      </w:r>
    </w:p>
    <w:p w:rsidR="00516FC3" w:rsidRPr="000C5767" w:rsidRDefault="00516FC3" w:rsidP="00516FC3">
      <w:pPr>
        <w:autoSpaceDE w:val="0"/>
        <w:autoSpaceDN w:val="0"/>
        <w:adjustRightInd w:val="0"/>
        <w:spacing w:after="0" w:line="240" w:lineRule="auto"/>
        <w:rPr>
          <w:rFonts w:ascii="Arial" w:hAnsi="Arial" w:cs="Arial"/>
          <w:b/>
          <w:bCs/>
          <w:sz w:val="24"/>
          <w:szCs w:val="24"/>
        </w:rPr>
      </w:pP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hAnsi="Arial" w:cs="Arial"/>
          <w:b/>
          <w:bCs/>
          <w:sz w:val="24"/>
          <w:szCs w:val="24"/>
        </w:rPr>
        <w:t xml:space="preserve">B. </w:t>
      </w:r>
      <w:r w:rsidRPr="000C5767">
        <w:rPr>
          <w:rFonts w:ascii="Arial" w:hAnsi="Arial" w:cs="Arial"/>
          <w:b/>
          <w:bCs/>
        </w:rPr>
        <w:t xml:space="preserve">MBFC (Mutual benefit Financial Co.) : </w:t>
      </w:r>
      <w:r w:rsidRPr="000C5767">
        <w:rPr>
          <w:rFonts w:ascii="Arial" w:hAnsi="Arial" w:cs="Arial"/>
          <w:i/>
          <w:iCs/>
        </w:rPr>
        <w:t xml:space="preserve">i.e. </w:t>
      </w:r>
      <w:r w:rsidRPr="000C5767">
        <w:rPr>
          <w:rFonts w:ascii="Arial" w:eastAsia="ArialMT" w:hAnsi="Arial" w:cs="Arial"/>
        </w:rPr>
        <w:t>Nidhi Co. notified by Central Government u/s 620 A of Companies Act.</w:t>
      </w:r>
    </w:p>
    <w:p w:rsidR="00516FC3" w:rsidRPr="000C5767" w:rsidRDefault="00516FC3" w:rsidP="00516FC3">
      <w:pPr>
        <w:autoSpaceDE w:val="0"/>
        <w:autoSpaceDN w:val="0"/>
        <w:adjustRightInd w:val="0"/>
        <w:spacing w:after="0" w:line="240" w:lineRule="auto"/>
        <w:rPr>
          <w:rFonts w:ascii="Arial" w:eastAsia="ArialMT" w:hAnsi="Arial" w:cs="Arial"/>
        </w:rPr>
      </w:pP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hAnsi="Arial" w:cs="Arial"/>
          <w:b/>
          <w:bCs/>
          <w:sz w:val="24"/>
          <w:szCs w:val="24"/>
        </w:rPr>
        <w:t xml:space="preserve">C. </w:t>
      </w:r>
      <w:r w:rsidRPr="000C5767">
        <w:rPr>
          <w:rFonts w:ascii="Arial" w:hAnsi="Arial" w:cs="Arial"/>
          <w:b/>
          <w:bCs/>
        </w:rPr>
        <w:t xml:space="preserve">MBC (Mutual Benefit Company) : </w:t>
      </w:r>
      <w:r w:rsidRPr="000C5767">
        <w:rPr>
          <w:rFonts w:ascii="Arial" w:hAnsi="Arial" w:cs="Arial"/>
          <w:i/>
          <w:iCs/>
        </w:rPr>
        <w:t xml:space="preserve">i.e. </w:t>
      </w:r>
      <w:r w:rsidRPr="000C5767">
        <w:rPr>
          <w:rFonts w:ascii="Arial" w:eastAsia="ArialMT" w:hAnsi="Arial" w:cs="Arial"/>
        </w:rPr>
        <w:t>potential Nidhi co. working on lines of Nidhi co. but not so notified by Sec. 620A of Companies Act and Central Government. Company having minimum net owned fund and preference share capital of 10 lacs.</w:t>
      </w:r>
    </w:p>
    <w:p w:rsidR="00516FC3" w:rsidRPr="000C5767" w:rsidRDefault="00516FC3" w:rsidP="00516FC3">
      <w:pPr>
        <w:autoSpaceDE w:val="0"/>
        <w:autoSpaceDN w:val="0"/>
        <w:adjustRightInd w:val="0"/>
        <w:spacing w:after="0" w:line="240" w:lineRule="auto"/>
        <w:rPr>
          <w:rFonts w:ascii="Arial" w:eastAsia="ArialMT" w:hAnsi="Arial" w:cs="Arial"/>
        </w:rPr>
      </w:pP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hAnsi="Arial" w:cs="Arial"/>
          <w:b/>
          <w:bCs/>
          <w:sz w:val="24"/>
          <w:szCs w:val="24"/>
        </w:rPr>
        <w:t xml:space="preserve">D. </w:t>
      </w:r>
      <w:r w:rsidRPr="000C5767">
        <w:rPr>
          <w:rFonts w:ascii="Arial" w:hAnsi="Arial" w:cs="Arial"/>
          <w:b/>
          <w:bCs/>
        </w:rPr>
        <w:t xml:space="preserve">MNBC (Miscellaneous Non-banking co.) : </w:t>
      </w:r>
      <w:r w:rsidRPr="000C5767">
        <w:rPr>
          <w:rFonts w:ascii="Arial" w:hAnsi="Arial" w:cs="Arial"/>
          <w:i/>
          <w:iCs/>
        </w:rPr>
        <w:t xml:space="preserve">i.e. </w:t>
      </w:r>
      <w:r w:rsidRPr="000C5767">
        <w:rPr>
          <w:rFonts w:ascii="Arial" w:eastAsia="ArialMT" w:hAnsi="Arial" w:cs="Arial"/>
        </w:rPr>
        <w:t>Chit Fund company. Where a company enters into an agreement with specified number of subscribers to subscribe a certain sum and everyone of them be entitled to a prize amount. (may be by lot).</w:t>
      </w:r>
    </w:p>
    <w:p w:rsidR="00516FC3" w:rsidRPr="000C5767" w:rsidRDefault="00516FC3" w:rsidP="00516FC3">
      <w:pPr>
        <w:autoSpaceDE w:val="0"/>
        <w:autoSpaceDN w:val="0"/>
        <w:adjustRightInd w:val="0"/>
        <w:spacing w:after="0" w:line="240" w:lineRule="auto"/>
        <w:rPr>
          <w:rFonts w:ascii="Arial" w:eastAsia="ArialMT" w:hAnsi="Arial" w:cs="Arial"/>
        </w:rPr>
      </w:pPr>
    </w:p>
    <w:p w:rsidR="00516FC3" w:rsidRPr="000C5767" w:rsidRDefault="00516FC3" w:rsidP="00516FC3">
      <w:pPr>
        <w:autoSpaceDE w:val="0"/>
        <w:autoSpaceDN w:val="0"/>
        <w:adjustRightInd w:val="0"/>
        <w:spacing w:after="0" w:line="240" w:lineRule="auto"/>
        <w:rPr>
          <w:rFonts w:ascii="Arial" w:hAnsi="Arial" w:cs="Arial"/>
          <w:b/>
          <w:bCs/>
        </w:rPr>
      </w:pPr>
      <w:r w:rsidRPr="000C5767">
        <w:rPr>
          <w:rFonts w:ascii="Arial" w:hAnsi="Arial" w:cs="Arial"/>
          <w:b/>
          <w:bCs/>
        </w:rPr>
        <w:t xml:space="preserve">                                                                 AUDIT PROCEDURE</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1. Ascertaining the business of the Company.</w:t>
      </w:r>
    </w:p>
    <w:p w:rsidR="00516FC3" w:rsidRPr="000C5767" w:rsidRDefault="00516FC3" w:rsidP="00516FC3">
      <w:pPr>
        <w:autoSpaceDE w:val="0"/>
        <w:autoSpaceDN w:val="0"/>
        <w:adjustRightInd w:val="0"/>
        <w:spacing w:after="0" w:line="240" w:lineRule="auto"/>
        <w:rPr>
          <w:rFonts w:ascii="Arial" w:eastAsia="ArialMT" w:hAnsi="Arial" w:cs="Arial"/>
        </w:rPr>
      </w:pP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2. Evaluation of I.C. System.</w:t>
      </w:r>
    </w:p>
    <w:p w:rsidR="00516FC3" w:rsidRPr="000C5767" w:rsidRDefault="00516FC3" w:rsidP="00516FC3">
      <w:pPr>
        <w:autoSpaceDE w:val="0"/>
        <w:autoSpaceDN w:val="0"/>
        <w:adjustRightInd w:val="0"/>
        <w:spacing w:after="0" w:line="240" w:lineRule="auto"/>
        <w:rPr>
          <w:rFonts w:ascii="Arial" w:eastAsia="ArialMT" w:hAnsi="Arial" w:cs="Arial"/>
        </w:rPr>
      </w:pP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3. Registration with RBI which is compulsory for companies having net owned funds of Rs.2 crores. Also ascertain whether it has submitted quarterly return with RBI about liquid Assets within 15 days in specified form. Moreover, it must transfer at least 20% of its net profit to reserve fund before any dividend is declared.</w:t>
      </w:r>
    </w:p>
    <w:p w:rsidR="00516FC3" w:rsidRPr="000C5767" w:rsidRDefault="00516FC3" w:rsidP="00516FC3">
      <w:pPr>
        <w:autoSpaceDE w:val="0"/>
        <w:autoSpaceDN w:val="0"/>
        <w:adjustRightInd w:val="0"/>
        <w:spacing w:after="0" w:line="240" w:lineRule="auto"/>
        <w:rPr>
          <w:rFonts w:ascii="Arial" w:eastAsia="ArialMT" w:hAnsi="Arial" w:cs="Arial"/>
        </w:rPr>
      </w:pP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 xml:space="preserve">4. </w:t>
      </w:r>
      <w:r w:rsidRPr="000C5767">
        <w:rPr>
          <w:rFonts w:ascii="Arial" w:eastAsia="ArialMT" w:hAnsi="Arial" w:cs="Arial"/>
          <w:u w:val="single"/>
        </w:rPr>
        <w:t>NBFC Public Deposit Directions</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 Public deposit in accordance with the credit rating assigned to it.</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(ii) Interest calculations.</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(iii) NBFC accepted public deposit or renewed it only after written application received by the</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 xml:space="preserve"> (iv) Public deposits should be accepted only after advertisement or statement in lieu of </w:t>
      </w:r>
      <w:r w:rsidR="000C5767">
        <w:rPr>
          <w:rFonts w:ascii="Arial" w:eastAsia="ArialMT" w:hAnsi="Arial" w:cs="Arial"/>
        </w:rPr>
        <w:t xml:space="preserve">    </w:t>
      </w:r>
      <w:r w:rsidRPr="000C5767">
        <w:rPr>
          <w:rFonts w:ascii="Arial" w:eastAsia="ArialMT" w:hAnsi="Arial" w:cs="Arial"/>
        </w:rPr>
        <w:t>advertisement has been filed with RBI.</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 Check deposit register (payment on due date).</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(vi) Investment in approved liquid assets and it should be kept in safe custody.</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(vii) Audited statement submitted within 15 days of Holding AGM to RBI.</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(viii) Annual Return within 6 months from close of year submitted to RBI.</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(ix) If not accepting deposits, see Board resolution in this behalf.</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(x) For Group holding investment company, see board resolution to identify the group.</w:t>
      </w:r>
    </w:p>
    <w:p w:rsidR="00516FC3" w:rsidRPr="000C5767" w:rsidRDefault="00516FC3" w:rsidP="00516FC3">
      <w:pPr>
        <w:autoSpaceDE w:val="0"/>
        <w:autoSpaceDN w:val="0"/>
        <w:adjustRightInd w:val="0"/>
        <w:spacing w:after="0" w:line="240" w:lineRule="auto"/>
        <w:rPr>
          <w:rFonts w:ascii="Arial" w:eastAsia="ArialMT" w:hAnsi="Arial" w:cs="Arial"/>
        </w:rPr>
      </w:pP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 xml:space="preserve">5. </w:t>
      </w:r>
      <w:r w:rsidRPr="000C5767">
        <w:rPr>
          <w:rFonts w:ascii="Arial" w:eastAsia="ArialMT" w:hAnsi="Arial" w:cs="Arial"/>
          <w:u w:val="single"/>
        </w:rPr>
        <w:t>NBFC Prudential Norms Directions</w:t>
      </w:r>
    </w:p>
    <w:p w:rsidR="00516FC3" w:rsidRPr="000C5767" w:rsidRDefault="00516FC3" w:rsidP="00516FC3">
      <w:pPr>
        <w:autoSpaceDE w:val="0"/>
        <w:autoSpaceDN w:val="0"/>
        <w:adjustRightInd w:val="0"/>
        <w:spacing w:after="0" w:line="240" w:lineRule="auto"/>
        <w:rPr>
          <w:rFonts w:ascii="Arial" w:hAnsi="Arial" w:cs="Arial"/>
          <w:i/>
          <w:iCs/>
        </w:rPr>
      </w:pPr>
      <w:r w:rsidRPr="000C5767">
        <w:rPr>
          <w:rFonts w:ascii="Arial" w:hAnsi="Arial" w:cs="Arial"/>
          <w:sz w:val="24"/>
          <w:szCs w:val="24"/>
        </w:rPr>
        <w:t xml:space="preserve">(i) </w:t>
      </w:r>
      <w:r w:rsidRPr="000C5767">
        <w:rPr>
          <w:rFonts w:ascii="Arial" w:eastAsia="ArialMT" w:hAnsi="Arial" w:cs="Arial"/>
        </w:rPr>
        <w:t xml:space="preserve">Compliance with income recognition and Accounting Standards, </w:t>
      </w:r>
      <w:r w:rsidRPr="000C5767">
        <w:rPr>
          <w:rFonts w:ascii="Arial" w:hAnsi="Arial" w:cs="Arial"/>
          <w:i/>
          <w:iCs/>
        </w:rPr>
        <w:t>etc.</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(ii) Classification as Standard / Sub-standard / Doubtful / Loss Asset.</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(iii) Income from NPA on realization basis.</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(iv) Previous year’s NPA A/c. continue or not.</w:t>
      </w:r>
    </w:p>
    <w:p w:rsidR="00516FC3" w:rsidRPr="000C5767" w:rsidRDefault="00516FC3" w:rsidP="00516FC3">
      <w:pPr>
        <w:autoSpaceDE w:val="0"/>
        <w:autoSpaceDN w:val="0"/>
        <w:adjustRightInd w:val="0"/>
        <w:spacing w:after="0" w:line="240" w:lineRule="auto"/>
        <w:rPr>
          <w:rFonts w:ascii="Arial" w:hAnsi="Arial" w:cs="Arial"/>
          <w:b/>
          <w:bCs/>
        </w:rPr>
      </w:pPr>
    </w:p>
    <w:p w:rsidR="00516FC3" w:rsidRPr="000C5767" w:rsidRDefault="00516FC3" w:rsidP="00516FC3">
      <w:pPr>
        <w:autoSpaceDE w:val="0"/>
        <w:autoSpaceDN w:val="0"/>
        <w:adjustRightInd w:val="0"/>
        <w:spacing w:after="0" w:line="240" w:lineRule="auto"/>
        <w:rPr>
          <w:rFonts w:ascii="Arial" w:hAnsi="Arial" w:cs="Arial"/>
          <w:b/>
          <w:bCs/>
        </w:rPr>
      </w:pPr>
      <w:r w:rsidRPr="000C5767">
        <w:rPr>
          <w:rFonts w:ascii="Arial" w:hAnsi="Arial" w:cs="Arial"/>
          <w:b/>
          <w:bCs/>
        </w:rPr>
        <w:lastRenderedPageBreak/>
        <w:t xml:space="preserve">                                               CHECK-LIST FOR NBFC</w:t>
      </w:r>
    </w:p>
    <w:p w:rsidR="00516FC3" w:rsidRPr="000C5767" w:rsidRDefault="00516FC3" w:rsidP="00516FC3">
      <w:pPr>
        <w:autoSpaceDE w:val="0"/>
        <w:autoSpaceDN w:val="0"/>
        <w:adjustRightInd w:val="0"/>
        <w:spacing w:after="0" w:line="240" w:lineRule="auto"/>
        <w:rPr>
          <w:rFonts w:ascii="Arial" w:hAnsi="Arial" w:cs="Arial"/>
          <w:b/>
          <w:bCs/>
        </w:rPr>
      </w:pPr>
      <w:r w:rsidRPr="000C5767">
        <w:rPr>
          <w:rFonts w:ascii="Arial" w:hAnsi="Arial" w:cs="Arial"/>
          <w:b/>
          <w:bCs/>
        </w:rPr>
        <w:t>1. Equipment Leasing Finance Company:</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 Check whether proposals for equipment Leasing are accepted only after proper credit appraisal.</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 xml:space="preserve"> (ii) The auditor should verify the adequacy of system in place for ensuring installation of assets and their periodical physical verification.</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 xml:space="preserve"> (iii) The auditor should check the system to monitor whether Asset is adequately insured and properly maintained should be in place.</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 xml:space="preserve"> (iv) Verify the lease agreement.</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 The auditor should ensure that leasing transactions are classified and accounted as per AS-19 “Lease”.</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 xml:space="preserve"> (vi) Ensure that the provisions relating to asset classification, provisioning and income recognition laid down for lease financing by NBFCs are observed.</w:t>
      </w:r>
    </w:p>
    <w:p w:rsidR="00516FC3" w:rsidRPr="000C5767" w:rsidRDefault="00516FC3" w:rsidP="00516FC3">
      <w:pPr>
        <w:autoSpaceDE w:val="0"/>
        <w:autoSpaceDN w:val="0"/>
        <w:adjustRightInd w:val="0"/>
        <w:spacing w:after="0" w:line="240" w:lineRule="auto"/>
        <w:rPr>
          <w:rFonts w:ascii="Arial" w:eastAsia="ArialMT" w:hAnsi="Arial" w:cs="Arial"/>
        </w:rPr>
      </w:pPr>
    </w:p>
    <w:p w:rsidR="00516FC3" w:rsidRPr="000C5767" w:rsidRDefault="00516FC3" w:rsidP="00516FC3">
      <w:pPr>
        <w:autoSpaceDE w:val="0"/>
        <w:autoSpaceDN w:val="0"/>
        <w:adjustRightInd w:val="0"/>
        <w:spacing w:after="0" w:line="240" w:lineRule="auto"/>
        <w:rPr>
          <w:rFonts w:ascii="Arial" w:hAnsi="Arial" w:cs="Arial"/>
          <w:b/>
          <w:bCs/>
        </w:rPr>
      </w:pPr>
      <w:r w:rsidRPr="000C5767">
        <w:rPr>
          <w:rFonts w:ascii="Arial" w:hAnsi="Arial" w:cs="Arial"/>
          <w:b/>
          <w:bCs/>
        </w:rPr>
        <w:t>2. Hire Purchase Finance Company</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 The auditor should ascertain whether there is an adequate appraisal system for extending hire-purchase finance.</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ii. The auditor should verify that payments for assets are made directly to the vendor and the assets are property charged in the name of the NBFC.</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iii. The auditor should ascertain the adequacy of system in place to ensure installation of the asset and their periodic physical verification.</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iv. If the finance is against vehicles, the registration certificate should contain an endorsement in favour of the NBFC.</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 Auditor should verify the system to ensure that hirer have not sold the assets or</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encumbered them.</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vi. Whether hire-purchase instalments are received regularly.</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vii. The auditor should verify that hire purchase assets are adequately insured.</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viii. Check the valuation of goods sold on hire purchase and goods repossessed.</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ix. Examine the method of accounting followed for appropriation of finance charges over the period of hire purchase contract.</w:t>
      </w:r>
    </w:p>
    <w:p w:rsidR="00516FC3" w:rsidRPr="000C5767" w:rsidRDefault="00516FC3" w:rsidP="00516FC3">
      <w:pPr>
        <w:autoSpaceDE w:val="0"/>
        <w:autoSpaceDN w:val="0"/>
        <w:adjustRightInd w:val="0"/>
        <w:spacing w:after="0" w:line="240" w:lineRule="auto"/>
        <w:rPr>
          <w:rFonts w:ascii="Arial" w:eastAsia="ArialMT" w:hAnsi="Arial" w:cs="Arial"/>
        </w:rPr>
      </w:pPr>
    </w:p>
    <w:p w:rsidR="00516FC3" w:rsidRPr="000C5767" w:rsidRDefault="00516FC3" w:rsidP="00516FC3">
      <w:pPr>
        <w:autoSpaceDE w:val="0"/>
        <w:autoSpaceDN w:val="0"/>
        <w:adjustRightInd w:val="0"/>
        <w:spacing w:after="0" w:line="240" w:lineRule="auto"/>
        <w:rPr>
          <w:rFonts w:ascii="Arial" w:hAnsi="Arial" w:cs="Arial"/>
          <w:b/>
          <w:bCs/>
        </w:rPr>
      </w:pPr>
      <w:r w:rsidRPr="000C5767">
        <w:rPr>
          <w:rFonts w:ascii="Arial" w:hAnsi="Arial" w:cs="Arial"/>
          <w:b/>
          <w:bCs/>
        </w:rPr>
        <w:t>3. Investment Company</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 The Auditor should physically verify the investment certificate. If these are lodged with another institute/bank obtain a certificate to that effect.</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hAnsi="Arial" w:cs="Arial"/>
          <w:sz w:val="24"/>
          <w:szCs w:val="24"/>
        </w:rPr>
        <w:t xml:space="preserve"> (ii) </w:t>
      </w:r>
      <w:r w:rsidRPr="000C5767">
        <w:rPr>
          <w:rFonts w:ascii="Arial" w:eastAsia="ArialMT" w:hAnsi="Arial" w:cs="Arial"/>
        </w:rPr>
        <w:t>Verify whether investments made by the NBFC are within limits.</w:t>
      </w:r>
    </w:p>
    <w:p w:rsidR="00516FC3" w:rsidRPr="000C5767" w:rsidRDefault="000C5767"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 xml:space="preserve"> </w:t>
      </w:r>
      <w:r w:rsidR="00516FC3" w:rsidRPr="000C5767">
        <w:rPr>
          <w:rFonts w:ascii="Arial" w:eastAsia="ArialMT" w:hAnsi="Arial" w:cs="Arial"/>
        </w:rPr>
        <w:t>(iii) Verify that no loans have been advanced on the security of its own share.</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(iv) Verify whether income in the form of interest, dividend and capital gains is properly</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recognized.</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hAnsi="Arial" w:cs="Arial"/>
          <w:sz w:val="24"/>
          <w:szCs w:val="24"/>
        </w:rPr>
        <w:t xml:space="preserve">(v) </w:t>
      </w:r>
      <w:r w:rsidRPr="000C5767">
        <w:rPr>
          <w:rFonts w:ascii="Arial" w:eastAsia="ArialMT" w:hAnsi="Arial" w:cs="Arial"/>
        </w:rPr>
        <w:t xml:space="preserve">Test Check the bills/contract notes received from brokers </w:t>
      </w:r>
      <w:r w:rsidRPr="000C5767">
        <w:rPr>
          <w:rFonts w:ascii="Arial" w:hAnsi="Arial" w:cs="Arial"/>
          <w:i/>
          <w:iCs/>
        </w:rPr>
        <w:t xml:space="preserve">w.r.t. </w:t>
      </w:r>
      <w:r w:rsidRPr="000C5767">
        <w:rPr>
          <w:rFonts w:ascii="Arial" w:eastAsia="ArialMT" w:hAnsi="Arial" w:cs="Arial"/>
        </w:rPr>
        <w:t>prices in the stock market</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on the respective dates.</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(vi) Verify the board minutes for authorization of purchase and sale of investments.</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(vii) Shares/Securities held through depository, obtain confirmation from D.P.</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(viii) Check whether investments have been valued as per NBFC Prudential Norms and AS 13</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“Accounting for Investments”.</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(ix) Obtain a list of subsidiary/group company from NBFC.</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(x) Check the investments made in subsidiary / group companies for basis for price paid,</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quantum of investment made etc.</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(xi) Ascertain that investments in unquoted debentures and bonds have not been classified as</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investments but as term loans for the purpose of asst classification, provisioning and</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income recognition.</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(xii) Incase of securities lent / borrowed under securities lending scheme of SEBI, verify the</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lastRenderedPageBreak/>
        <w:t>terms and conditions of the agreement.</w:t>
      </w:r>
    </w:p>
    <w:p w:rsidR="00516FC3" w:rsidRPr="000C5767" w:rsidRDefault="00516FC3" w:rsidP="00516FC3">
      <w:pPr>
        <w:autoSpaceDE w:val="0"/>
        <w:autoSpaceDN w:val="0"/>
        <w:adjustRightInd w:val="0"/>
        <w:spacing w:after="0" w:line="240" w:lineRule="auto"/>
        <w:rPr>
          <w:rFonts w:ascii="Arial" w:hAnsi="Arial" w:cs="Arial"/>
          <w:b/>
          <w:bCs/>
        </w:rPr>
      </w:pPr>
      <w:r w:rsidRPr="000C5767">
        <w:rPr>
          <w:rFonts w:ascii="Arial" w:hAnsi="Arial" w:cs="Arial"/>
          <w:b/>
          <w:bCs/>
        </w:rPr>
        <w:t>4. Loan Company</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 Ascertain whether there is system in place for proper appraisal, and sanction of loans.</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ii. Verify the terms &amp; conditions of loan agreement and security obtained.</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iii. Check whether adequate records are maintained as regards the bill discounting facilities.</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iv. Check whether the loans are within the limits specified for single and group borrowers.</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 No loans should be given of the security of NBFCs own shares.</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vi. Check whether norms for asset classification, provisioning and income recognition as</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specified for credit facilities have been adhered to.</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vii. The auditor may also obtain balance confirmation from the borrowers.</w:t>
      </w:r>
    </w:p>
    <w:p w:rsidR="00516FC3" w:rsidRPr="000C5767" w:rsidRDefault="00516FC3" w:rsidP="00516FC3">
      <w:pPr>
        <w:autoSpaceDE w:val="0"/>
        <w:autoSpaceDN w:val="0"/>
        <w:adjustRightInd w:val="0"/>
        <w:spacing w:after="0" w:line="240" w:lineRule="auto"/>
        <w:rPr>
          <w:rFonts w:ascii="Arial" w:eastAsia="ArialMT" w:hAnsi="Arial" w:cs="Arial"/>
        </w:rPr>
      </w:pPr>
      <w:r w:rsidRPr="000C5767">
        <w:rPr>
          <w:rFonts w:ascii="Arial" w:eastAsia="ArialMT" w:hAnsi="Arial" w:cs="Arial"/>
        </w:rPr>
        <w:t>viii. Check whether there is adequate system to ascertain creditworthiness of client for co.</w:t>
      </w:r>
    </w:p>
    <w:p w:rsidR="00EB7E03" w:rsidRPr="000C5767" w:rsidRDefault="00516FC3" w:rsidP="00516FC3">
      <w:pPr>
        <w:rPr>
          <w:rFonts w:ascii="Arial" w:hAnsi="Arial" w:cs="Arial"/>
        </w:rPr>
      </w:pPr>
      <w:r w:rsidRPr="000C5767">
        <w:rPr>
          <w:rFonts w:ascii="Arial" w:eastAsia="ArialMT" w:hAnsi="Arial" w:cs="Arial"/>
        </w:rPr>
        <w:t>engaged in business of providing short term fund in ICD market.</w:t>
      </w:r>
    </w:p>
    <w:sectPr w:rsidR="00EB7E03" w:rsidRPr="000C5767" w:rsidSect="00EB7E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516FC3"/>
    <w:rsid w:val="000C5767"/>
    <w:rsid w:val="001D2435"/>
    <w:rsid w:val="00516FC3"/>
    <w:rsid w:val="005B3824"/>
    <w:rsid w:val="00790E68"/>
    <w:rsid w:val="00EB7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F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sfdd</dc:creator>
  <cp:keywords/>
  <dc:description/>
  <cp:lastModifiedBy>sfdd</cp:lastModifiedBy>
  <cp:revision>1</cp:revision>
  <dcterms:created xsi:type="dcterms:W3CDTF">2014-03-27T09:21:00Z</dcterms:created>
  <dcterms:modified xsi:type="dcterms:W3CDTF">2014-03-27T09:43:00Z</dcterms:modified>
</cp:coreProperties>
</file>