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DE4DF">
    <v:background id="_x0000_s1025" o:bwmode="white" fillcolor="#ede4df" o:targetscreensize="800,600">
      <v:fill angle="-135" focus="100%" type="gradient"/>
    </v:background>
  </w:background>
  <w:body>
    <w:p w:rsidR="004D066D" w:rsidRDefault="004D066D" w:rsidP="004D066D">
      <w:r w:rsidRPr="00A1699C">
        <w:rPr>
          <w:b/>
          <w:bCs/>
          <w:highlight w:val="lightGray"/>
          <w:shd w:val="clear" w:color="auto" w:fill="D6E3BC" w:themeFill="accent3" w:themeFillTint="66"/>
        </w:rPr>
        <w:t>Guidance notes</w:t>
      </w:r>
      <w:r>
        <w:t>: though neglected by the students, serves the professionals as a guiding light in the</w:t>
      </w:r>
      <w:r>
        <w:br/>
        <w:t>darkness of any confusion. Students may quote these notes as an added flavour to their answers...</w:t>
      </w:r>
    </w:p>
    <w:p w:rsidR="004D066D" w:rsidRDefault="004D066D" w:rsidP="004D066D">
      <w:r>
        <w:t>Some of the guidance notes which may be useful in exams are given hereunder.</w:t>
      </w:r>
    </w:p>
    <w:tbl>
      <w:tblPr>
        <w:tblStyle w:val="TableGrid"/>
        <w:tblpPr w:leftFromText="180" w:rightFromText="180" w:vertAnchor="text" w:tblpY="4"/>
        <w:tblW w:w="0" w:type="auto"/>
        <w:tblLook w:val="04A0"/>
      </w:tblPr>
      <w:tblGrid>
        <w:gridCol w:w="4621"/>
        <w:gridCol w:w="4621"/>
      </w:tblGrid>
      <w:tr w:rsidR="004D066D" w:rsidTr="004D066D">
        <w:tc>
          <w:tcPr>
            <w:tcW w:w="4621" w:type="dxa"/>
            <w:shd w:val="clear" w:color="auto" w:fill="DDD9C3" w:themeFill="background2" w:themeFillShade="E6"/>
            <w:vAlign w:val="bottom"/>
          </w:tcPr>
          <w:p w:rsidR="004D066D" w:rsidRPr="00A1699C" w:rsidRDefault="004D066D" w:rsidP="004D066D">
            <w:pPr>
              <w:jc w:val="center"/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lang w:val="en-US"/>
              </w:rPr>
              <w:br/>
            </w:r>
            <w:r w:rsidRPr="00A1699C">
              <w:rPr>
                <w:b/>
                <w:bCs/>
                <w:sz w:val="28"/>
                <w:szCs w:val="28"/>
                <w:u w:val="single"/>
                <w:lang w:val="en-US"/>
              </w:rPr>
              <w:t>Guidance Note for</w:t>
            </w:r>
            <w:r w:rsidRPr="00A1699C">
              <w:rPr>
                <w:b/>
                <w:bCs/>
                <w:u w:val="single"/>
                <w:lang w:val="en-US"/>
              </w:rPr>
              <w:br/>
            </w:r>
          </w:p>
        </w:tc>
        <w:tc>
          <w:tcPr>
            <w:tcW w:w="4621" w:type="dxa"/>
            <w:shd w:val="clear" w:color="auto" w:fill="DDD9C3" w:themeFill="background2" w:themeFillShade="E6"/>
          </w:tcPr>
          <w:p w:rsidR="004D066D" w:rsidRPr="00A1699C" w:rsidRDefault="004D066D" w:rsidP="004D066D">
            <w:pPr>
              <w:jc w:val="center"/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lang w:val="en-US"/>
              </w:rPr>
              <w:br/>
            </w:r>
            <w:r w:rsidRPr="00A1699C">
              <w:rPr>
                <w:b/>
                <w:bCs/>
                <w:sz w:val="28"/>
                <w:szCs w:val="28"/>
                <w:u w:val="single"/>
                <w:lang w:val="en-US"/>
              </w:rPr>
              <w:t>Its applicability</w:t>
            </w:r>
          </w:p>
        </w:tc>
      </w:tr>
      <w:tr w:rsidR="00362426" w:rsidTr="00FB0F1C">
        <w:tc>
          <w:tcPr>
            <w:tcW w:w="9242" w:type="dxa"/>
            <w:gridSpan w:val="2"/>
          </w:tcPr>
          <w:p w:rsidR="00362426" w:rsidRDefault="00362426" w:rsidP="004D066D">
            <w:pPr>
              <w:rPr>
                <w:rFonts w:ascii="Verdana" w:hAnsi="Verdana"/>
                <w:caps/>
                <w:color w:val="E2D4CC"/>
                <w:sz w:val="20"/>
                <w:szCs w:val="20"/>
                <w:lang w:val="en-US"/>
              </w:rPr>
            </w:pPr>
          </w:p>
          <w:p w:rsidR="00362426" w:rsidRPr="002A1F55" w:rsidRDefault="00362426" w:rsidP="004D066D">
            <w:pPr>
              <w:rPr>
                <w:rFonts w:ascii="Verdana" w:hAnsi="Verdana"/>
                <w:b/>
                <w:bCs/>
                <w:caps/>
                <w:color w:val="404040" w:themeColor="text1" w:themeTint="BF"/>
                <w:sz w:val="20"/>
                <w:szCs w:val="20"/>
                <w:lang w:val="en-US"/>
              </w:rPr>
            </w:pPr>
            <w:r w:rsidRPr="002A1F55">
              <w:rPr>
                <w:rFonts w:ascii="Verdana" w:hAnsi="Verdana"/>
                <w:b/>
                <w:bCs/>
                <w:caps/>
                <w:color w:val="404040" w:themeColor="text1" w:themeTint="BF"/>
                <w:sz w:val="20"/>
                <w:szCs w:val="20"/>
                <w:lang w:val="en-US"/>
              </w:rPr>
              <w:t>auditing related notes:-</w:t>
            </w:r>
          </w:p>
          <w:p w:rsidR="00362426" w:rsidRDefault="00362426" w:rsidP="004D066D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</w:tc>
      </w:tr>
      <w:tr w:rsidR="004D066D" w:rsidTr="004D066D">
        <w:tc>
          <w:tcPr>
            <w:tcW w:w="4621" w:type="dxa"/>
          </w:tcPr>
          <w:p w:rsidR="004D066D" w:rsidRPr="004D066D" w:rsidRDefault="00362426" w:rsidP="0044372C">
            <w:pPr>
              <w:rPr>
                <w:lang w:val="en-US"/>
              </w:rPr>
            </w:pPr>
            <w:r>
              <w:rPr>
                <w:lang w:val="en-US"/>
              </w:rPr>
              <w:t>Proposed Dividend</w:t>
            </w:r>
          </w:p>
        </w:tc>
        <w:tc>
          <w:tcPr>
            <w:tcW w:w="4621" w:type="dxa"/>
          </w:tcPr>
          <w:p w:rsidR="0044372C" w:rsidRDefault="00362426" w:rsidP="004D066D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 xml:space="preserve">Qualify Audit report if </w:t>
            </w:r>
            <w:r w:rsidR="00723D69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not disclosed by management</w:t>
            </w:r>
          </w:p>
        </w:tc>
      </w:tr>
      <w:tr w:rsidR="0044372C" w:rsidTr="004D066D">
        <w:tc>
          <w:tcPr>
            <w:tcW w:w="4621" w:type="dxa"/>
          </w:tcPr>
          <w:p w:rsidR="0044372C" w:rsidRPr="0044372C" w:rsidRDefault="00723D69" w:rsidP="0044372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Independence of Auditor</w:t>
            </w:r>
          </w:p>
        </w:tc>
        <w:tc>
          <w:tcPr>
            <w:tcW w:w="4621" w:type="dxa"/>
          </w:tcPr>
          <w:p w:rsidR="0044372C" w:rsidRDefault="00723D69" w:rsidP="00723D69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Most useful in any question which restricts auditor in his duties.</w:t>
            </w:r>
          </w:p>
        </w:tc>
      </w:tr>
      <w:tr w:rsidR="0044372C" w:rsidTr="004D066D">
        <w:tc>
          <w:tcPr>
            <w:tcW w:w="4621" w:type="dxa"/>
          </w:tcPr>
          <w:p w:rsidR="0044372C" w:rsidRDefault="00723D69" w:rsidP="0044372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Financial statements on Auditor’s letter head</w:t>
            </w:r>
          </w:p>
        </w:tc>
        <w:tc>
          <w:tcPr>
            <w:tcW w:w="4621" w:type="dxa"/>
          </w:tcPr>
          <w:p w:rsidR="0044372C" w:rsidRDefault="00723D69" w:rsidP="0044372C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This note recommends that auditor should avoid it.</w:t>
            </w:r>
          </w:p>
        </w:tc>
      </w:tr>
      <w:tr w:rsidR="00F94089" w:rsidTr="004D066D">
        <w:tc>
          <w:tcPr>
            <w:tcW w:w="4621" w:type="dxa"/>
          </w:tcPr>
          <w:p w:rsidR="00F94089" w:rsidRDefault="00C40584" w:rsidP="00C4058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</w:t>
            </w:r>
            <w:r w:rsidR="00795C06">
              <w:rPr>
                <w:b/>
                <w:bCs/>
                <w:lang w:val="en-US"/>
              </w:rPr>
              <w:t>ec</w:t>
            </w:r>
            <w:r>
              <w:rPr>
                <w:b/>
                <w:bCs/>
                <w:lang w:val="en-US"/>
              </w:rPr>
              <w:t>. 293A Political Contribution</w:t>
            </w:r>
          </w:p>
        </w:tc>
        <w:tc>
          <w:tcPr>
            <w:tcW w:w="4621" w:type="dxa"/>
          </w:tcPr>
          <w:p w:rsidR="00F94089" w:rsidRDefault="00C40584" w:rsidP="00C40584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qualify Audit</w:t>
            </w:r>
            <w:r w:rsidRPr="00C40584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 xml:space="preserve"> report in case the contributions made are beyond the limit specified in the section</w:t>
            </w:r>
          </w:p>
        </w:tc>
      </w:tr>
      <w:tr w:rsidR="00F94089" w:rsidTr="004D066D">
        <w:tc>
          <w:tcPr>
            <w:tcW w:w="4621" w:type="dxa"/>
          </w:tcPr>
          <w:p w:rsidR="00F94089" w:rsidRPr="00F94089" w:rsidRDefault="00795C06" w:rsidP="00795C06">
            <w:pPr>
              <w:rPr>
                <w:b/>
                <w:bCs/>
              </w:rPr>
            </w:pPr>
            <w:r w:rsidRPr="00795C06">
              <w:rPr>
                <w:b/>
                <w:bCs/>
                <w:lang w:val="en-US"/>
              </w:rPr>
              <w:t>Audit of abridged financial statements</w:t>
            </w:r>
          </w:p>
        </w:tc>
        <w:tc>
          <w:tcPr>
            <w:tcW w:w="4621" w:type="dxa"/>
          </w:tcPr>
          <w:p w:rsidR="00F94089" w:rsidRDefault="00795C06" w:rsidP="00795C06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Students may quote this note in question relating to audit of abridge financial statements.</w:t>
            </w:r>
          </w:p>
        </w:tc>
      </w:tr>
      <w:tr w:rsidR="00795C06" w:rsidTr="004D066D">
        <w:tc>
          <w:tcPr>
            <w:tcW w:w="4621" w:type="dxa"/>
          </w:tcPr>
          <w:p w:rsidR="00795C06" w:rsidRPr="00795C06" w:rsidRDefault="00795C06" w:rsidP="00795C0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Audit of Inventories</w:t>
            </w:r>
            <w:r>
              <w:rPr>
                <w:b/>
                <w:bCs/>
                <w:lang w:val="en-US"/>
              </w:rPr>
              <w:br/>
              <w:t>(Cash-Bank balance, Investments, Debtors, Loans, Advances, Miscellaneous Expenditures, Liabilities, Revenue etc.)</w:t>
            </w:r>
          </w:p>
        </w:tc>
        <w:tc>
          <w:tcPr>
            <w:tcW w:w="4621" w:type="dxa"/>
          </w:tcPr>
          <w:p w:rsidR="00795C06" w:rsidRDefault="00795C06" w:rsidP="00795C06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Requires:</w:t>
            </w: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br/>
              <w:t>Physical presence of auditor</w:t>
            </w: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br/>
              <w:t>Third party confirmation</w:t>
            </w: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br/>
              <w:t>Internal control system evaluation</w:t>
            </w:r>
          </w:p>
          <w:p w:rsidR="00795C06" w:rsidRDefault="00795C06" w:rsidP="00795C06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(Whenever question is asked for audit of particular item of balance sheet guidance note with name should be quoted.)</w:t>
            </w:r>
          </w:p>
        </w:tc>
      </w:tr>
      <w:tr w:rsidR="00795C06" w:rsidTr="004D066D">
        <w:tc>
          <w:tcPr>
            <w:tcW w:w="4621" w:type="dxa"/>
          </w:tcPr>
          <w:p w:rsidR="002A1F55" w:rsidRDefault="002A1F55" w:rsidP="00795C0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Audit of:-</w:t>
            </w:r>
          </w:p>
          <w:p w:rsidR="002A1F55" w:rsidRPr="00795C06" w:rsidRDefault="002A1F55" w:rsidP="002A1F5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Banks</w:t>
            </w:r>
            <w:r>
              <w:rPr>
                <w:b/>
                <w:bCs/>
                <w:lang w:val="en-US"/>
              </w:rPr>
              <w:br/>
              <w:t xml:space="preserve">Life / general </w:t>
            </w:r>
            <w:r w:rsidR="00795C06">
              <w:rPr>
                <w:b/>
                <w:bCs/>
                <w:lang w:val="en-US"/>
              </w:rPr>
              <w:t xml:space="preserve">Insurance </w:t>
            </w:r>
            <w:r>
              <w:rPr>
                <w:b/>
                <w:bCs/>
                <w:lang w:val="en-US"/>
              </w:rPr>
              <w:t>Companies</w:t>
            </w:r>
          </w:p>
        </w:tc>
        <w:tc>
          <w:tcPr>
            <w:tcW w:w="4621" w:type="dxa"/>
          </w:tcPr>
          <w:p w:rsidR="00795C06" w:rsidRDefault="002A1F55" w:rsidP="002A1F55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 xml:space="preserve"> Discusses various legal requirements and law applicable to respective entity.</w:t>
            </w:r>
          </w:p>
        </w:tc>
      </w:tr>
      <w:tr w:rsidR="00362426" w:rsidTr="006538F9">
        <w:tc>
          <w:tcPr>
            <w:tcW w:w="9242" w:type="dxa"/>
            <w:gridSpan w:val="2"/>
          </w:tcPr>
          <w:p w:rsidR="00362426" w:rsidRPr="002A1F55" w:rsidRDefault="00362426" w:rsidP="00F94089">
            <w:pPr>
              <w:rPr>
                <w:rFonts w:ascii="Verdana" w:hAnsi="Verdana"/>
                <w:caps/>
                <w:color w:val="404040" w:themeColor="text1" w:themeTint="BF"/>
                <w:sz w:val="20"/>
                <w:szCs w:val="20"/>
                <w:lang w:val="en-US"/>
              </w:rPr>
            </w:pPr>
            <w:r w:rsidRPr="00362426">
              <w:rPr>
                <w:rFonts w:ascii="Verdana" w:hAnsi="Verdana"/>
                <w:color w:val="EDE4DF"/>
                <w:sz w:val="20"/>
                <w:szCs w:val="20"/>
                <w:lang w:val="en-US"/>
              </w:rPr>
              <w:br/>
            </w:r>
            <w:r w:rsidRPr="002A1F55">
              <w:rPr>
                <w:rFonts w:ascii="Verdana" w:hAnsi="Verdana"/>
                <w:b/>
                <w:bCs/>
                <w:caps/>
                <w:color w:val="404040" w:themeColor="text1" w:themeTint="BF"/>
                <w:sz w:val="20"/>
                <w:szCs w:val="20"/>
                <w:lang w:val="en-US"/>
              </w:rPr>
              <w:t>Accounting related notes</w:t>
            </w:r>
            <w:r w:rsidRPr="002A1F55">
              <w:rPr>
                <w:rFonts w:ascii="Verdana" w:hAnsi="Verdana"/>
                <w:caps/>
                <w:color w:val="404040" w:themeColor="text1" w:themeTint="BF"/>
                <w:sz w:val="20"/>
                <w:szCs w:val="20"/>
                <w:lang w:val="en-US"/>
              </w:rPr>
              <w:t>:-</w:t>
            </w:r>
            <w:r w:rsidRPr="002A1F55">
              <w:rPr>
                <w:rFonts w:ascii="Verdana" w:hAnsi="Verdana"/>
                <w:caps/>
                <w:color w:val="404040" w:themeColor="text1" w:themeTint="BF"/>
                <w:sz w:val="20"/>
                <w:szCs w:val="20"/>
                <w:lang w:val="en-US"/>
              </w:rPr>
              <w:br/>
            </w:r>
          </w:p>
        </w:tc>
      </w:tr>
      <w:tr w:rsidR="00F94089" w:rsidTr="004D066D">
        <w:tc>
          <w:tcPr>
            <w:tcW w:w="4621" w:type="dxa"/>
          </w:tcPr>
          <w:p w:rsidR="00F94089" w:rsidRPr="004D066D" w:rsidRDefault="00F94089" w:rsidP="00F94089">
            <w:pPr>
              <w:rPr>
                <w:lang w:val="en-US"/>
              </w:rPr>
            </w:pPr>
            <w:r w:rsidRPr="004D066D">
              <w:rPr>
                <w:lang w:val="en-US"/>
              </w:rPr>
              <w:t>Reserve Created on Revaluation of Fixed Assets</w:t>
            </w:r>
          </w:p>
        </w:tc>
        <w:tc>
          <w:tcPr>
            <w:tcW w:w="4621" w:type="dxa"/>
          </w:tcPr>
          <w:p w:rsidR="00F94089" w:rsidRDefault="00F94089" w:rsidP="00F94089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Used only for the purpose of setting off the additional depreciation occurring due to revaluation of assets.</w:t>
            </w:r>
          </w:p>
        </w:tc>
      </w:tr>
      <w:tr w:rsidR="00F94089" w:rsidTr="004D066D">
        <w:tc>
          <w:tcPr>
            <w:tcW w:w="4621" w:type="dxa"/>
          </w:tcPr>
          <w:p w:rsidR="00F94089" w:rsidRPr="004D066D" w:rsidRDefault="00F94089" w:rsidP="00F94089">
            <w:pPr>
              <w:rPr>
                <w:lang w:val="en-US"/>
              </w:rPr>
            </w:pPr>
            <w:r w:rsidRPr="0044372C">
              <w:rPr>
                <w:b/>
                <w:bCs/>
                <w:lang w:val="en-US"/>
              </w:rPr>
              <w:t>Depreciation in Companies</w:t>
            </w:r>
          </w:p>
        </w:tc>
        <w:tc>
          <w:tcPr>
            <w:tcW w:w="4621" w:type="dxa"/>
          </w:tcPr>
          <w:p w:rsidR="00F94089" w:rsidRDefault="00F94089" w:rsidP="00F94089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Covers:-</w:t>
            </w: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br/>
              <w:t>Rates &amp; Method of Depreciation</w:t>
            </w: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br/>
              <w:t>Change in method</w:t>
            </w:r>
          </w:p>
          <w:p w:rsidR="00F94089" w:rsidRDefault="00F94089" w:rsidP="00F94089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Depreciation in case of revaluation etc.</w:t>
            </w:r>
          </w:p>
        </w:tc>
      </w:tr>
      <w:tr w:rsidR="00F94089" w:rsidTr="004D066D">
        <w:tc>
          <w:tcPr>
            <w:tcW w:w="4621" w:type="dxa"/>
          </w:tcPr>
          <w:p w:rsidR="00F94089" w:rsidRPr="0044372C" w:rsidRDefault="00F94089" w:rsidP="00F9408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Revaluation Reserve</w:t>
            </w:r>
          </w:p>
        </w:tc>
        <w:tc>
          <w:tcPr>
            <w:tcW w:w="4621" w:type="dxa"/>
          </w:tcPr>
          <w:p w:rsidR="00F94089" w:rsidRDefault="00F94089" w:rsidP="00F94089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Bonus shares cannot be issued by capitalization of Revaluation reserve.</w:t>
            </w: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br/>
              <w:t>If issued, it also gives manner of qualification required to be given by the Auditor.</w:t>
            </w:r>
          </w:p>
        </w:tc>
      </w:tr>
      <w:tr w:rsidR="00F94089" w:rsidTr="004D066D">
        <w:tc>
          <w:tcPr>
            <w:tcW w:w="4621" w:type="dxa"/>
          </w:tcPr>
          <w:p w:rsidR="00F94089" w:rsidRDefault="00F94089" w:rsidP="00F9408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Accounting treatment for Excise Duty</w:t>
            </w:r>
          </w:p>
        </w:tc>
        <w:tc>
          <w:tcPr>
            <w:tcW w:w="4621" w:type="dxa"/>
          </w:tcPr>
          <w:p w:rsidR="00F94089" w:rsidRDefault="00F94089" w:rsidP="00F94089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It should be treated as manufacturing expense &amp; should be included in Inventory valuation.</w:t>
            </w:r>
          </w:p>
        </w:tc>
      </w:tr>
      <w:tr w:rsidR="00F94089" w:rsidTr="004D066D">
        <w:tc>
          <w:tcPr>
            <w:tcW w:w="4621" w:type="dxa"/>
          </w:tcPr>
          <w:p w:rsidR="00F94089" w:rsidRDefault="00F94089" w:rsidP="00F9408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Accounting treatment for CENVAT/MODVAT</w:t>
            </w:r>
          </w:p>
        </w:tc>
        <w:tc>
          <w:tcPr>
            <w:tcW w:w="4621" w:type="dxa"/>
          </w:tcPr>
          <w:p w:rsidR="00F94089" w:rsidRDefault="00F94089" w:rsidP="00F94089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How these credits should be treated is given in this note.</w:t>
            </w:r>
          </w:p>
        </w:tc>
      </w:tr>
      <w:tr w:rsidR="00F94089" w:rsidTr="004D066D">
        <w:tc>
          <w:tcPr>
            <w:tcW w:w="4621" w:type="dxa"/>
          </w:tcPr>
          <w:p w:rsidR="00F94089" w:rsidRPr="00F94089" w:rsidRDefault="00F94089" w:rsidP="00F94089">
            <w:pPr>
              <w:rPr>
                <w:b/>
                <w:bCs/>
              </w:rPr>
            </w:pPr>
            <w:r>
              <w:rPr>
                <w:b/>
                <w:bCs/>
              </w:rPr>
              <w:t>Remuneration to Key Management Personnel</w:t>
            </w:r>
          </w:p>
        </w:tc>
        <w:tc>
          <w:tcPr>
            <w:tcW w:w="4621" w:type="dxa"/>
          </w:tcPr>
          <w:p w:rsidR="00F94089" w:rsidRDefault="00F94089" w:rsidP="00F94089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Quote this note in a answer covering related party transaction.</w:t>
            </w:r>
          </w:p>
        </w:tc>
      </w:tr>
    </w:tbl>
    <w:p w:rsidR="00A27FD3" w:rsidRDefault="00A27FD3" w:rsidP="00A27FD3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My request:</w:t>
      </w:r>
    </w:p>
    <w:p w:rsidR="00A27FD3" w:rsidRPr="00A27FD3" w:rsidRDefault="00A27FD3" w:rsidP="00A27FD3">
      <w:pPr>
        <w:pStyle w:val="ListParagraph"/>
        <w:numPr>
          <w:ilvl w:val="0"/>
          <w:numId w:val="4"/>
        </w:numPr>
        <w:rPr>
          <w:b/>
          <w:bCs/>
          <w:lang w:val="en-US"/>
        </w:rPr>
      </w:pPr>
      <w:r w:rsidRPr="00A27FD3">
        <w:rPr>
          <w:b/>
          <w:bCs/>
          <w:lang w:val="en-US"/>
        </w:rPr>
        <w:t xml:space="preserve">Writing the answer to the point is very important in exams. </w:t>
      </w:r>
    </w:p>
    <w:p w:rsidR="00A27FD3" w:rsidRPr="00A27FD3" w:rsidRDefault="00A27FD3" w:rsidP="00A27FD3">
      <w:pPr>
        <w:pStyle w:val="ListParagraph"/>
        <w:numPr>
          <w:ilvl w:val="0"/>
          <w:numId w:val="4"/>
        </w:numPr>
        <w:rPr>
          <w:b/>
          <w:bCs/>
          <w:lang w:val="en-US"/>
        </w:rPr>
      </w:pPr>
      <w:r w:rsidRPr="00A27FD3">
        <w:rPr>
          <w:b/>
          <w:bCs/>
          <w:lang w:val="en-US"/>
        </w:rPr>
        <w:t>E</w:t>
      </w:r>
      <w:r>
        <w:rPr>
          <w:b/>
          <w:bCs/>
          <w:lang w:val="en-US"/>
        </w:rPr>
        <w:t>valuators are appreciating</w:t>
      </w:r>
      <w:r w:rsidRPr="00A27FD3">
        <w:rPr>
          <w:b/>
          <w:bCs/>
          <w:lang w:val="en-US"/>
        </w:rPr>
        <w:t xml:space="preserve"> answers with good presentation and legible view.</w:t>
      </w:r>
    </w:p>
    <w:p w:rsidR="00A27FD3" w:rsidRDefault="00A27FD3" w:rsidP="00A27FD3">
      <w:pPr>
        <w:pStyle w:val="ListParagraph"/>
        <w:numPr>
          <w:ilvl w:val="0"/>
          <w:numId w:val="4"/>
        </w:numPr>
        <w:rPr>
          <w:b/>
          <w:bCs/>
          <w:lang w:val="en-US"/>
        </w:rPr>
      </w:pPr>
      <w:r w:rsidRPr="00A27FD3">
        <w:rPr>
          <w:b/>
          <w:bCs/>
          <w:lang w:val="en-US"/>
        </w:rPr>
        <w:t>Students may quote in their answers applicable Guidance Notes, Accounting or / and Auditing standard.</w:t>
      </w:r>
    </w:p>
    <w:p w:rsidR="00FA7157" w:rsidRDefault="00FA7157" w:rsidP="00FA7157">
      <w:pPr>
        <w:pStyle w:val="ListParagraph"/>
        <w:numPr>
          <w:ilvl w:val="0"/>
          <w:numId w:val="4"/>
        </w:numPr>
        <w:rPr>
          <w:b/>
          <w:bCs/>
          <w:lang w:val="en-US"/>
        </w:rPr>
      </w:pPr>
      <w:r>
        <w:rPr>
          <w:b/>
          <w:bCs/>
          <w:lang w:val="en-US"/>
        </w:rPr>
        <w:t xml:space="preserve">Small small thing matters a lot so keep it in mind. </w:t>
      </w:r>
      <w:r w:rsidRPr="00FA7157">
        <w:rPr>
          <w:b/>
          <w:bCs/>
          <w:caps/>
          <w:sz w:val="24"/>
          <w:szCs w:val="24"/>
          <w:lang w:val="en-US"/>
        </w:rPr>
        <w:t>Presentation matters</w:t>
      </w:r>
      <w:r>
        <w:rPr>
          <w:b/>
          <w:bCs/>
          <w:lang w:val="en-US"/>
        </w:rPr>
        <w:t xml:space="preserve"> (with conceptual content  </w:t>
      </w:r>
      <w:r w:rsidRPr="00FA7157">
        <w:rPr>
          <w:b/>
          <w:bCs/>
          <w:lang w:val="en-US"/>
        </w:rPr>
        <w:sym w:font="Wingdings" w:char="F04A"/>
      </w:r>
      <w:r>
        <w:rPr>
          <w:b/>
          <w:bCs/>
          <w:lang w:val="en-US"/>
        </w:rPr>
        <w:t xml:space="preserve"> ).</w:t>
      </w:r>
    </w:p>
    <w:p w:rsidR="000C4C7C" w:rsidRDefault="00A27FD3" w:rsidP="00E7793A">
      <w:pPr>
        <w:ind w:left="360"/>
        <w:rPr>
          <w:b/>
          <w:bCs/>
          <w:lang w:val="en-US"/>
        </w:rPr>
      </w:pPr>
      <w:r>
        <w:rPr>
          <w:b/>
          <w:bCs/>
          <w:lang w:val="en-US"/>
        </w:rPr>
        <w:t>I could have written my request in a single Para (that might not that much appealing).  So apply this in exam also.</w:t>
      </w:r>
      <w:r w:rsidR="000C4C7C">
        <w:rPr>
          <w:b/>
          <w:bCs/>
          <w:lang w:val="en-US"/>
        </w:rPr>
        <w:t xml:space="preserve"> With that note all the best and best wishes.</w:t>
      </w:r>
      <w:r w:rsidR="00E7793A">
        <w:rPr>
          <w:b/>
          <w:bCs/>
          <w:lang w:val="en-US"/>
        </w:rPr>
        <w:br/>
        <w:t>(</w:t>
      </w:r>
      <w:r w:rsidR="00E7793A" w:rsidRPr="00E7793A">
        <w:rPr>
          <w:sz w:val="16"/>
          <w:szCs w:val="16"/>
          <w:lang w:val="en-US"/>
        </w:rPr>
        <w:t xml:space="preserve">Source OUR HONORED </w:t>
      </w:r>
      <w:r w:rsidR="00E7793A">
        <w:rPr>
          <w:sz w:val="16"/>
          <w:szCs w:val="16"/>
          <w:lang w:val="en-US"/>
        </w:rPr>
        <w:t>“</w:t>
      </w:r>
      <w:r w:rsidR="00E7793A" w:rsidRPr="00E7793A">
        <w:rPr>
          <w:sz w:val="16"/>
          <w:szCs w:val="16"/>
          <w:lang w:val="en-US"/>
        </w:rPr>
        <w:t>THE ICAI</w:t>
      </w:r>
      <w:r w:rsidR="00E7793A">
        <w:rPr>
          <w:sz w:val="16"/>
          <w:szCs w:val="16"/>
          <w:lang w:val="en-US"/>
        </w:rPr>
        <w:t>”</w:t>
      </w:r>
      <w:r w:rsidR="00E7793A">
        <w:rPr>
          <w:b/>
          <w:bCs/>
          <w:lang w:val="en-US"/>
        </w:rPr>
        <w:t>)</w:t>
      </w:r>
      <w:r w:rsidR="000C4C7C">
        <w:rPr>
          <w:b/>
          <w:bCs/>
          <w:lang w:val="en-US"/>
        </w:rPr>
        <w:br/>
      </w:r>
    </w:p>
    <w:p w:rsidR="000C4C7C" w:rsidRDefault="000C4C7C" w:rsidP="00A27FD3">
      <w:pPr>
        <w:ind w:left="360"/>
        <w:rPr>
          <w:b/>
          <w:bCs/>
          <w:lang w:val="en-US"/>
        </w:rPr>
      </w:pPr>
    </w:p>
    <w:p w:rsidR="00A27FD3" w:rsidRPr="00A27FD3" w:rsidRDefault="00A27FD3" w:rsidP="00A27FD3">
      <w:pPr>
        <w:ind w:left="360"/>
        <w:rPr>
          <w:b/>
          <w:bCs/>
          <w:lang w:val="en-US"/>
        </w:rPr>
      </w:pPr>
      <w:r>
        <w:rPr>
          <w:b/>
          <w:bCs/>
          <w:lang w:val="en-US"/>
        </w:rPr>
        <w:br/>
      </w:r>
      <w:r>
        <w:rPr>
          <w:b/>
          <w:bCs/>
          <w:lang w:val="en-US"/>
        </w:rPr>
        <w:br/>
      </w:r>
      <w:r w:rsidR="005A0D1B" w:rsidRPr="005A0D1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46.2pt;width:238.5pt;height:61pt;z-index:251660288;mso-position-horizontal:center;mso-position-horizontal-relative:text;mso-position-vertical-relative:text" fillcolor="#fde9d9 [665]" strokecolor="#404040 [2429]" strokeweight="1pt">
            <v:fill color2="#943634 [2405]" angle="-45" focus="50%" type="gradient"/>
            <v:stroke dashstyle="1 1" endcap="round"/>
            <v:shadow on="t" color="#4d4d4d" opacity="52429f" offset=",3pt"/>
            <v:textpath style="font-family:&quot;Monotype Corsiva&quot;;font-weight:bold;v-text-spacing:78650f;v-text-kern:t" trim="t" fitpath="t" string="Best Wishes"/>
            <w10:wrap type="square"/>
          </v:shape>
        </w:pict>
      </w:r>
    </w:p>
    <w:p w:rsidR="00A27FD3" w:rsidRPr="004D066D" w:rsidRDefault="00A27FD3" w:rsidP="00A27FD3">
      <w:pPr>
        <w:rPr>
          <w:b/>
          <w:bCs/>
          <w:lang w:val="en-US"/>
        </w:rPr>
      </w:pPr>
    </w:p>
    <w:sectPr w:rsidR="00A27FD3" w:rsidRPr="004D066D" w:rsidSect="00A1699C">
      <w:headerReference w:type="default" r:id="rId7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DF9" w:rsidRDefault="00C14DF9" w:rsidP="004D066D">
      <w:pPr>
        <w:spacing w:after="0" w:line="240" w:lineRule="auto"/>
      </w:pPr>
      <w:r>
        <w:separator/>
      </w:r>
    </w:p>
  </w:endnote>
  <w:endnote w:type="continuationSeparator" w:id="1">
    <w:p w:rsidR="00C14DF9" w:rsidRDefault="00C14DF9" w:rsidP="004D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DF9" w:rsidRDefault="00C14DF9" w:rsidP="004D066D">
      <w:pPr>
        <w:spacing w:after="0" w:line="240" w:lineRule="auto"/>
      </w:pPr>
      <w:r>
        <w:separator/>
      </w:r>
    </w:p>
  </w:footnote>
  <w:footnote w:type="continuationSeparator" w:id="1">
    <w:p w:rsidR="00C14DF9" w:rsidRDefault="00C14DF9" w:rsidP="004D0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089" w:rsidRPr="00F94089" w:rsidRDefault="005A0D1B" w:rsidP="00F94089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sdt>
      <w:sdtPr>
        <w:rPr>
          <w:rFonts w:asciiTheme="majorHAnsi" w:eastAsiaTheme="majorEastAsia" w:hAnsiTheme="majorHAnsi" w:cstheme="majorBidi"/>
          <w:b/>
          <w:bCs/>
          <w:sz w:val="32"/>
          <w:szCs w:val="32"/>
        </w:rPr>
        <w:alias w:val="Title"/>
        <w:id w:val="77738743"/>
        <w:placeholder>
          <w:docPart w:val="DDACEE2369E8492EB4A9A80D30824E8A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F94089" w:rsidRPr="00F94089">
          <w:rPr>
            <w:rFonts w:asciiTheme="majorHAnsi" w:eastAsiaTheme="majorEastAsia" w:hAnsiTheme="majorHAnsi" w:cstheme="majorBidi"/>
            <w:b/>
            <w:bCs/>
            <w:sz w:val="32"/>
            <w:szCs w:val="32"/>
          </w:rPr>
          <w:t>Jignesh Vaghela(CA, M.Com)</w:t>
        </w:r>
      </w:sdtContent>
    </w:sdt>
  </w:p>
  <w:p w:rsidR="004D066D" w:rsidRDefault="004D06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7E6"/>
    <w:multiLevelType w:val="hybridMultilevel"/>
    <w:tmpl w:val="018A47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D7363"/>
    <w:multiLevelType w:val="hybridMultilevel"/>
    <w:tmpl w:val="C618174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640F09"/>
    <w:multiLevelType w:val="hybridMultilevel"/>
    <w:tmpl w:val="23B089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730A3E"/>
    <w:multiLevelType w:val="hybridMultilevel"/>
    <w:tmpl w:val="234A46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characterSpacingControl w:val="doNotCompress"/>
  <w:hdrShapeDefaults>
    <o:shapedefaults v:ext="edit" spidmax="6146">
      <o:colormru v:ext="edit" colors="#e7fde3,#ede4df"/>
      <o:colormenu v:ext="edit" fillcolor="#ede4df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D066D"/>
    <w:rsid w:val="000C4C7C"/>
    <w:rsid w:val="002A1F55"/>
    <w:rsid w:val="00362426"/>
    <w:rsid w:val="0044372C"/>
    <w:rsid w:val="004D066D"/>
    <w:rsid w:val="005A0D1B"/>
    <w:rsid w:val="00723D69"/>
    <w:rsid w:val="00795C06"/>
    <w:rsid w:val="00A1699C"/>
    <w:rsid w:val="00A27FD3"/>
    <w:rsid w:val="00AA62B1"/>
    <w:rsid w:val="00C14DF9"/>
    <w:rsid w:val="00C40584"/>
    <w:rsid w:val="00E7793A"/>
    <w:rsid w:val="00F94089"/>
    <w:rsid w:val="00FA7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e7fde3,#ede4df"/>
      <o:colormenu v:ext="edit" fillcolor="#ede4d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06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D0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66D"/>
  </w:style>
  <w:style w:type="paragraph" w:styleId="Footer">
    <w:name w:val="footer"/>
    <w:basedOn w:val="Normal"/>
    <w:link w:val="FooterChar"/>
    <w:uiPriority w:val="99"/>
    <w:semiHidden/>
    <w:unhideWhenUsed/>
    <w:rsid w:val="004D0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066D"/>
  </w:style>
  <w:style w:type="paragraph" w:styleId="BalloonText">
    <w:name w:val="Balloon Text"/>
    <w:basedOn w:val="Normal"/>
    <w:link w:val="BalloonTextChar"/>
    <w:uiPriority w:val="99"/>
    <w:semiHidden/>
    <w:unhideWhenUsed/>
    <w:rsid w:val="00F9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0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7F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ACEE2369E8492EB4A9A80D30824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F6361-D210-4472-ADE5-32EB607A9910}"/>
      </w:docPartPr>
      <w:docPartBody>
        <w:p w:rsidR="00560202" w:rsidRDefault="008D3709" w:rsidP="008D3709">
          <w:pPr>
            <w:pStyle w:val="DDACEE2369E8492EB4A9A80D30824E8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D3709"/>
    <w:rsid w:val="0023632E"/>
    <w:rsid w:val="00560202"/>
    <w:rsid w:val="008D3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F4E77B7F484723A28FE1921CAED44D">
    <w:name w:val="3FF4E77B7F484723A28FE1921CAED44D"/>
    <w:rsid w:val="008D3709"/>
  </w:style>
  <w:style w:type="paragraph" w:customStyle="1" w:styleId="DDACEE2369E8492EB4A9A80D30824E8A">
    <w:name w:val="DDACEE2369E8492EB4A9A80D30824E8A"/>
    <w:rsid w:val="008D370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Jignesh Vaghela(CA, M.Com)</dc:title>
  <dc:subject/>
  <dc:creator>snb</dc:creator>
  <cp:keywords/>
  <dc:description/>
  <cp:lastModifiedBy>snb</cp:lastModifiedBy>
  <cp:revision>9</cp:revision>
  <dcterms:created xsi:type="dcterms:W3CDTF">2013-11-09T11:17:00Z</dcterms:created>
  <dcterms:modified xsi:type="dcterms:W3CDTF">2013-11-09T12:26:00Z</dcterms:modified>
</cp:coreProperties>
</file>