
<file path=[Content_Types].xml><?xml version="1.0" encoding="utf-8"?>
<Types xmlns="http://schemas.openxmlformats.org/package/2006/content-types">
  <Override PartName="/word/diagrams/quickStyle1.xml" ContentType="application/vnd.openxmlformats-officedocument.drawingml.diagramStyle+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A72" w:rsidRPr="00F56EEC" w:rsidRDefault="00295A72" w:rsidP="00295A72">
      <w:pPr>
        <w:pStyle w:val="IntenseQuote"/>
        <w:tabs>
          <w:tab w:val="left" w:pos="9026"/>
        </w:tabs>
        <w:ind w:left="0" w:right="-46"/>
        <w:jc w:val="both"/>
        <w:rPr>
          <w:rFonts w:cstheme="minorHAnsi"/>
          <w:color w:val="auto"/>
        </w:rPr>
      </w:pPr>
      <w:r w:rsidRPr="00F56EEC">
        <w:rPr>
          <w:rFonts w:cstheme="minorHAnsi"/>
          <w:color w:val="auto"/>
        </w:rPr>
        <w:t>Audit Working Papers (</w:t>
      </w:r>
      <w:r>
        <w:rPr>
          <w:rFonts w:cstheme="minorHAnsi"/>
          <w:color w:val="auto"/>
        </w:rPr>
        <w:t>M’10, N’11, M’07, and N’12)</w:t>
      </w:r>
    </w:p>
    <w:p w:rsidR="00295A72" w:rsidRDefault="00295A72" w:rsidP="00295A72">
      <w:pPr>
        <w:jc w:val="both"/>
        <w:rPr>
          <w:rFonts w:cstheme="minorHAnsi"/>
        </w:rPr>
      </w:pPr>
      <w:r w:rsidRPr="000D5ADB">
        <w:rPr>
          <w:noProof/>
          <w:lang w:val="en-US"/>
        </w:rPr>
        <w:drawing>
          <wp:inline distT="0" distB="0" distL="0" distR="0">
            <wp:extent cx="1066800" cy="1381125"/>
            <wp:effectExtent l="19050" t="0" r="0" b="0"/>
            <wp:docPr id="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066800" cy="1381125"/>
                    </a:xfrm>
                    <a:prstGeom prst="rect">
                      <a:avLst/>
                    </a:prstGeom>
                    <a:noFill/>
                    <a:ln w="9525">
                      <a:noFill/>
                      <a:miter lim="800000"/>
                      <a:headEnd/>
                      <a:tailEnd/>
                    </a:ln>
                  </pic:spPr>
                </pic:pic>
              </a:graphicData>
            </a:graphic>
          </wp:inline>
        </w:drawing>
      </w:r>
    </w:p>
    <w:p w:rsidR="00295A72" w:rsidRPr="000D5ADB" w:rsidRDefault="00295A72" w:rsidP="00295A72">
      <w:pPr>
        <w:pBdr>
          <w:top w:val="single" w:sz="4" w:space="1" w:color="auto"/>
          <w:left w:val="single" w:sz="4" w:space="4" w:color="auto"/>
          <w:bottom w:val="single" w:sz="4" w:space="1" w:color="auto"/>
          <w:right w:val="single" w:sz="4" w:space="4" w:color="auto"/>
        </w:pBdr>
        <w:jc w:val="both"/>
        <w:rPr>
          <w:rFonts w:cstheme="minorHAnsi"/>
          <w:i/>
        </w:rPr>
      </w:pPr>
      <w:r w:rsidRPr="000D5ADB">
        <w:rPr>
          <w:rFonts w:cstheme="minorHAnsi"/>
          <w:i/>
        </w:rPr>
        <w:t>Theme</w:t>
      </w:r>
    </w:p>
    <w:p w:rsidR="00295A72" w:rsidRPr="000D5ADB" w:rsidRDefault="00295A72" w:rsidP="00295A72">
      <w:pPr>
        <w:pBdr>
          <w:top w:val="single" w:sz="4" w:space="1" w:color="auto"/>
          <w:left w:val="single" w:sz="4" w:space="4" w:color="auto"/>
          <w:bottom w:val="single" w:sz="4" w:space="1" w:color="auto"/>
          <w:right w:val="single" w:sz="4" w:space="4" w:color="auto"/>
        </w:pBdr>
        <w:jc w:val="both"/>
        <w:rPr>
          <w:rFonts w:cstheme="minorHAnsi"/>
          <w:i/>
        </w:rPr>
      </w:pPr>
      <w:r w:rsidRPr="000D5ADB">
        <w:rPr>
          <w:rFonts w:cstheme="minorHAnsi"/>
          <w:i/>
        </w:rPr>
        <w:t>If you haven’t documented, you haven’t performed</w:t>
      </w:r>
    </w:p>
    <w:p w:rsidR="00295A72" w:rsidRDefault="00295A72" w:rsidP="00295A72">
      <w:pPr>
        <w:jc w:val="both"/>
        <w:rPr>
          <w:rFonts w:cstheme="minorHAnsi"/>
        </w:rPr>
      </w:pPr>
      <w:r w:rsidRPr="00FA3139">
        <w:rPr>
          <w:rFonts w:cstheme="minorHAnsi"/>
        </w:rPr>
        <w:t>SA 230 “Audit Documentation</w:t>
      </w:r>
      <w:r w:rsidRPr="00CF137A">
        <w:rPr>
          <w:rFonts w:cstheme="minorHAnsi"/>
          <w:b/>
        </w:rPr>
        <w:t xml:space="preserve"> (N’08)</w:t>
      </w:r>
    </w:p>
    <w:p w:rsidR="00295A72" w:rsidRDefault="00295A72" w:rsidP="00295A72">
      <w:pPr>
        <w:ind w:right="78"/>
        <w:jc w:val="both"/>
        <w:rPr>
          <w:b/>
        </w:rPr>
      </w:pPr>
      <w:r>
        <w:rPr>
          <w:b/>
        </w:rPr>
        <w:t xml:space="preserve">Utility:  </w:t>
      </w:r>
    </w:p>
    <w:p w:rsidR="00295A72" w:rsidRPr="00FA3139" w:rsidRDefault="00295A72" w:rsidP="00295A72">
      <w:pPr>
        <w:pStyle w:val="ListParagraph"/>
        <w:numPr>
          <w:ilvl w:val="0"/>
          <w:numId w:val="2"/>
        </w:numPr>
        <w:ind w:left="360"/>
        <w:jc w:val="both"/>
        <w:rPr>
          <w:rFonts w:cstheme="minorHAnsi"/>
        </w:rPr>
      </w:pPr>
      <w:r w:rsidRPr="00FA3139">
        <w:rPr>
          <w:rFonts w:cstheme="minorHAnsi"/>
        </w:rPr>
        <w:t>Document the Nature, Timing and Extent of Audit Procedures (NTE) performed</w:t>
      </w:r>
    </w:p>
    <w:p w:rsidR="00295A72" w:rsidRPr="00FA3139" w:rsidRDefault="00295A72" w:rsidP="00295A72">
      <w:pPr>
        <w:pStyle w:val="ListParagraph"/>
        <w:numPr>
          <w:ilvl w:val="0"/>
          <w:numId w:val="2"/>
        </w:numPr>
        <w:ind w:left="360"/>
        <w:jc w:val="both"/>
        <w:rPr>
          <w:rFonts w:cstheme="minorHAnsi"/>
        </w:rPr>
      </w:pPr>
      <w:r w:rsidRPr="00FA3139">
        <w:rPr>
          <w:rFonts w:cstheme="minorHAnsi"/>
        </w:rPr>
        <w:t>Responsibility since audit staff sign the checklists</w:t>
      </w:r>
    </w:p>
    <w:p w:rsidR="00295A72" w:rsidRPr="00FA3139" w:rsidRDefault="00295A72" w:rsidP="00295A72">
      <w:pPr>
        <w:pStyle w:val="ListParagraph"/>
        <w:numPr>
          <w:ilvl w:val="0"/>
          <w:numId w:val="2"/>
        </w:numPr>
        <w:ind w:left="360"/>
        <w:jc w:val="both"/>
        <w:rPr>
          <w:rFonts w:cstheme="minorHAnsi"/>
        </w:rPr>
      </w:pPr>
      <w:r>
        <w:rPr>
          <w:rFonts w:cstheme="minorHAnsi"/>
        </w:rPr>
        <w:t>Allows senior to r</w:t>
      </w:r>
      <w:r w:rsidRPr="00FA3139">
        <w:rPr>
          <w:rFonts w:cstheme="minorHAnsi"/>
        </w:rPr>
        <w:t>eview audit work</w:t>
      </w:r>
      <w:r>
        <w:rPr>
          <w:rFonts w:cstheme="minorHAnsi"/>
        </w:rPr>
        <w:t xml:space="preserve"> by juniors</w:t>
      </w:r>
    </w:p>
    <w:p w:rsidR="00295A72" w:rsidRDefault="00295A72" w:rsidP="00295A72">
      <w:pPr>
        <w:pStyle w:val="ListParagraph"/>
        <w:numPr>
          <w:ilvl w:val="0"/>
          <w:numId w:val="2"/>
        </w:numPr>
        <w:ind w:left="360"/>
        <w:jc w:val="both"/>
        <w:rPr>
          <w:rFonts w:cstheme="minorHAnsi"/>
        </w:rPr>
      </w:pPr>
      <w:r>
        <w:rPr>
          <w:rFonts w:cstheme="minorHAnsi"/>
        </w:rPr>
        <w:t>E</w:t>
      </w:r>
      <w:r w:rsidRPr="00FA3139">
        <w:rPr>
          <w:rFonts w:cstheme="minorHAnsi"/>
        </w:rPr>
        <w:t>vidence in the court of law when a charge of negligence is brought against the auditor.</w:t>
      </w:r>
    </w:p>
    <w:p w:rsidR="00295A72" w:rsidRPr="00FA3139" w:rsidRDefault="00295A72" w:rsidP="00295A72">
      <w:pPr>
        <w:pStyle w:val="ListParagraph"/>
        <w:numPr>
          <w:ilvl w:val="0"/>
          <w:numId w:val="2"/>
        </w:numPr>
        <w:ind w:left="360"/>
        <w:jc w:val="both"/>
        <w:rPr>
          <w:rFonts w:cstheme="minorHAnsi"/>
        </w:rPr>
      </w:pPr>
      <w:r w:rsidRPr="00DA67B9">
        <w:rPr>
          <w:rFonts w:cstheme="minorHAnsi"/>
        </w:rPr>
        <w:t>Enab</w:t>
      </w:r>
      <w:r>
        <w:rPr>
          <w:rFonts w:cstheme="minorHAnsi"/>
        </w:rPr>
        <w:t xml:space="preserve">le </w:t>
      </w:r>
      <w:r w:rsidRPr="00DA67B9">
        <w:rPr>
          <w:rFonts w:cstheme="minorHAnsi"/>
        </w:rPr>
        <w:t>the conduct of quality control reviews and inspections in accordance with SQC 1.</w:t>
      </w:r>
    </w:p>
    <w:p w:rsidR="00295A72" w:rsidRDefault="00295A72" w:rsidP="00295A72">
      <w:pPr>
        <w:jc w:val="both"/>
        <w:rPr>
          <w:b/>
        </w:rPr>
      </w:pPr>
      <w:r>
        <w:rPr>
          <w:b/>
        </w:rPr>
        <w:t xml:space="preserve">Ownership: </w:t>
      </w:r>
    </w:p>
    <w:p w:rsidR="00295A72" w:rsidRDefault="00295A72" w:rsidP="00295A72">
      <w:pPr>
        <w:jc w:val="both"/>
      </w:pPr>
      <w:r>
        <w:t xml:space="preserve">Working papers are the property of the auditor and he may, at his discretion, make portions of or extracts from his working papers to his client. </w:t>
      </w:r>
    </w:p>
    <w:p w:rsidR="00295A72" w:rsidRDefault="00295A72" w:rsidP="00295A72">
      <w:pPr>
        <w:jc w:val="both"/>
        <w:rPr>
          <w:b/>
        </w:rPr>
      </w:pPr>
      <w:r>
        <w:rPr>
          <w:b/>
        </w:rPr>
        <w:t xml:space="preserve">Custody </w:t>
      </w:r>
    </w:p>
    <w:p w:rsidR="00295A72" w:rsidRDefault="00295A72" w:rsidP="00295A72">
      <w:pPr>
        <w:jc w:val="both"/>
      </w:pPr>
      <w:r>
        <w:t xml:space="preserve">Ensure safe custody and confidentiality of his working papers. </w:t>
      </w:r>
    </w:p>
    <w:p w:rsidR="00295A72" w:rsidRDefault="00295A72" w:rsidP="00295A72">
      <w:pPr>
        <w:spacing w:after="0"/>
        <w:ind w:right="77"/>
        <w:jc w:val="both"/>
        <w:rPr>
          <w:b/>
          <w:i/>
        </w:rPr>
      </w:pPr>
      <w:r>
        <w:rPr>
          <w:b/>
          <w:i/>
        </w:rPr>
        <w:t>Retention</w:t>
      </w:r>
    </w:p>
    <w:p w:rsidR="00295A72" w:rsidRDefault="00295A72" w:rsidP="00295A72">
      <w:pPr>
        <w:spacing w:after="0"/>
        <w:ind w:right="77"/>
        <w:jc w:val="both"/>
        <w:rPr>
          <w:b/>
          <w:i/>
        </w:rPr>
      </w:pPr>
    </w:p>
    <w:p w:rsidR="00295A72" w:rsidRDefault="00295A72" w:rsidP="00295A72">
      <w:pPr>
        <w:spacing w:after="0"/>
        <w:ind w:right="77"/>
        <w:jc w:val="both"/>
      </w:pPr>
      <w:proofErr w:type="gramStart"/>
      <w:r>
        <w:t>Long enough to meet any legal or professional requirements of record retention.</w:t>
      </w:r>
      <w:proofErr w:type="gramEnd"/>
      <w:r>
        <w:t xml:space="preserve"> No time limit in SA-230</w:t>
      </w:r>
    </w:p>
    <w:p w:rsidR="00295A72" w:rsidRDefault="00295A72" w:rsidP="00295A72">
      <w:pPr>
        <w:spacing w:after="0"/>
        <w:ind w:right="77"/>
        <w:jc w:val="both"/>
      </w:pPr>
    </w:p>
    <w:p w:rsidR="00295A72" w:rsidRDefault="00295A72" w:rsidP="00295A72">
      <w:pPr>
        <w:spacing w:after="0"/>
        <w:ind w:right="77"/>
        <w:jc w:val="both"/>
      </w:pPr>
      <w:r>
        <w:t>SQC 1 – Firms should establish policies/procedures for retaining engagement documentation.</w:t>
      </w:r>
    </w:p>
    <w:p w:rsidR="00295A72" w:rsidRDefault="00295A72" w:rsidP="00295A72">
      <w:pPr>
        <w:spacing w:after="0"/>
        <w:ind w:right="77"/>
        <w:jc w:val="both"/>
      </w:pPr>
    </w:p>
    <w:p w:rsidR="00295A72" w:rsidRDefault="00295A72" w:rsidP="00295A72">
      <w:pPr>
        <w:spacing w:after="0"/>
        <w:ind w:right="77"/>
        <w:jc w:val="both"/>
      </w:pPr>
      <w:r>
        <w:t xml:space="preserve">Time &gt;7 years from the date of the auditor's report.  </w:t>
      </w:r>
    </w:p>
    <w:p w:rsidR="00295A72" w:rsidRDefault="00295A72" w:rsidP="00295A72">
      <w:pPr>
        <w:spacing w:after="0"/>
        <w:ind w:right="77"/>
        <w:jc w:val="both"/>
      </w:pPr>
    </w:p>
    <w:p w:rsidR="00295A72" w:rsidRDefault="00295A72" w:rsidP="00295A72">
      <w:pPr>
        <w:jc w:val="both"/>
        <w:rPr>
          <w:rFonts w:cstheme="minorHAnsi"/>
          <w:b/>
        </w:rPr>
      </w:pPr>
      <w:r w:rsidRPr="00FA3139">
        <w:rPr>
          <w:rFonts w:cstheme="minorHAnsi"/>
          <w:b/>
        </w:rPr>
        <w:t>Ownership and Custody of Working Papers</w:t>
      </w:r>
      <w:r>
        <w:rPr>
          <w:rFonts w:cstheme="minorHAnsi"/>
          <w:b/>
        </w:rPr>
        <w:t xml:space="preserve"> (N’10)</w:t>
      </w:r>
    </w:p>
    <w:p w:rsidR="00295A72" w:rsidRDefault="00295A72" w:rsidP="00295A72">
      <w:pPr>
        <w:jc w:val="both"/>
        <w:rPr>
          <w:rFonts w:cstheme="minorHAnsi"/>
        </w:rPr>
      </w:pPr>
      <w:r w:rsidRPr="00BF4EC7">
        <w:rPr>
          <w:rFonts w:cstheme="minorHAnsi"/>
        </w:rPr>
        <w:lastRenderedPageBreak/>
        <w:t xml:space="preserve">SA 230 on Audit Documentation </w:t>
      </w:r>
    </w:p>
    <w:p w:rsidR="00295A72" w:rsidRPr="00DA67B9" w:rsidRDefault="00295A72" w:rsidP="00295A72">
      <w:pPr>
        <w:jc w:val="both"/>
        <w:rPr>
          <w:rFonts w:cstheme="minorHAnsi"/>
        </w:rPr>
      </w:pPr>
      <w:r w:rsidRPr="00DA67B9">
        <w:rPr>
          <w:rFonts w:cstheme="minorHAnsi"/>
        </w:rPr>
        <w:t>(SQC) 1, “Quality Control for Firms that Perform Audits and Reviews of Historical Financial Information, and Other Assurance and Related Services Engagements”</w:t>
      </w:r>
    </w:p>
    <w:p w:rsidR="00295A72" w:rsidRDefault="00295A72" w:rsidP="00295A72">
      <w:pPr>
        <w:jc w:val="both"/>
        <w:rPr>
          <w:rFonts w:cstheme="minorHAnsi"/>
        </w:rPr>
      </w:pPr>
      <w:r w:rsidRPr="00DA67B9">
        <w:rPr>
          <w:rFonts w:cstheme="minorHAnsi"/>
        </w:rPr>
        <w:t>Working papers</w:t>
      </w:r>
      <w:r>
        <w:rPr>
          <w:rFonts w:cstheme="minorHAnsi"/>
        </w:rPr>
        <w:t xml:space="preserve"> = Auditor’s </w:t>
      </w:r>
      <w:r w:rsidRPr="00DA67B9">
        <w:rPr>
          <w:rFonts w:cstheme="minorHAnsi"/>
        </w:rPr>
        <w:t>property and he is entitled to retain them</w:t>
      </w:r>
    </w:p>
    <w:p w:rsidR="00295A72" w:rsidRPr="00FA3139" w:rsidRDefault="00295A72" w:rsidP="00295A72">
      <w:pPr>
        <w:jc w:val="both"/>
        <w:rPr>
          <w:rFonts w:cstheme="minorHAnsi"/>
        </w:rPr>
      </w:pPr>
      <w:r>
        <w:rPr>
          <w:rFonts w:cstheme="minorHAnsi"/>
        </w:rPr>
        <w:t xml:space="preserve">He may, </w:t>
      </w:r>
      <w:r w:rsidRPr="00DA67B9">
        <w:rPr>
          <w:rFonts w:cstheme="minorHAnsi"/>
        </w:rPr>
        <w:t>at his discretion, make portions of or extracts from his working papers available to his client.</w:t>
      </w:r>
    </w:p>
    <w:p w:rsidR="00295A72" w:rsidRPr="00FA3139" w:rsidRDefault="00295A72" w:rsidP="00295A72">
      <w:pPr>
        <w:pBdr>
          <w:top w:val="single" w:sz="4" w:space="1" w:color="auto"/>
          <w:left w:val="single" w:sz="4" w:space="4" w:color="auto"/>
          <w:bottom w:val="single" w:sz="4" w:space="1" w:color="auto"/>
          <w:right w:val="single" w:sz="4" w:space="4" w:color="auto"/>
        </w:pBdr>
        <w:jc w:val="both"/>
        <w:rPr>
          <w:rFonts w:cstheme="minorHAnsi"/>
        </w:rPr>
      </w:pPr>
      <w:r w:rsidRPr="00BF4EC7">
        <w:rPr>
          <w:rFonts w:cstheme="minorHAnsi"/>
          <w:i/>
        </w:rPr>
        <w:t>Chantery Martin &amp; Co.</w:t>
      </w:r>
      <w:r w:rsidRPr="00BF4EC7">
        <w:rPr>
          <w:rFonts w:cstheme="minorHAnsi"/>
        </w:rPr>
        <w:t xml:space="preserve"> v. </w:t>
      </w:r>
      <w:r w:rsidRPr="00BF4EC7">
        <w:rPr>
          <w:rFonts w:cstheme="minorHAnsi"/>
          <w:i/>
        </w:rPr>
        <w:t>Martin</w:t>
      </w:r>
    </w:p>
    <w:p w:rsidR="00295A72" w:rsidRDefault="00295A72" w:rsidP="00295A72">
      <w:pPr>
        <w:spacing w:after="90" w:line="250" w:lineRule="auto"/>
        <w:jc w:val="both"/>
        <w:rPr>
          <w:rFonts w:cstheme="minorHAnsi"/>
        </w:rPr>
      </w:pPr>
      <w:r w:rsidRPr="00BF4EC7">
        <w:rPr>
          <w:rFonts w:cstheme="minorHAnsi"/>
        </w:rPr>
        <w:t>Part I of the Second Schedule to the Chartered Accountants Act, 1949:</w:t>
      </w:r>
    </w:p>
    <w:p w:rsidR="00295A72" w:rsidRPr="00DA67B9" w:rsidRDefault="00295A72" w:rsidP="00295A72">
      <w:pPr>
        <w:spacing w:after="90" w:line="250" w:lineRule="auto"/>
        <w:jc w:val="both"/>
        <w:rPr>
          <w:rFonts w:cstheme="minorHAnsi"/>
          <w:i/>
        </w:rPr>
      </w:pPr>
      <w:r w:rsidRPr="00DA67B9">
        <w:rPr>
          <w:rFonts w:cstheme="minorHAnsi"/>
          <w:i/>
        </w:rPr>
        <w:t xml:space="preserve">"A Chartered Accountant in practice shall be deemed to be guilty of </w:t>
      </w:r>
      <w:r w:rsidRPr="000D5ADB">
        <w:rPr>
          <w:rFonts w:cstheme="minorHAnsi"/>
          <w:b/>
          <w:i/>
        </w:rPr>
        <w:t>professional misconduct</w:t>
      </w:r>
      <w:r w:rsidRPr="00DA67B9">
        <w:rPr>
          <w:rFonts w:cstheme="minorHAnsi"/>
          <w:i/>
        </w:rPr>
        <w:t xml:space="preserve">, if he discloses information acquired in the course of his professional engagement to any person other than his client, without the consent of his client or otherwise than as required by any law for the time being in force." </w:t>
      </w:r>
    </w:p>
    <w:p w:rsidR="00295A72" w:rsidRPr="000D5ADB" w:rsidRDefault="00295A72" w:rsidP="00295A72">
      <w:pPr>
        <w:pStyle w:val="IntenseQuote"/>
        <w:tabs>
          <w:tab w:val="left" w:pos="9026"/>
        </w:tabs>
        <w:ind w:left="0" w:right="-46"/>
        <w:jc w:val="both"/>
        <w:rPr>
          <w:rFonts w:cstheme="minorHAnsi"/>
          <w:color w:val="auto"/>
          <w:u w:val="single"/>
        </w:rPr>
      </w:pPr>
      <w:r w:rsidRPr="000D5ADB">
        <w:rPr>
          <w:rFonts w:cstheme="minorHAnsi"/>
          <w:color w:val="auto"/>
          <w:u w:val="single"/>
        </w:rPr>
        <w:t>Case Study</w:t>
      </w:r>
    </w:p>
    <w:p w:rsidR="00295A72" w:rsidRPr="00F56EEC" w:rsidRDefault="00295A72" w:rsidP="00295A72">
      <w:pPr>
        <w:pStyle w:val="IntenseQuote"/>
        <w:tabs>
          <w:tab w:val="left" w:pos="9026"/>
        </w:tabs>
        <w:ind w:left="0" w:right="-46"/>
        <w:jc w:val="both"/>
        <w:rPr>
          <w:rFonts w:cstheme="minorHAnsi"/>
          <w:color w:val="auto"/>
        </w:rPr>
      </w:pPr>
      <w:r w:rsidRPr="00F56EEC">
        <w:rPr>
          <w:rFonts w:cstheme="minorHAnsi"/>
          <w:color w:val="auto"/>
        </w:rPr>
        <w:t xml:space="preserve">Should branch auditor of a company comply with the request </w:t>
      </w:r>
      <w:r>
        <w:rPr>
          <w:rFonts w:cstheme="minorHAnsi"/>
          <w:color w:val="auto"/>
        </w:rPr>
        <w:t xml:space="preserve">of the principal auditor of the </w:t>
      </w:r>
      <w:r w:rsidRPr="00F56EEC">
        <w:rPr>
          <w:rFonts w:cstheme="minorHAnsi"/>
          <w:color w:val="auto"/>
        </w:rPr>
        <w:t xml:space="preserve">company to give photocopy of the working papers pertaining to the branch audit?  Explain. </w:t>
      </w:r>
    </w:p>
    <w:p w:rsidR="00295A72" w:rsidRPr="00FA3139" w:rsidRDefault="00295A72" w:rsidP="00295A72">
      <w:pPr>
        <w:jc w:val="both"/>
        <w:rPr>
          <w:rFonts w:cstheme="minorHAnsi"/>
        </w:rPr>
      </w:pPr>
      <w:r w:rsidRPr="00FA3139">
        <w:rPr>
          <w:rFonts w:cstheme="minorHAnsi"/>
        </w:rPr>
        <w:t>SA 230 “Audit Documentation”</w:t>
      </w:r>
    </w:p>
    <w:p w:rsidR="00295A72" w:rsidRPr="00FA3139" w:rsidRDefault="00295A72" w:rsidP="00295A72">
      <w:pPr>
        <w:ind w:right="77"/>
        <w:jc w:val="both"/>
        <w:rPr>
          <w:rFonts w:cstheme="minorHAnsi"/>
        </w:rPr>
      </w:pPr>
      <w:r w:rsidRPr="00FA3139">
        <w:rPr>
          <w:rFonts w:cstheme="minorHAnsi"/>
        </w:rPr>
        <w:t xml:space="preserve">Working papers = Auditor’s property </w:t>
      </w:r>
    </w:p>
    <w:p w:rsidR="00295A72" w:rsidRPr="00FA3139" w:rsidRDefault="00295A72" w:rsidP="00295A72">
      <w:pPr>
        <w:ind w:right="77"/>
        <w:jc w:val="both"/>
        <w:rPr>
          <w:rFonts w:cstheme="minorHAnsi"/>
        </w:rPr>
      </w:pPr>
      <w:r w:rsidRPr="00FA3139">
        <w:rPr>
          <w:rFonts w:cstheme="minorHAnsi"/>
        </w:rPr>
        <w:t xml:space="preserve">Maintain custody and confidentiality and allow access only if you feel appropriate </w:t>
      </w:r>
    </w:p>
    <w:p w:rsidR="00295A72" w:rsidRPr="00FA3139" w:rsidRDefault="00295A72" w:rsidP="00295A72">
      <w:pPr>
        <w:ind w:right="77"/>
        <w:jc w:val="both"/>
        <w:rPr>
          <w:rFonts w:cstheme="minorHAnsi"/>
        </w:rPr>
      </w:pPr>
      <w:r w:rsidRPr="00FA3139">
        <w:rPr>
          <w:rFonts w:cstheme="minorHAnsi"/>
        </w:rPr>
        <w:t xml:space="preserve">Not required to provide the clients or other auditors’ access to his working papers. </w:t>
      </w:r>
    </w:p>
    <w:p w:rsidR="00295A72" w:rsidRPr="00FA3139" w:rsidRDefault="00295A72" w:rsidP="00295A72">
      <w:pPr>
        <w:ind w:right="77"/>
        <w:jc w:val="both"/>
        <w:rPr>
          <w:rFonts w:cstheme="minorHAnsi"/>
        </w:rPr>
      </w:pPr>
      <w:r w:rsidRPr="00FA3139">
        <w:rPr>
          <w:rFonts w:cstheme="minorHAnsi"/>
        </w:rPr>
        <w:t xml:space="preserve">Main auditor of the company does not have right of access to the working papers of the branch auditor. </w:t>
      </w:r>
    </w:p>
    <w:p w:rsidR="00295A72" w:rsidRDefault="00295A72" w:rsidP="00295A72">
      <w:pPr>
        <w:ind w:right="77"/>
        <w:jc w:val="both"/>
        <w:rPr>
          <w:rFonts w:cstheme="minorHAnsi"/>
        </w:rPr>
      </w:pPr>
      <w:r w:rsidRPr="00FA3139">
        <w:rPr>
          <w:rFonts w:cstheme="minorHAnsi"/>
        </w:rPr>
        <w:t xml:space="preserve">In the case of a company, the main auditor has, to consider the report of the branch auditor and has a right to seek clarification  and to visit the branch but cannot ask for the copy of working paper and therefore, the branch auditor is under no compulsion to give photocopies of his working paper to the principal auditor. </w:t>
      </w:r>
    </w:p>
    <w:p w:rsidR="00295A72" w:rsidRDefault="00295A72" w:rsidP="00295A72">
      <w:pPr>
        <w:jc w:val="both"/>
        <w:rPr>
          <w:rFonts w:cstheme="minorHAnsi"/>
          <w:b/>
        </w:rPr>
      </w:pPr>
      <w:r>
        <w:rPr>
          <w:rFonts w:cstheme="minorHAnsi"/>
          <w:b/>
          <w:noProof/>
          <w:lang w:val="en-US"/>
        </w:rPr>
        <w:lastRenderedPageBreak/>
        <w:drawing>
          <wp:inline distT="0" distB="0" distL="0" distR="0">
            <wp:extent cx="4800600" cy="2038350"/>
            <wp:effectExtent l="19050" t="0" r="19050" b="0"/>
            <wp:docPr id="253"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295A72" w:rsidRPr="00FA3139" w:rsidRDefault="00295A72" w:rsidP="00295A72">
      <w:pPr>
        <w:jc w:val="both"/>
        <w:rPr>
          <w:rFonts w:cstheme="minorHAnsi"/>
          <w:b/>
        </w:rPr>
      </w:pPr>
      <w:r w:rsidRPr="00FA3139">
        <w:rPr>
          <w:rFonts w:cstheme="minorHAnsi"/>
          <w:b/>
        </w:rPr>
        <w:t xml:space="preserve">Permanent Audit </w:t>
      </w:r>
      <w:proofErr w:type="gramStart"/>
      <w:r w:rsidRPr="00FA3139">
        <w:rPr>
          <w:rFonts w:cstheme="minorHAnsi"/>
          <w:b/>
        </w:rPr>
        <w:t>file</w:t>
      </w:r>
      <w:proofErr w:type="gramEnd"/>
      <w:r>
        <w:rPr>
          <w:rFonts w:cstheme="minorHAnsi"/>
          <w:b/>
        </w:rPr>
        <w:t xml:space="preserve"> (N’05)</w:t>
      </w:r>
    </w:p>
    <w:p w:rsidR="00295A72" w:rsidRPr="00FA3139" w:rsidRDefault="00295A72" w:rsidP="00295A72">
      <w:pPr>
        <w:pStyle w:val="ListParagraph"/>
        <w:numPr>
          <w:ilvl w:val="0"/>
          <w:numId w:val="1"/>
        </w:numPr>
        <w:ind w:left="90" w:firstLine="270"/>
        <w:jc w:val="both"/>
        <w:rPr>
          <w:rFonts w:cstheme="minorHAnsi"/>
        </w:rPr>
      </w:pPr>
      <w:r w:rsidRPr="00FA3139">
        <w:rPr>
          <w:rFonts w:cstheme="minorHAnsi"/>
        </w:rPr>
        <w:t>Legal and organisational structure</w:t>
      </w:r>
    </w:p>
    <w:p w:rsidR="00295A72" w:rsidRPr="00FA3139" w:rsidRDefault="00295A72" w:rsidP="00295A72">
      <w:pPr>
        <w:pStyle w:val="ListParagraph"/>
        <w:numPr>
          <w:ilvl w:val="0"/>
          <w:numId w:val="1"/>
        </w:numPr>
        <w:ind w:left="90" w:firstLine="270"/>
        <w:jc w:val="both"/>
        <w:rPr>
          <w:rFonts w:cstheme="minorHAnsi"/>
        </w:rPr>
      </w:pPr>
      <w:r w:rsidRPr="00FA3139">
        <w:rPr>
          <w:rFonts w:cstheme="minorHAnsi"/>
        </w:rPr>
        <w:t>Memorandum and Articles (MoA and AoA)</w:t>
      </w:r>
    </w:p>
    <w:p w:rsidR="00295A72" w:rsidRPr="00FA3139" w:rsidRDefault="00295A72" w:rsidP="00295A72">
      <w:pPr>
        <w:pStyle w:val="ListParagraph"/>
        <w:numPr>
          <w:ilvl w:val="0"/>
          <w:numId w:val="1"/>
        </w:numPr>
        <w:ind w:left="90" w:firstLine="270"/>
        <w:jc w:val="both"/>
        <w:rPr>
          <w:rFonts w:cstheme="minorHAnsi"/>
        </w:rPr>
      </w:pPr>
      <w:r w:rsidRPr="00FA3139">
        <w:rPr>
          <w:rFonts w:cstheme="minorHAnsi"/>
        </w:rPr>
        <w:t>Important legal documents, agreements and minutes</w:t>
      </w:r>
    </w:p>
    <w:p w:rsidR="00295A72" w:rsidRPr="00FA3139" w:rsidRDefault="00295A72" w:rsidP="00295A72">
      <w:pPr>
        <w:pStyle w:val="ListParagraph"/>
        <w:numPr>
          <w:ilvl w:val="0"/>
          <w:numId w:val="1"/>
        </w:numPr>
        <w:ind w:left="90" w:firstLine="270"/>
        <w:jc w:val="both"/>
        <w:rPr>
          <w:rFonts w:cstheme="minorHAnsi"/>
        </w:rPr>
      </w:pPr>
      <w:r w:rsidRPr="00FA3139">
        <w:rPr>
          <w:rFonts w:cstheme="minorHAnsi"/>
        </w:rPr>
        <w:t>Evaluation of the internal controls flowcharts etc</w:t>
      </w:r>
    </w:p>
    <w:p w:rsidR="00295A72" w:rsidRPr="00FA3139" w:rsidRDefault="00295A72" w:rsidP="00295A72">
      <w:pPr>
        <w:pStyle w:val="ListParagraph"/>
        <w:numPr>
          <w:ilvl w:val="0"/>
          <w:numId w:val="1"/>
        </w:numPr>
        <w:ind w:left="90" w:firstLine="270"/>
        <w:jc w:val="both"/>
        <w:rPr>
          <w:rFonts w:cstheme="minorHAnsi"/>
        </w:rPr>
      </w:pPr>
      <w:r w:rsidRPr="00FA3139">
        <w:rPr>
          <w:rFonts w:cstheme="minorHAnsi"/>
        </w:rPr>
        <w:t>Audited financial statements for previous years</w:t>
      </w:r>
    </w:p>
    <w:p w:rsidR="00295A72" w:rsidRPr="00FA3139" w:rsidRDefault="00295A72" w:rsidP="00295A72">
      <w:pPr>
        <w:pStyle w:val="ListParagraph"/>
        <w:numPr>
          <w:ilvl w:val="0"/>
          <w:numId w:val="1"/>
        </w:numPr>
        <w:ind w:left="90" w:firstLine="270"/>
        <w:jc w:val="both"/>
        <w:rPr>
          <w:rFonts w:cstheme="minorHAnsi"/>
        </w:rPr>
      </w:pPr>
      <w:r w:rsidRPr="00FA3139">
        <w:rPr>
          <w:rFonts w:cstheme="minorHAnsi"/>
        </w:rPr>
        <w:t>Ratio Analysis</w:t>
      </w:r>
    </w:p>
    <w:p w:rsidR="00295A72" w:rsidRPr="00FA3139" w:rsidRDefault="00295A72" w:rsidP="00295A72">
      <w:pPr>
        <w:pStyle w:val="ListParagraph"/>
        <w:numPr>
          <w:ilvl w:val="0"/>
          <w:numId w:val="1"/>
        </w:numPr>
        <w:ind w:left="90" w:firstLine="270"/>
        <w:jc w:val="both"/>
        <w:rPr>
          <w:rFonts w:cstheme="minorHAnsi"/>
        </w:rPr>
      </w:pPr>
      <w:r w:rsidRPr="00FA3139">
        <w:rPr>
          <w:rFonts w:cstheme="minorHAnsi"/>
        </w:rPr>
        <w:t>Management letters issued by the auditor</w:t>
      </w:r>
    </w:p>
    <w:p w:rsidR="00295A72" w:rsidRPr="00FA3139" w:rsidRDefault="00295A72" w:rsidP="00295A72">
      <w:pPr>
        <w:pStyle w:val="ListParagraph"/>
        <w:numPr>
          <w:ilvl w:val="0"/>
          <w:numId w:val="1"/>
        </w:numPr>
        <w:ind w:left="90" w:firstLine="270"/>
        <w:jc w:val="both"/>
        <w:rPr>
          <w:rFonts w:cstheme="minorHAnsi"/>
        </w:rPr>
      </w:pPr>
      <w:r w:rsidRPr="00FA3139">
        <w:rPr>
          <w:rFonts w:cstheme="minorHAnsi"/>
        </w:rPr>
        <w:t>Communication with the retiring auditor (if)</w:t>
      </w:r>
    </w:p>
    <w:p w:rsidR="00295A72" w:rsidRPr="00FA3139" w:rsidRDefault="00295A72" w:rsidP="00295A72">
      <w:pPr>
        <w:pStyle w:val="ListParagraph"/>
        <w:numPr>
          <w:ilvl w:val="0"/>
          <w:numId w:val="1"/>
        </w:numPr>
        <w:ind w:left="90" w:firstLine="270"/>
        <w:jc w:val="both"/>
        <w:rPr>
          <w:rFonts w:cstheme="minorHAnsi"/>
        </w:rPr>
      </w:pPr>
      <w:r w:rsidRPr="00FA3139">
        <w:rPr>
          <w:rFonts w:cstheme="minorHAnsi"/>
        </w:rPr>
        <w:t>Significant accounting policies</w:t>
      </w:r>
    </w:p>
    <w:p w:rsidR="00295A72" w:rsidRPr="00FA3139" w:rsidRDefault="00295A72" w:rsidP="00295A72">
      <w:pPr>
        <w:pStyle w:val="ListParagraph"/>
        <w:numPr>
          <w:ilvl w:val="0"/>
          <w:numId w:val="1"/>
        </w:numPr>
        <w:ind w:left="90" w:firstLine="270"/>
        <w:jc w:val="both"/>
        <w:rPr>
          <w:rFonts w:cstheme="minorHAnsi"/>
        </w:rPr>
      </w:pPr>
      <w:r w:rsidRPr="00FA3139">
        <w:rPr>
          <w:rFonts w:cstheme="minorHAnsi"/>
        </w:rPr>
        <w:t>Significant audit observations of previous years</w:t>
      </w:r>
    </w:p>
    <w:p w:rsidR="00295A72" w:rsidRPr="00FA3139" w:rsidRDefault="00295A72" w:rsidP="00295A72">
      <w:pPr>
        <w:jc w:val="both"/>
        <w:rPr>
          <w:rFonts w:cstheme="minorHAnsi"/>
          <w:b/>
        </w:rPr>
      </w:pPr>
      <w:r w:rsidRPr="00FA3139">
        <w:rPr>
          <w:rFonts w:cstheme="minorHAnsi"/>
          <w:b/>
        </w:rPr>
        <w:t>Current Audit file</w:t>
      </w:r>
    </w:p>
    <w:p w:rsidR="00295A72" w:rsidRPr="00FA3139" w:rsidRDefault="00295A72" w:rsidP="00295A72">
      <w:pPr>
        <w:pStyle w:val="ListParagraph"/>
        <w:numPr>
          <w:ilvl w:val="0"/>
          <w:numId w:val="1"/>
        </w:numPr>
        <w:jc w:val="both"/>
        <w:rPr>
          <w:rFonts w:cstheme="minorHAnsi"/>
        </w:rPr>
      </w:pPr>
      <w:r w:rsidRPr="00FA3139">
        <w:rPr>
          <w:rFonts w:cstheme="minorHAnsi"/>
        </w:rPr>
        <w:t>Correspondence relating to acceptance of annual reappointment</w:t>
      </w:r>
    </w:p>
    <w:p w:rsidR="00295A72" w:rsidRPr="00FA3139" w:rsidRDefault="00295A72" w:rsidP="00295A72">
      <w:pPr>
        <w:pStyle w:val="ListParagraph"/>
        <w:numPr>
          <w:ilvl w:val="0"/>
          <w:numId w:val="1"/>
        </w:numPr>
        <w:jc w:val="both"/>
        <w:rPr>
          <w:rFonts w:cstheme="minorHAnsi"/>
        </w:rPr>
      </w:pPr>
      <w:r w:rsidRPr="00FA3139">
        <w:rPr>
          <w:rFonts w:cstheme="minorHAnsi"/>
        </w:rPr>
        <w:t>Minutes of Board Meetings and General Meetings</w:t>
      </w:r>
    </w:p>
    <w:p w:rsidR="00295A72" w:rsidRPr="00FA3139" w:rsidRDefault="00295A72" w:rsidP="00295A72">
      <w:pPr>
        <w:pStyle w:val="ListParagraph"/>
        <w:numPr>
          <w:ilvl w:val="0"/>
          <w:numId w:val="1"/>
        </w:numPr>
        <w:jc w:val="both"/>
        <w:rPr>
          <w:rFonts w:cstheme="minorHAnsi"/>
        </w:rPr>
      </w:pPr>
      <w:r w:rsidRPr="00FA3139">
        <w:rPr>
          <w:rFonts w:cstheme="minorHAnsi"/>
        </w:rPr>
        <w:t>Nature, Timing and Extent of Audit Procedures (NTE) performed</w:t>
      </w:r>
    </w:p>
    <w:p w:rsidR="00295A72" w:rsidRPr="00FA3139" w:rsidRDefault="00295A72" w:rsidP="00295A72">
      <w:pPr>
        <w:pStyle w:val="ListParagraph"/>
        <w:numPr>
          <w:ilvl w:val="0"/>
          <w:numId w:val="1"/>
        </w:numPr>
        <w:jc w:val="both"/>
        <w:rPr>
          <w:rFonts w:cstheme="minorHAnsi"/>
        </w:rPr>
      </w:pPr>
      <w:r w:rsidRPr="00FA3139">
        <w:rPr>
          <w:rFonts w:cstheme="minorHAnsi"/>
        </w:rPr>
        <w:t>Review Notes of work done by juniors</w:t>
      </w:r>
    </w:p>
    <w:p w:rsidR="00295A72" w:rsidRPr="00FA3139" w:rsidRDefault="00295A72" w:rsidP="00295A72">
      <w:pPr>
        <w:pStyle w:val="ListParagraph"/>
        <w:numPr>
          <w:ilvl w:val="0"/>
          <w:numId w:val="1"/>
        </w:numPr>
        <w:jc w:val="both"/>
        <w:rPr>
          <w:rFonts w:cstheme="minorHAnsi"/>
        </w:rPr>
      </w:pPr>
      <w:r w:rsidRPr="00FA3139">
        <w:rPr>
          <w:rFonts w:cstheme="minorHAnsi"/>
        </w:rPr>
        <w:t>Management representation</w:t>
      </w:r>
    </w:p>
    <w:p w:rsidR="00295A72" w:rsidRPr="00FA3139" w:rsidRDefault="00295A72" w:rsidP="00295A72">
      <w:pPr>
        <w:pStyle w:val="ListParagraph"/>
        <w:numPr>
          <w:ilvl w:val="0"/>
          <w:numId w:val="1"/>
        </w:numPr>
        <w:jc w:val="both"/>
        <w:rPr>
          <w:rFonts w:cstheme="minorHAnsi"/>
        </w:rPr>
      </w:pPr>
      <w:r w:rsidRPr="00FA3139">
        <w:rPr>
          <w:rFonts w:cstheme="minorHAnsi"/>
        </w:rPr>
        <w:t>Conclusions reached by the auditor concerning significant aspects</w:t>
      </w:r>
    </w:p>
    <w:p w:rsidR="00295A72" w:rsidRPr="00FA3139" w:rsidRDefault="00295A72" w:rsidP="00295A72">
      <w:pPr>
        <w:pBdr>
          <w:top w:val="single" w:sz="4" w:space="1" w:color="auto"/>
          <w:left w:val="single" w:sz="4" w:space="4" w:color="auto"/>
          <w:bottom w:val="single" w:sz="4" w:space="0" w:color="auto"/>
          <w:right w:val="single" w:sz="4" w:space="4" w:color="auto"/>
        </w:pBdr>
        <w:ind w:left="360"/>
        <w:jc w:val="both"/>
        <w:rPr>
          <w:rFonts w:cstheme="minorHAnsi"/>
          <w:i/>
        </w:rPr>
      </w:pPr>
      <w:r w:rsidRPr="00FA3139">
        <w:rPr>
          <w:rFonts w:cstheme="minorHAnsi"/>
          <w:i/>
        </w:rPr>
        <w:t xml:space="preserve">When you took admission in college, your master data, photo, PAN card, details of you found copying during </w:t>
      </w:r>
      <w:r>
        <w:rPr>
          <w:rFonts w:cstheme="minorHAnsi"/>
          <w:i/>
        </w:rPr>
        <w:t xml:space="preserve">board </w:t>
      </w:r>
      <w:r w:rsidRPr="00FA3139">
        <w:rPr>
          <w:rFonts w:cstheme="minorHAnsi"/>
          <w:i/>
        </w:rPr>
        <w:t xml:space="preserve">exams </w:t>
      </w:r>
      <w:r>
        <w:rPr>
          <w:rFonts w:cstheme="minorHAnsi"/>
          <w:i/>
        </w:rPr>
        <w:t>(if) Vs Your semester-</w:t>
      </w:r>
      <w:r w:rsidRPr="00FA3139">
        <w:rPr>
          <w:rFonts w:cstheme="minorHAnsi"/>
          <w:i/>
        </w:rPr>
        <w:t>wise attendance % and report cards of exams</w:t>
      </w:r>
    </w:p>
    <w:p w:rsidR="00295A72" w:rsidRPr="00F56EEC" w:rsidRDefault="00295A72" w:rsidP="00295A72">
      <w:pPr>
        <w:pStyle w:val="IntenseQuote"/>
        <w:tabs>
          <w:tab w:val="left" w:pos="9026"/>
        </w:tabs>
        <w:ind w:left="0" w:right="-46"/>
        <w:jc w:val="both"/>
        <w:rPr>
          <w:rFonts w:cstheme="minorHAnsi"/>
          <w:color w:val="auto"/>
        </w:rPr>
      </w:pPr>
      <w:r w:rsidRPr="00F56EEC">
        <w:rPr>
          <w:rFonts w:cstheme="minorHAnsi"/>
          <w:color w:val="auto"/>
        </w:rPr>
        <w:t>Audit Note Book</w:t>
      </w:r>
      <w:r>
        <w:rPr>
          <w:rFonts w:cstheme="minorHAnsi"/>
          <w:color w:val="auto"/>
        </w:rPr>
        <w:t xml:space="preserve"> (N’01, M’08)</w:t>
      </w:r>
    </w:p>
    <w:p w:rsidR="00295A72" w:rsidRPr="00FA3139" w:rsidRDefault="00295A72" w:rsidP="00295A72">
      <w:pPr>
        <w:spacing w:after="105" w:line="250" w:lineRule="auto"/>
        <w:ind w:right="77"/>
        <w:jc w:val="both"/>
        <w:rPr>
          <w:rFonts w:cstheme="minorHAnsi"/>
        </w:rPr>
      </w:pPr>
      <w:r w:rsidRPr="00FA3139">
        <w:rPr>
          <w:rFonts w:cstheme="minorHAnsi"/>
        </w:rPr>
        <w:t>Contains record of matters observed during audit and constitutes audit working papers.</w:t>
      </w:r>
    </w:p>
    <w:p w:rsidR="00295A72" w:rsidRPr="00FA3139" w:rsidRDefault="00295A72" w:rsidP="00295A72">
      <w:pPr>
        <w:spacing w:after="105" w:line="250" w:lineRule="auto"/>
        <w:ind w:right="77"/>
        <w:jc w:val="both"/>
        <w:rPr>
          <w:rFonts w:cstheme="minorHAnsi"/>
        </w:rPr>
      </w:pPr>
      <w:r w:rsidRPr="00FA3139">
        <w:rPr>
          <w:rFonts w:cstheme="minorHAnsi"/>
        </w:rPr>
        <w:t>Audit note book = available for reference later on</w:t>
      </w:r>
    </w:p>
    <w:p w:rsidR="00295A72" w:rsidRPr="00FA3139" w:rsidRDefault="00295A72" w:rsidP="00295A72">
      <w:pPr>
        <w:spacing w:after="105" w:line="250" w:lineRule="auto"/>
        <w:ind w:right="77"/>
        <w:jc w:val="both"/>
        <w:rPr>
          <w:rFonts w:cstheme="minorHAnsi"/>
        </w:rPr>
      </w:pPr>
      <w:r>
        <w:rPr>
          <w:rFonts w:cstheme="minorHAnsi"/>
        </w:rPr>
        <w:t>A</w:t>
      </w:r>
      <w:r w:rsidRPr="00FA3139">
        <w:rPr>
          <w:rFonts w:cstheme="minorHAnsi"/>
        </w:rPr>
        <w:t>udit note book =</w:t>
      </w:r>
      <w:r>
        <w:rPr>
          <w:rFonts w:cstheme="minorHAnsi"/>
        </w:rPr>
        <w:t xml:space="preserve"> C</w:t>
      </w:r>
      <w:r w:rsidRPr="00FA3139">
        <w:rPr>
          <w:rFonts w:cstheme="minorHAnsi"/>
        </w:rPr>
        <w:t xml:space="preserve">urrent file.  </w:t>
      </w:r>
    </w:p>
    <w:p w:rsidR="00295A72" w:rsidRPr="00FA3139" w:rsidRDefault="00295A72" w:rsidP="00295A72">
      <w:pPr>
        <w:jc w:val="both"/>
        <w:rPr>
          <w:rFonts w:cstheme="minorHAnsi"/>
        </w:rPr>
      </w:pPr>
      <w:r w:rsidRPr="00FA3139">
        <w:rPr>
          <w:rFonts w:cstheme="minorHAnsi"/>
        </w:rPr>
        <w:lastRenderedPageBreak/>
        <w:t>Provides a v</w:t>
      </w:r>
      <w:r>
        <w:rPr>
          <w:rFonts w:cstheme="minorHAnsi"/>
        </w:rPr>
        <w:t xml:space="preserve">aluable help to the auditor in tracing </w:t>
      </w:r>
      <w:r w:rsidRPr="00FA3139">
        <w:rPr>
          <w:rFonts w:cstheme="minorHAnsi"/>
        </w:rPr>
        <w:t xml:space="preserve">up the </w:t>
      </w:r>
      <w:r>
        <w:rPr>
          <w:rFonts w:cstheme="minorHAnsi"/>
        </w:rPr>
        <w:t>flow</w:t>
      </w:r>
      <w:r w:rsidRPr="00FA3139">
        <w:rPr>
          <w:rFonts w:cstheme="minorHAnsi"/>
        </w:rPr>
        <w:t xml:space="preserve"> of work when the concerned assistant is away or the work is stopped temporarily.  </w:t>
      </w:r>
    </w:p>
    <w:p w:rsidR="00295A72" w:rsidRPr="00FA3139" w:rsidRDefault="00295A72" w:rsidP="00295A72">
      <w:pPr>
        <w:jc w:val="both"/>
        <w:rPr>
          <w:rFonts w:cstheme="minorHAnsi"/>
        </w:rPr>
      </w:pPr>
      <w:r w:rsidRPr="00FA3139">
        <w:rPr>
          <w:rFonts w:cstheme="minorHAnsi"/>
        </w:rPr>
        <w:t xml:space="preserve">Recording queries </w:t>
      </w:r>
      <w:r>
        <w:rPr>
          <w:rFonts w:cstheme="minorHAnsi"/>
        </w:rPr>
        <w:t xml:space="preserve">that were </w:t>
      </w:r>
      <w:r w:rsidRPr="00FA3139">
        <w:rPr>
          <w:rFonts w:cstheme="minorHAnsi"/>
        </w:rPr>
        <w:t>raised in the course of the wor</w:t>
      </w:r>
      <w:r>
        <w:rPr>
          <w:rFonts w:cstheme="minorHAnsi"/>
        </w:rPr>
        <w:t>k and their state of disposal</w:t>
      </w:r>
    </w:p>
    <w:p w:rsidR="00295A72" w:rsidRDefault="00295A72" w:rsidP="00295A72">
      <w:pPr>
        <w:jc w:val="both"/>
        <w:rPr>
          <w:rFonts w:cstheme="minorHAnsi"/>
        </w:rPr>
      </w:pPr>
      <w:r w:rsidRPr="00FA3139">
        <w:rPr>
          <w:rFonts w:cstheme="minorHAnsi"/>
        </w:rPr>
        <w:t>In respect of disposed queries, explanation obtained and evidence seen would be recorded in the said book, while queries remaining un-disposed of would be noted for follow up</w:t>
      </w:r>
    </w:p>
    <w:p w:rsidR="00295A72" w:rsidRDefault="00295A72" w:rsidP="00295A72">
      <w:pPr>
        <w:jc w:val="both"/>
        <w:rPr>
          <w:rFonts w:cstheme="minorHAnsi"/>
        </w:rPr>
      </w:pPr>
      <w:r w:rsidRPr="00DA67B9">
        <w:rPr>
          <w:noProof/>
          <w:lang w:val="en-US"/>
        </w:rPr>
        <w:drawing>
          <wp:inline distT="0" distB="0" distL="0" distR="0">
            <wp:extent cx="5105400" cy="4019550"/>
            <wp:effectExtent l="19050" t="0" r="0" b="0"/>
            <wp:docPr id="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105400" cy="4019550"/>
                    </a:xfrm>
                    <a:prstGeom prst="rect">
                      <a:avLst/>
                    </a:prstGeom>
                    <a:noFill/>
                    <a:ln w="9525">
                      <a:noFill/>
                      <a:miter lim="800000"/>
                      <a:headEnd/>
                      <a:tailEnd/>
                    </a:ln>
                  </pic:spPr>
                </pic:pic>
              </a:graphicData>
            </a:graphic>
          </wp:inline>
        </w:drawing>
      </w:r>
    </w:p>
    <w:p w:rsidR="00295A72" w:rsidRDefault="00295A72" w:rsidP="00295A72">
      <w:pPr>
        <w:pBdr>
          <w:top w:val="single" w:sz="4" w:space="1" w:color="auto"/>
          <w:left w:val="single" w:sz="4" w:space="4" w:color="auto"/>
          <w:bottom w:val="single" w:sz="4" w:space="1" w:color="auto"/>
          <w:right w:val="single" w:sz="4" w:space="4" w:color="auto"/>
        </w:pBdr>
        <w:jc w:val="both"/>
        <w:rPr>
          <w:rFonts w:cstheme="minorHAnsi"/>
          <w:i/>
        </w:rPr>
      </w:pPr>
      <w:r>
        <w:rPr>
          <w:rFonts w:cstheme="minorHAnsi"/>
          <w:i/>
        </w:rPr>
        <w:t>Theme</w:t>
      </w:r>
    </w:p>
    <w:p w:rsidR="00295A72" w:rsidRPr="00B74250" w:rsidRDefault="00295A72" w:rsidP="00295A72">
      <w:pPr>
        <w:pBdr>
          <w:top w:val="single" w:sz="4" w:space="1" w:color="auto"/>
          <w:left w:val="single" w:sz="4" w:space="4" w:color="auto"/>
          <w:bottom w:val="single" w:sz="4" w:space="1" w:color="auto"/>
          <w:right w:val="single" w:sz="4" w:space="4" w:color="auto"/>
        </w:pBdr>
        <w:jc w:val="both"/>
        <w:rPr>
          <w:rFonts w:cstheme="minorHAnsi"/>
          <w:b/>
          <w:i/>
        </w:rPr>
      </w:pPr>
      <w:r w:rsidRPr="00B74250">
        <w:rPr>
          <w:rFonts w:cstheme="minorHAnsi"/>
          <w:i/>
        </w:rPr>
        <w:t xml:space="preserve">Just like your </w:t>
      </w:r>
      <w:r>
        <w:rPr>
          <w:rFonts w:cstheme="minorHAnsi"/>
          <w:i/>
        </w:rPr>
        <w:t xml:space="preserve">current doctor’s </w:t>
      </w:r>
      <w:r w:rsidRPr="00B74250">
        <w:rPr>
          <w:rFonts w:cstheme="minorHAnsi"/>
          <w:i/>
        </w:rPr>
        <w:t xml:space="preserve">medical file </w:t>
      </w:r>
      <w:r>
        <w:rPr>
          <w:rFonts w:cstheme="minorHAnsi"/>
          <w:i/>
        </w:rPr>
        <w:t xml:space="preserve">containing your case history, prescriptions, and X-Ray reports </w:t>
      </w:r>
    </w:p>
    <w:p w:rsidR="00295A72" w:rsidRPr="00EE0B36" w:rsidRDefault="00295A72" w:rsidP="00295A72">
      <w:pPr>
        <w:rPr>
          <w:b/>
        </w:rPr>
      </w:pPr>
      <w:r w:rsidRPr="00EE0B36">
        <w:rPr>
          <w:b/>
        </w:rPr>
        <w:t>Profile</w:t>
      </w:r>
    </w:p>
    <w:p w:rsidR="00295A72" w:rsidRDefault="00295A72" w:rsidP="00295A72">
      <w:pPr>
        <w:rPr>
          <w:b/>
        </w:rPr>
      </w:pPr>
      <w:r w:rsidRPr="001B4291">
        <w:rPr>
          <w:b/>
        </w:rPr>
        <w:t xml:space="preserve">CA. Anurag Singal secured All India Ranks 25 and 22 in CA inter and Final. He has authored the book “Auditing Mantras’ for CA IPCC. </w:t>
      </w:r>
      <w:hyperlink r:id="rId11" w:history="1">
        <w:r>
          <w:rPr>
            <w:rStyle w:val="Hyperlink"/>
          </w:rPr>
          <w:t>http://www.auditingmantras.com/</w:t>
        </w:r>
      </w:hyperlink>
      <w:r>
        <w:t xml:space="preserve"> </w:t>
      </w:r>
      <w:r w:rsidRPr="001B4291">
        <w:rPr>
          <w:b/>
        </w:rPr>
        <w:t xml:space="preserve">He can be mailed at </w:t>
      </w:r>
      <w:hyperlink r:id="rId12" w:history="1">
        <w:r w:rsidRPr="00FB180F">
          <w:rPr>
            <w:rStyle w:val="Hyperlink"/>
            <w:b/>
          </w:rPr>
          <w:t>anurag@auditingmantras.com</w:t>
        </w:r>
      </w:hyperlink>
    </w:p>
    <w:p w:rsidR="00295A72" w:rsidRDefault="00295A72" w:rsidP="00295A72">
      <w:hyperlink r:id="rId13" w:history="1">
        <w:r>
          <w:rPr>
            <w:rStyle w:val="Hyperlink"/>
          </w:rPr>
          <w:t>http://www.auditingmantras.com/</w:t>
        </w:r>
      </w:hyperlink>
    </w:p>
    <w:p w:rsidR="00295A72" w:rsidRDefault="00295A72" w:rsidP="00295A72">
      <w:r>
        <w:t xml:space="preserve">Auditing Mantras for CA IPCC is a Smart Learning Solution, showing concepts of auditing in a lucid &amp; diagrammatic manner. This book is an exhaustive coverage of ICAI’s Study Material as the Practice </w:t>
      </w:r>
      <w:r>
        <w:lastRenderedPageBreak/>
        <w:t>Manual and also contains the chapter-wise Questions Bank for the past 15 years. It also has the key contents of all the Standards on Auditing applicable to CA IPCC</w:t>
      </w:r>
    </w:p>
    <w:p w:rsidR="00295A72" w:rsidRDefault="00295A72" w:rsidP="00295A72">
      <w:r>
        <w:rPr>
          <w:noProof/>
          <w:lang w:val="en-US"/>
        </w:rPr>
        <w:drawing>
          <wp:anchor distT="0" distB="0" distL="114300" distR="114300" simplePos="0" relativeHeight="251659264" behindDoc="0" locked="0" layoutInCell="1" allowOverlap="1">
            <wp:simplePos x="0" y="0"/>
            <wp:positionH relativeFrom="column">
              <wp:posOffset>0</wp:posOffset>
            </wp:positionH>
            <wp:positionV relativeFrom="paragraph">
              <wp:posOffset>-490855</wp:posOffset>
            </wp:positionV>
            <wp:extent cx="1666875" cy="1943100"/>
            <wp:effectExtent l="19050" t="0" r="9525" b="0"/>
            <wp:wrapSquare wrapText="bothSides"/>
            <wp:docPr id="1" name="Picture 0" descr="Cover_Auditing_Mantr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Auditing_Mantras.jpg"/>
                    <pic:cNvPicPr/>
                  </pic:nvPicPr>
                  <pic:blipFill>
                    <a:blip r:embed="rId14"/>
                    <a:stretch>
                      <a:fillRect/>
                    </a:stretch>
                  </pic:blipFill>
                  <pic:spPr>
                    <a:xfrm>
                      <a:off x="0" y="0"/>
                      <a:ext cx="1666875" cy="1943100"/>
                    </a:xfrm>
                    <a:prstGeom prst="rect">
                      <a:avLst/>
                    </a:prstGeom>
                  </pic:spPr>
                </pic:pic>
              </a:graphicData>
            </a:graphic>
          </wp:anchor>
        </w:drawing>
      </w:r>
      <w:r>
        <w:t xml:space="preserve">Published by Book Corporation, </w:t>
      </w:r>
    </w:p>
    <w:p w:rsidR="00295A72" w:rsidRDefault="00295A72" w:rsidP="00295A72">
      <w:r>
        <w:t>4 R N Mukherjee Rd; Kolkata (Near Birla Building)</w:t>
      </w:r>
    </w:p>
    <w:p w:rsidR="00295A72" w:rsidRDefault="00295A72" w:rsidP="00295A72">
      <w:r>
        <w:t>http://www.auditingmantras.com/</w:t>
      </w:r>
    </w:p>
    <w:p w:rsidR="00295A72" w:rsidRDefault="00295A72" w:rsidP="00295A72">
      <w:hyperlink r:id="rId15" w:history="1">
        <w:r w:rsidRPr="00735373">
          <w:rPr>
            <w:rStyle w:val="Hyperlink"/>
          </w:rPr>
          <w:t>anurag@auditingmantras.com</w:t>
        </w:r>
      </w:hyperlink>
    </w:p>
    <w:p w:rsidR="00295A72" w:rsidRDefault="00295A72" w:rsidP="00295A72">
      <w:r>
        <w:t xml:space="preserve">Order Online at </w:t>
      </w:r>
      <w:hyperlink r:id="rId16" w:history="1">
        <w:r>
          <w:rPr>
            <w:rStyle w:val="Hyperlink"/>
          </w:rPr>
          <w:t>http://www.auditingmantras.com/p/order-online_17.html</w:t>
        </w:r>
      </w:hyperlink>
    </w:p>
    <w:p w:rsidR="00295A72" w:rsidRDefault="00295A72" w:rsidP="00295A72">
      <w:r>
        <w:t>Rs 225 after discount</w:t>
      </w:r>
    </w:p>
    <w:p w:rsidR="00295A72" w:rsidRDefault="00295A72" w:rsidP="00295A72">
      <w:r>
        <w:t>Available in Delhi at</w:t>
      </w:r>
    </w:p>
    <w:p w:rsidR="00295A72" w:rsidRDefault="00295A72" w:rsidP="00295A72">
      <w:proofErr w:type="spellStart"/>
      <w:r>
        <w:t>Somani</w:t>
      </w:r>
      <w:proofErr w:type="spellEnd"/>
      <w:r>
        <w:t xml:space="preserve"> Law Book Company</w:t>
      </w:r>
    </w:p>
    <w:p w:rsidR="00295A72" w:rsidRDefault="00295A72" w:rsidP="00295A72">
      <w:r>
        <w:t xml:space="preserve">23 D/ Pocket B, DAA Flats West </w:t>
      </w:r>
      <w:proofErr w:type="spellStart"/>
      <w:r>
        <w:t>Gorkah</w:t>
      </w:r>
      <w:proofErr w:type="spellEnd"/>
      <w:r>
        <w:t xml:space="preserve"> Park Extension, </w:t>
      </w:r>
      <w:proofErr w:type="spellStart"/>
      <w:r>
        <w:t>Shardara</w:t>
      </w:r>
      <w:proofErr w:type="spellEnd"/>
      <w:r>
        <w:t xml:space="preserve"> Delhi-32</w:t>
      </w:r>
    </w:p>
    <w:p w:rsidR="00295A72" w:rsidRDefault="00295A72" w:rsidP="00295A72">
      <w:proofErr w:type="gramStart"/>
      <w:r>
        <w:t>Ph.</w:t>
      </w:r>
      <w:proofErr w:type="gramEnd"/>
      <w:r>
        <w:t xml:space="preserve"> No: - 09810315220</w:t>
      </w:r>
    </w:p>
    <w:p w:rsidR="00295A72" w:rsidRDefault="00295A72" w:rsidP="00295A72">
      <w:pPr>
        <w:rPr>
          <w:b/>
        </w:rPr>
      </w:pPr>
    </w:p>
    <w:p w:rsidR="00E760AD" w:rsidRDefault="00295A72"/>
    <w:sectPr w:rsidR="00E760AD" w:rsidSect="003905A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775F44"/>
    <w:multiLevelType w:val="hybridMultilevel"/>
    <w:tmpl w:val="46D0F012"/>
    <w:lvl w:ilvl="0" w:tplc="04090001">
      <w:start w:val="1"/>
      <w:numFmt w:val="bullet"/>
      <w:lvlText w:val=""/>
      <w:lvlJc w:val="left"/>
      <w:pPr>
        <w:ind w:left="360"/>
      </w:pPr>
      <w:rPr>
        <w:rFonts w:ascii="Symbol" w:hAnsi="Symbol" w:hint="default"/>
        <w:b w:val="0"/>
        <w:i w:val="0"/>
        <w:strike w:val="0"/>
        <w:dstrike w:val="0"/>
        <w:color w:val="000000"/>
        <w:sz w:val="22"/>
        <w:u w:val="none" w:color="000000"/>
        <w:bdr w:val="none" w:sz="0" w:space="0" w:color="auto"/>
        <w:shd w:val="clear" w:color="auto" w:fill="auto"/>
        <w:vertAlign w:val="baseline"/>
      </w:rPr>
    </w:lvl>
    <w:lvl w:ilvl="1" w:tplc="04090001">
      <w:start w:val="1"/>
      <w:numFmt w:val="bullet"/>
      <w:lvlText w:val=""/>
      <w:lvlJc w:val="left"/>
      <w:pPr>
        <w:ind w:left="851"/>
      </w:pPr>
      <w:rPr>
        <w:rFonts w:ascii="Symbol" w:hAnsi="Symbol" w:hint="default"/>
        <w:b w:val="0"/>
        <w:i w:val="0"/>
        <w:strike w:val="0"/>
        <w:dstrike w:val="0"/>
        <w:color w:val="000000"/>
        <w:sz w:val="22"/>
        <w:u w:val="none" w:color="000000"/>
        <w:bdr w:val="none" w:sz="0" w:space="0" w:color="auto"/>
        <w:shd w:val="clear" w:color="auto" w:fill="auto"/>
        <w:vertAlign w:val="baseline"/>
      </w:rPr>
    </w:lvl>
    <w:lvl w:ilvl="2" w:tplc="D7906A92">
      <w:start w:val="1"/>
      <w:numFmt w:val="lowerRoman"/>
      <w:lvlText w:val="%3"/>
      <w:lvlJc w:val="left"/>
      <w:pPr>
        <w:ind w:left="151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BCC8B9CE">
      <w:start w:val="1"/>
      <w:numFmt w:val="decimal"/>
      <w:lvlText w:val="%4"/>
      <w:lvlJc w:val="left"/>
      <w:pPr>
        <w:ind w:left="223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A64A04B4">
      <w:start w:val="1"/>
      <w:numFmt w:val="lowerLetter"/>
      <w:lvlText w:val="%5"/>
      <w:lvlJc w:val="left"/>
      <w:pPr>
        <w:ind w:left="295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EFBED6CE">
      <w:start w:val="1"/>
      <w:numFmt w:val="lowerRoman"/>
      <w:lvlText w:val="%6"/>
      <w:lvlJc w:val="left"/>
      <w:pPr>
        <w:ind w:left="367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45846A22">
      <w:start w:val="1"/>
      <w:numFmt w:val="decimal"/>
      <w:lvlText w:val="%7"/>
      <w:lvlJc w:val="left"/>
      <w:pPr>
        <w:ind w:left="439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12F6D430">
      <w:start w:val="1"/>
      <w:numFmt w:val="lowerLetter"/>
      <w:lvlText w:val="%8"/>
      <w:lvlJc w:val="left"/>
      <w:pPr>
        <w:ind w:left="511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AD6A5240">
      <w:start w:val="1"/>
      <w:numFmt w:val="lowerRoman"/>
      <w:lvlText w:val="%9"/>
      <w:lvlJc w:val="left"/>
      <w:pPr>
        <w:ind w:left="5832"/>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
    <w:nsid w:val="63783D40"/>
    <w:multiLevelType w:val="hybridMultilevel"/>
    <w:tmpl w:val="DCEE3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95A72"/>
    <w:rsid w:val="0009266C"/>
    <w:rsid w:val="00295A72"/>
    <w:rsid w:val="003905AB"/>
    <w:rsid w:val="00F869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5A72"/>
    <w:rPr>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5A72"/>
    <w:pPr>
      <w:ind w:left="720"/>
      <w:contextualSpacing/>
    </w:pPr>
  </w:style>
  <w:style w:type="paragraph" w:styleId="IntenseQuote">
    <w:name w:val="Intense Quote"/>
    <w:basedOn w:val="Normal"/>
    <w:next w:val="Normal"/>
    <w:link w:val="IntenseQuoteChar"/>
    <w:uiPriority w:val="30"/>
    <w:qFormat/>
    <w:rsid w:val="00295A7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295A72"/>
    <w:rPr>
      <w:b/>
      <w:bCs/>
      <w:i/>
      <w:iCs/>
      <w:color w:val="4F81BD" w:themeColor="accent1"/>
      <w:lang w:val="en-IN"/>
    </w:rPr>
  </w:style>
  <w:style w:type="paragraph" w:styleId="BalloonText">
    <w:name w:val="Balloon Text"/>
    <w:basedOn w:val="Normal"/>
    <w:link w:val="BalloonTextChar"/>
    <w:uiPriority w:val="99"/>
    <w:semiHidden/>
    <w:unhideWhenUsed/>
    <w:rsid w:val="00295A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A72"/>
    <w:rPr>
      <w:rFonts w:ascii="Tahoma" w:hAnsi="Tahoma" w:cs="Tahoma"/>
      <w:sz w:val="16"/>
      <w:szCs w:val="16"/>
      <w:lang w:val="en-IN"/>
    </w:rPr>
  </w:style>
  <w:style w:type="character" w:styleId="Hyperlink">
    <w:name w:val="Hyperlink"/>
    <w:basedOn w:val="DefaultParagraphFont"/>
    <w:uiPriority w:val="99"/>
    <w:unhideWhenUsed/>
    <w:rsid w:val="00295A7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hyperlink" Target="http://www.auditingmantras.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Layout" Target="diagrams/layout1.xml"/><Relationship Id="rId12" Type="http://schemas.openxmlformats.org/officeDocument/2006/relationships/hyperlink" Target="mailto:anurag@auditingmantras.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auditingmantras.com/p/order-online_17.html" TargetMode="Externa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hyperlink" Target="http://www.auditingmantras.com/" TargetMode="External"/><Relationship Id="rId5" Type="http://schemas.openxmlformats.org/officeDocument/2006/relationships/image" Target="media/image1.jpeg"/><Relationship Id="rId15" Type="http://schemas.openxmlformats.org/officeDocument/2006/relationships/hyperlink" Target="mailto:anurag@auditingmantras.com" TargetMode="Externa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diagramColors" Target="diagrams/colors1.xml"/><Relationship Id="rId14"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34A4B5C-7CDC-4CA4-BB67-57247AFFF2C0}" type="doc">
      <dgm:prSet loTypeId="urn:microsoft.com/office/officeart/2005/8/layout/equation1" loCatId="relationship" qsTypeId="urn:microsoft.com/office/officeart/2005/8/quickstyle/simple1" qsCatId="simple" csTypeId="urn:microsoft.com/office/officeart/2005/8/colors/accent1_2" csCatId="accent1" phldr="1"/>
      <dgm:spPr/>
    </dgm:pt>
    <dgm:pt modelId="{61BE6847-A10B-49C3-8EED-0DD79B5D38B4}">
      <dgm:prSet phldrT="[Text]" custT="1"/>
      <dgm:spPr/>
      <dgm:t>
        <a:bodyPr/>
        <a:lstStyle/>
        <a:p>
          <a:r>
            <a:rPr lang="en-US" sz="1100"/>
            <a:t>Permanent Audit File</a:t>
          </a:r>
        </a:p>
      </dgm:t>
    </dgm:pt>
    <dgm:pt modelId="{F07796B9-9F5B-46FD-B838-550CC3BC0607}" type="parTrans" cxnId="{11DB4388-92C3-4F80-9431-640DF74B096D}">
      <dgm:prSet/>
      <dgm:spPr/>
      <dgm:t>
        <a:bodyPr/>
        <a:lstStyle/>
        <a:p>
          <a:endParaRPr lang="en-US"/>
        </a:p>
      </dgm:t>
    </dgm:pt>
    <dgm:pt modelId="{1F11C2A2-AE8D-4E20-AE32-C74B33723116}" type="sibTrans" cxnId="{11DB4388-92C3-4F80-9431-640DF74B096D}">
      <dgm:prSet/>
      <dgm:spPr/>
      <dgm:t>
        <a:bodyPr/>
        <a:lstStyle/>
        <a:p>
          <a:endParaRPr lang="en-US"/>
        </a:p>
      </dgm:t>
    </dgm:pt>
    <dgm:pt modelId="{566601B8-C2C4-4FC8-8242-E9725EE46BC7}">
      <dgm:prSet phldrT="[Text]" custT="1"/>
      <dgm:spPr/>
      <dgm:t>
        <a:bodyPr/>
        <a:lstStyle/>
        <a:p>
          <a:r>
            <a:rPr lang="en-US" sz="1100"/>
            <a:t>CurrentFile</a:t>
          </a:r>
        </a:p>
      </dgm:t>
    </dgm:pt>
    <dgm:pt modelId="{DCA575BC-2962-454F-A550-8AD6F41B4D13}" type="parTrans" cxnId="{8E2CB547-9443-42CD-9553-430CFFAC27D1}">
      <dgm:prSet/>
      <dgm:spPr/>
      <dgm:t>
        <a:bodyPr/>
        <a:lstStyle/>
        <a:p>
          <a:endParaRPr lang="en-US"/>
        </a:p>
      </dgm:t>
    </dgm:pt>
    <dgm:pt modelId="{C53E5E92-C360-49F2-AC1E-60670DBC09BF}" type="sibTrans" cxnId="{8E2CB547-9443-42CD-9553-430CFFAC27D1}">
      <dgm:prSet/>
      <dgm:spPr/>
      <dgm:t>
        <a:bodyPr/>
        <a:lstStyle/>
        <a:p>
          <a:endParaRPr lang="en-US"/>
        </a:p>
      </dgm:t>
    </dgm:pt>
    <dgm:pt modelId="{11B4D716-0590-493F-B22E-42FD145A2722}">
      <dgm:prSet phldrT="[Text]" custT="1"/>
      <dgm:spPr/>
      <dgm:t>
        <a:bodyPr/>
        <a:lstStyle/>
        <a:p>
          <a:r>
            <a:rPr lang="en-US" sz="1100"/>
            <a:t>Audit Working Papers</a:t>
          </a:r>
        </a:p>
      </dgm:t>
    </dgm:pt>
    <dgm:pt modelId="{25A29386-9273-421F-B11C-773F047A9B9D}" type="parTrans" cxnId="{7201488A-8132-4F98-B225-F092176DFB44}">
      <dgm:prSet/>
      <dgm:spPr/>
      <dgm:t>
        <a:bodyPr/>
        <a:lstStyle/>
        <a:p>
          <a:endParaRPr lang="en-US"/>
        </a:p>
      </dgm:t>
    </dgm:pt>
    <dgm:pt modelId="{54F01192-C4E8-4875-9E35-2022C7DE1743}" type="sibTrans" cxnId="{7201488A-8132-4F98-B225-F092176DFB44}">
      <dgm:prSet/>
      <dgm:spPr/>
      <dgm:t>
        <a:bodyPr/>
        <a:lstStyle/>
        <a:p>
          <a:endParaRPr lang="en-US"/>
        </a:p>
      </dgm:t>
    </dgm:pt>
    <dgm:pt modelId="{80F2A37C-4B69-473D-B87E-7B30A064885E}" type="pres">
      <dgm:prSet presAssocID="{934A4B5C-7CDC-4CA4-BB67-57247AFFF2C0}" presName="linearFlow" presStyleCnt="0">
        <dgm:presLayoutVars>
          <dgm:dir/>
          <dgm:resizeHandles val="exact"/>
        </dgm:presLayoutVars>
      </dgm:prSet>
      <dgm:spPr/>
    </dgm:pt>
    <dgm:pt modelId="{CDC306FE-B6C7-440C-9F20-55F07EA894D3}" type="pres">
      <dgm:prSet presAssocID="{61BE6847-A10B-49C3-8EED-0DD79B5D38B4}" presName="node" presStyleLbl="node1" presStyleIdx="0" presStyleCnt="3">
        <dgm:presLayoutVars>
          <dgm:bulletEnabled val="1"/>
        </dgm:presLayoutVars>
      </dgm:prSet>
      <dgm:spPr/>
      <dgm:t>
        <a:bodyPr/>
        <a:lstStyle/>
        <a:p>
          <a:endParaRPr lang="en-US"/>
        </a:p>
      </dgm:t>
    </dgm:pt>
    <dgm:pt modelId="{12D61C78-3A6C-4494-B4F7-DAD55E69CA57}" type="pres">
      <dgm:prSet presAssocID="{1F11C2A2-AE8D-4E20-AE32-C74B33723116}" presName="spacerL" presStyleCnt="0"/>
      <dgm:spPr/>
    </dgm:pt>
    <dgm:pt modelId="{18761EF5-8DE9-408E-BB74-36E9AB73FA92}" type="pres">
      <dgm:prSet presAssocID="{1F11C2A2-AE8D-4E20-AE32-C74B33723116}" presName="sibTrans" presStyleLbl="sibTrans2D1" presStyleIdx="0" presStyleCnt="2"/>
      <dgm:spPr/>
      <dgm:t>
        <a:bodyPr/>
        <a:lstStyle/>
        <a:p>
          <a:endParaRPr lang="en-US"/>
        </a:p>
      </dgm:t>
    </dgm:pt>
    <dgm:pt modelId="{CFB3B73E-D577-4F0F-9FA0-8567A2E361F5}" type="pres">
      <dgm:prSet presAssocID="{1F11C2A2-AE8D-4E20-AE32-C74B33723116}" presName="spacerR" presStyleCnt="0"/>
      <dgm:spPr/>
    </dgm:pt>
    <dgm:pt modelId="{9F8F2598-750D-4C30-837B-0559CF993CC9}" type="pres">
      <dgm:prSet presAssocID="{566601B8-C2C4-4FC8-8242-E9725EE46BC7}" presName="node" presStyleLbl="node1" presStyleIdx="1" presStyleCnt="3">
        <dgm:presLayoutVars>
          <dgm:bulletEnabled val="1"/>
        </dgm:presLayoutVars>
      </dgm:prSet>
      <dgm:spPr/>
      <dgm:t>
        <a:bodyPr/>
        <a:lstStyle/>
        <a:p>
          <a:endParaRPr lang="en-US"/>
        </a:p>
      </dgm:t>
    </dgm:pt>
    <dgm:pt modelId="{BBB9B191-B184-43C8-A3F5-98BBA4618B49}" type="pres">
      <dgm:prSet presAssocID="{C53E5E92-C360-49F2-AC1E-60670DBC09BF}" presName="spacerL" presStyleCnt="0"/>
      <dgm:spPr/>
    </dgm:pt>
    <dgm:pt modelId="{3AA18D32-F873-4333-9E52-217DAAE0B381}" type="pres">
      <dgm:prSet presAssocID="{C53E5E92-C360-49F2-AC1E-60670DBC09BF}" presName="sibTrans" presStyleLbl="sibTrans2D1" presStyleIdx="1" presStyleCnt="2"/>
      <dgm:spPr/>
      <dgm:t>
        <a:bodyPr/>
        <a:lstStyle/>
        <a:p>
          <a:endParaRPr lang="en-US"/>
        </a:p>
      </dgm:t>
    </dgm:pt>
    <dgm:pt modelId="{1021F292-3EFE-4748-B4E1-188BAA062B03}" type="pres">
      <dgm:prSet presAssocID="{C53E5E92-C360-49F2-AC1E-60670DBC09BF}" presName="spacerR" presStyleCnt="0"/>
      <dgm:spPr/>
    </dgm:pt>
    <dgm:pt modelId="{46B4AF29-3030-42DE-A76E-D9AF0B18CFAC}" type="pres">
      <dgm:prSet presAssocID="{11B4D716-0590-493F-B22E-42FD145A2722}" presName="node" presStyleLbl="node1" presStyleIdx="2" presStyleCnt="3">
        <dgm:presLayoutVars>
          <dgm:bulletEnabled val="1"/>
        </dgm:presLayoutVars>
      </dgm:prSet>
      <dgm:spPr/>
      <dgm:t>
        <a:bodyPr/>
        <a:lstStyle/>
        <a:p>
          <a:endParaRPr lang="en-US"/>
        </a:p>
      </dgm:t>
    </dgm:pt>
  </dgm:ptLst>
  <dgm:cxnLst>
    <dgm:cxn modelId="{C541333E-6897-477D-A382-9C8728CD8679}" type="presOf" srcId="{61BE6847-A10B-49C3-8EED-0DD79B5D38B4}" destId="{CDC306FE-B6C7-440C-9F20-55F07EA894D3}" srcOrd="0" destOrd="0" presId="urn:microsoft.com/office/officeart/2005/8/layout/equation1"/>
    <dgm:cxn modelId="{11DB4388-92C3-4F80-9431-640DF74B096D}" srcId="{934A4B5C-7CDC-4CA4-BB67-57247AFFF2C0}" destId="{61BE6847-A10B-49C3-8EED-0DD79B5D38B4}" srcOrd="0" destOrd="0" parTransId="{F07796B9-9F5B-46FD-B838-550CC3BC0607}" sibTransId="{1F11C2A2-AE8D-4E20-AE32-C74B33723116}"/>
    <dgm:cxn modelId="{2ADCA877-7BF2-4616-98AE-F0695DEF4FD4}" type="presOf" srcId="{934A4B5C-7CDC-4CA4-BB67-57247AFFF2C0}" destId="{80F2A37C-4B69-473D-B87E-7B30A064885E}" srcOrd="0" destOrd="0" presId="urn:microsoft.com/office/officeart/2005/8/layout/equation1"/>
    <dgm:cxn modelId="{7201488A-8132-4F98-B225-F092176DFB44}" srcId="{934A4B5C-7CDC-4CA4-BB67-57247AFFF2C0}" destId="{11B4D716-0590-493F-B22E-42FD145A2722}" srcOrd="2" destOrd="0" parTransId="{25A29386-9273-421F-B11C-773F047A9B9D}" sibTransId="{54F01192-C4E8-4875-9E35-2022C7DE1743}"/>
    <dgm:cxn modelId="{336E425E-28D0-4B29-B15D-D966E178EB95}" type="presOf" srcId="{1F11C2A2-AE8D-4E20-AE32-C74B33723116}" destId="{18761EF5-8DE9-408E-BB74-36E9AB73FA92}" srcOrd="0" destOrd="0" presId="urn:microsoft.com/office/officeart/2005/8/layout/equation1"/>
    <dgm:cxn modelId="{8E2CB547-9443-42CD-9553-430CFFAC27D1}" srcId="{934A4B5C-7CDC-4CA4-BB67-57247AFFF2C0}" destId="{566601B8-C2C4-4FC8-8242-E9725EE46BC7}" srcOrd="1" destOrd="0" parTransId="{DCA575BC-2962-454F-A550-8AD6F41B4D13}" sibTransId="{C53E5E92-C360-49F2-AC1E-60670DBC09BF}"/>
    <dgm:cxn modelId="{71B8628F-6214-451B-8F9B-F5AC5027D077}" type="presOf" srcId="{11B4D716-0590-493F-B22E-42FD145A2722}" destId="{46B4AF29-3030-42DE-A76E-D9AF0B18CFAC}" srcOrd="0" destOrd="0" presId="urn:microsoft.com/office/officeart/2005/8/layout/equation1"/>
    <dgm:cxn modelId="{F6C29176-0AB4-4324-B5B1-C738AA49EAED}" type="presOf" srcId="{566601B8-C2C4-4FC8-8242-E9725EE46BC7}" destId="{9F8F2598-750D-4C30-837B-0559CF993CC9}" srcOrd="0" destOrd="0" presId="urn:microsoft.com/office/officeart/2005/8/layout/equation1"/>
    <dgm:cxn modelId="{4C664416-64A7-4408-92B5-7CC57ABF20BB}" type="presOf" srcId="{C53E5E92-C360-49F2-AC1E-60670DBC09BF}" destId="{3AA18D32-F873-4333-9E52-217DAAE0B381}" srcOrd="0" destOrd="0" presId="urn:microsoft.com/office/officeart/2005/8/layout/equation1"/>
    <dgm:cxn modelId="{1DAB759B-6A9C-4FD4-8B48-D4F5AF9D9E1E}" type="presParOf" srcId="{80F2A37C-4B69-473D-B87E-7B30A064885E}" destId="{CDC306FE-B6C7-440C-9F20-55F07EA894D3}" srcOrd="0" destOrd="0" presId="urn:microsoft.com/office/officeart/2005/8/layout/equation1"/>
    <dgm:cxn modelId="{25DB5DA7-BB7F-4F42-9F27-20051FCD7A63}" type="presParOf" srcId="{80F2A37C-4B69-473D-B87E-7B30A064885E}" destId="{12D61C78-3A6C-4494-B4F7-DAD55E69CA57}" srcOrd="1" destOrd="0" presId="urn:microsoft.com/office/officeart/2005/8/layout/equation1"/>
    <dgm:cxn modelId="{E437E18B-148F-40F7-884D-A6D97A72F11D}" type="presParOf" srcId="{80F2A37C-4B69-473D-B87E-7B30A064885E}" destId="{18761EF5-8DE9-408E-BB74-36E9AB73FA92}" srcOrd="2" destOrd="0" presId="urn:microsoft.com/office/officeart/2005/8/layout/equation1"/>
    <dgm:cxn modelId="{8A3538B5-2740-4782-8D0F-AE89A044BB94}" type="presParOf" srcId="{80F2A37C-4B69-473D-B87E-7B30A064885E}" destId="{CFB3B73E-D577-4F0F-9FA0-8567A2E361F5}" srcOrd="3" destOrd="0" presId="urn:microsoft.com/office/officeart/2005/8/layout/equation1"/>
    <dgm:cxn modelId="{52D8719B-0027-475D-BEF5-87DDB34573E5}" type="presParOf" srcId="{80F2A37C-4B69-473D-B87E-7B30A064885E}" destId="{9F8F2598-750D-4C30-837B-0559CF993CC9}" srcOrd="4" destOrd="0" presId="urn:microsoft.com/office/officeart/2005/8/layout/equation1"/>
    <dgm:cxn modelId="{61421EF7-04D3-45E7-BFB0-266E042C9432}" type="presParOf" srcId="{80F2A37C-4B69-473D-B87E-7B30A064885E}" destId="{BBB9B191-B184-43C8-A3F5-98BBA4618B49}" srcOrd="5" destOrd="0" presId="urn:microsoft.com/office/officeart/2005/8/layout/equation1"/>
    <dgm:cxn modelId="{18A6EEDE-70D5-43C8-B034-F6F83BE902B9}" type="presParOf" srcId="{80F2A37C-4B69-473D-B87E-7B30A064885E}" destId="{3AA18D32-F873-4333-9E52-217DAAE0B381}" srcOrd="6" destOrd="0" presId="urn:microsoft.com/office/officeart/2005/8/layout/equation1"/>
    <dgm:cxn modelId="{5E76154F-AF6E-403D-B935-F4C3FCF72F07}" type="presParOf" srcId="{80F2A37C-4B69-473D-B87E-7B30A064885E}" destId="{1021F292-3EFE-4748-B4E1-188BAA062B03}" srcOrd="7" destOrd="0" presId="urn:microsoft.com/office/officeart/2005/8/layout/equation1"/>
    <dgm:cxn modelId="{0029BD92-90CF-4D78-99C3-6196BF122BD4}" type="presParOf" srcId="{80F2A37C-4B69-473D-B87E-7B30A064885E}" destId="{46B4AF29-3030-42DE-A76E-D9AF0B18CFAC}" srcOrd="8" destOrd="0" presId="urn:microsoft.com/office/officeart/2005/8/layout/equation1"/>
  </dgm:cxnLst>
  <dgm:bg/>
  <dgm:whole/>
</dgm:dataModel>
</file>

<file path=word/diagrams/layout1.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836</Words>
  <Characters>4769</Characters>
  <Application>Microsoft Office Word</Application>
  <DocSecurity>0</DocSecurity>
  <Lines>39</Lines>
  <Paragraphs>11</Paragraphs>
  <ScaleCrop>false</ScaleCrop>
  <Company/>
  <LinksUpToDate>false</LinksUpToDate>
  <CharactersWithSpaces>5594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2013-10-05T02:26:00Z</dcterms:created>
  <dcterms:modified xsi:type="dcterms:W3CDTF">2013-10-05T02:28:00Z</dcterms:modified>
</cp:coreProperties>
</file>