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836193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color w:val="000000"/>
          <w:spacing w:val="-1"/>
          <w:sz w:val="25"/>
          <w:szCs w:val="25"/>
        </w:rPr>
      </w:sdtEndPr>
      <w:sdtContent>
        <w:p w:rsidR="009C165C" w:rsidRDefault="009C165C"/>
        <w:p w:rsidR="009C165C" w:rsidRDefault="009C165C">
          <w:r>
            <w:rPr>
              <w:noProof/>
              <w:lang w:eastAsia="zh-TW"/>
            </w:rPr>
            <w:pict>
              <v:rect id="_x0000_s1026" style="position:absolute;margin-left:0;margin-top:0;width:612pt;height:11in;z-index:-251658240;mso-width-percent:1000;mso-height-percent:1000;mso-position-horizontal:center;mso-position-horizontal-relative:page;mso-position-vertical:center;mso-position-vertical-relative:page;mso-width-percent:1000;mso-height-percent:1000" o:allowincell="f" stroked="f">
                <v:textbox style="mso-next-textbox:#_x0000_s1026">
                  <w:txbxContent>
                    <w:p w:rsidR="009C165C" w:rsidRDefault="009C165C">
                      <w:pP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96"/>
                          <w:szCs w:val="96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</w:rPr>
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  <w:u w:val="single"/>
                        </w:rPr>
                        <w:t>xcvbnmqwertyuiopasdfghjklzxcvbnmqw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</w:rPr>
                        <w:t>ertyuiopasdfghjklzxcvbnm</w:t>
                      </w:r>
                    </w:p>
                  </w:txbxContent>
                </v:textbox>
                <w10:wrap anchorx="page" anchory="page"/>
              </v:rect>
            </w:pict>
          </w:r>
        </w:p>
        <w:p w:rsidR="009C165C" w:rsidRDefault="009C165C"/>
        <w:tbl>
          <w:tblPr>
            <w:tblW w:w="3506" w:type="pct"/>
            <w:jc w:val="center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/>
          </w:tblPr>
          <w:tblGrid>
            <w:gridCol w:w="7220"/>
          </w:tblGrid>
          <w:tr w:rsidR="009C165C">
            <w:trPr>
              <w:trHeight w:val="3770"/>
              <w:jc w:val="center"/>
            </w:trPr>
            <w:tc>
              <w:tcPr>
                <w:tcW w:w="3000" w:type="pct"/>
                <w:shd w:val="clear" w:color="auto" w:fill="FFFFFF" w:themeFill="background1"/>
                <w:vAlign w:val="center"/>
              </w:tcPr>
              <w:sdt>
                <w:sdtPr>
                  <w:rPr>
                    <w:rFonts w:ascii="Agent Orange" w:eastAsiaTheme="majorEastAsia" w:hAnsi="Agent Orange" w:cs="Agent Orange"/>
                    <w:color w:val="0070C0"/>
                    <w:sz w:val="40"/>
                    <w:szCs w:val="40"/>
                  </w:rPr>
                  <w:alias w:val="Title"/>
                  <w:id w:val="13783212"/>
                  <w:placeholder>
                    <w:docPart w:val="FAC57425AABC42EB9B42E8C13F4C2779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9C165C" w:rsidRPr="009C165C" w:rsidRDefault="009C165C">
                    <w:pPr>
                      <w:pStyle w:val="NoSpacing"/>
                      <w:jc w:val="center"/>
                      <w:rPr>
                        <w:rFonts w:ascii="Agent Orange" w:eastAsiaTheme="majorEastAsia" w:hAnsi="Agent Orange" w:cs="Agent Orange"/>
                        <w:color w:val="0070C0"/>
                        <w:sz w:val="40"/>
                        <w:szCs w:val="40"/>
                      </w:rPr>
                    </w:pPr>
                    <w:r w:rsidRPr="009C165C">
                      <w:rPr>
                        <w:rFonts w:ascii="Agent Orange" w:eastAsiaTheme="majorEastAsia" w:hAnsi="Agent Orange" w:cs="Agent Orange"/>
                        <w:color w:val="0070C0"/>
                        <w:sz w:val="40"/>
                        <w:szCs w:val="40"/>
                      </w:rPr>
                      <w:t>Income tax theory question</w:t>
                    </w:r>
                  </w:p>
                </w:sdtContent>
              </w:sdt>
              <w:p w:rsidR="009C165C" w:rsidRPr="009C165C" w:rsidRDefault="009C165C">
                <w:pPr>
                  <w:pStyle w:val="NoSpacing"/>
                  <w:jc w:val="center"/>
                  <w:rPr>
                    <w:rFonts w:ascii="Agent Orange" w:hAnsi="Agent Orange" w:cs="Agent Orange"/>
                    <w:color w:val="0070C0"/>
                  </w:rPr>
                </w:pPr>
              </w:p>
              <w:sdt>
                <w:sdtPr>
                  <w:rPr>
                    <w:rFonts w:ascii="Agent Orange" w:eastAsiaTheme="majorEastAsia" w:hAnsi="Agent Orange" w:cs="Agent Orange"/>
                    <w:color w:val="0070C0"/>
                    <w:sz w:val="32"/>
                    <w:szCs w:val="32"/>
                  </w:rPr>
                  <w:alias w:val="Subtitle"/>
                  <w:id w:val="13783219"/>
                  <w:placeholder>
                    <w:docPart w:val="37530907EA9C4E7498E658BB73EE3F6B"/>
                  </w:placeholder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Content>
                  <w:p w:rsidR="009C165C" w:rsidRPr="009C165C" w:rsidRDefault="009C165C">
                    <w:pPr>
                      <w:pStyle w:val="NoSpacing"/>
                      <w:jc w:val="center"/>
                      <w:rPr>
                        <w:rFonts w:asciiTheme="majorHAnsi" w:eastAsiaTheme="majorEastAsia" w:hAnsiTheme="majorHAnsi" w:cstheme="majorBidi"/>
                        <w:color w:val="0070C0"/>
                        <w:sz w:val="32"/>
                        <w:szCs w:val="32"/>
                      </w:rPr>
                    </w:pPr>
                    <w:r w:rsidRPr="009C165C">
                      <w:rPr>
                        <w:rFonts w:ascii="Agent Orange" w:eastAsiaTheme="majorEastAsia" w:hAnsi="Agent Orange" w:cs="Agent Orange"/>
                        <w:color w:val="0070C0"/>
                        <w:sz w:val="32"/>
                        <w:szCs w:val="32"/>
                      </w:rPr>
                      <w:t>IPCC</w:t>
                    </w:r>
                  </w:p>
                </w:sdtContent>
              </w:sdt>
              <w:p w:rsidR="009C165C" w:rsidRPr="009C165C" w:rsidRDefault="009C165C">
                <w:pPr>
                  <w:pStyle w:val="NoSpacing"/>
                  <w:jc w:val="center"/>
                  <w:rPr>
                    <w:color w:val="0070C0"/>
                  </w:rPr>
                </w:pPr>
              </w:p>
              <w:sdt>
                <w:sdtPr>
                  <w:rPr>
                    <w:rFonts w:ascii="Agent Orange" w:hAnsi="Agent Orange" w:cs="Agent Orange"/>
                    <w:color w:val="0070C0"/>
                  </w:rPr>
                  <w:alias w:val="Date"/>
                  <w:id w:val="13783224"/>
                  <w:placeholder>
                    <w:docPart w:val="B2C4AD641FBB405CBAB295FE4A49CE7E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13-09-07T00:00:00Z">
                    <w:dateFormat w:val="M/d/yyyy"/>
                    <w:lid w:val="en-US"/>
                    <w:storeMappedDataAs w:val="dateTime"/>
                    <w:calendar w:val="gregorian"/>
                  </w:date>
                </w:sdtPr>
                <w:sdtContent>
                  <w:p w:rsidR="009C165C" w:rsidRPr="009C165C" w:rsidRDefault="009C165C">
                    <w:pPr>
                      <w:pStyle w:val="NoSpacing"/>
                      <w:jc w:val="center"/>
                      <w:rPr>
                        <w:color w:val="0070C0"/>
                      </w:rPr>
                    </w:pPr>
                    <w:r w:rsidRPr="009C165C">
                      <w:rPr>
                        <w:rFonts w:ascii="Agent Orange" w:hAnsi="Agent Orange" w:cs="Agent Orange"/>
                        <w:color w:val="0070C0"/>
                      </w:rPr>
                      <w:t>9/7/2013</w:t>
                    </w:r>
                  </w:p>
                </w:sdtContent>
              </w:sdt>
              <w:p w:rsidR="009C165C" w:rsidRPr="009C165C" w:rsidRDefault="009C165C">
                <w:pPr>
                  <w:pStyle w:val="NoSpacing"/>
                  <w:jc w:val="center"/>
                  <w:rPr>
                    <w:rFonts w:ascii="Curlz MT" w:hAnsi="Curlz MT"/>
                    <w:b/>
                    <w:i/>
                    <w:color w:val="FF0000"/>
                    <w:sz w:val="72"/>
                  </w:rPr>
                </w:pPr>
              </w:p>
              <w:sdt>
                <w:sdtPr>
                  <w:rPr>
                    <w:rFonts w:ascii="Curlz MT" w:hAnsi="Curlz MT"/>
                    <w:b/>
                    <w:i/>
                    <w:color w:val="FF0000"/>
                    <w:sz w:val="72"/>
                  </w:rPr>
                  <w:alias w:val="Author"/>
                  <w:id w:val="13783229"/>
                  <w:placeholder>
                    <w:docPart w:val="62B2EB5A17594C3594BCDDE6C4CC8CD2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9C165C" w:rsidRDefault="009C165C">
                    <w:pPr>
                      <w:pStyle w:val="NoSpacing"/>
                      <w:jc w:val="center"/>
                    </w:pPr>
                    <w:r w:rsidRPr="009C165C">
                      <w:rPr>
                        <w:rFonts w:ascii="Curlz MT" w:hAnsi="Curlz MT"/>
                        <w:b/>
                        <w:i/>
                        <w:color w:val="FF0000"/>
                        <w:sz w:val="72"/>
                      </w:rPr>
                      <w:t>VIJAY BORIWAL</w:t>
                    </w:r>
                  </w:p>
                </w:sdtContent>
              </w:sdt>
              <w:p w:rsidR="009C165C" w:rsidRDefault="009C165C">
                <w:pPr>
                  <w:pStyle w:val="NoSpacing"/>
                  <w:jc w:val="center"/>
                </w:pPr>
              </w:p>
            </w:tc>
          </w:tr>
        </w:tbl>
        <w:p w:rsidR="009C165C" w:rsidRDefault="009C165C"/>
        <w:p w:rsidR="009C165C" w:rsidRDefault="009C165C">
          <w:pPr>
            <w:rPr>
              <w:rFonts w:ascii="Times New Roman" w:hAnsi="Times New Roman" w:cs="Times New Roman"/>
              <w:color w:val="000000"/>
              <w:spacing w:val="-1"/>
              <w:sz w:val="25"/>
              <w:szCs w:val="25"/>
            </w:rPr>
          </w:pPr>
          <w:r>
            <w:rPr>
              <w:rFonts w:ascii="Times New Roman" w:hAnsi="Times New Roman" w:cs="Times New Roman"/>
              <w:color w:val="000000"/>
              <w:spacing w:val="-1"/>
              <w:sz w:val="25"/>
              <w:szCs w:val="25"/>
            </w:rPr>
            <w:br w:type="page"/>
          </w:r>
        </w:p>
      </w:sdtContent>
    </w:sdt>
    <w:p w:rsidR="00E61355" w:rsidRDefault="00E61355" w:rsidP="00055A7B">
      <w:pPr>
        <w:widowControl w:val="0"/>
        <w:autoSpaceDE w:val="0"/>
        <w:autoSpaceDN w:val="0"/>
        <w:adjustRightInd w:val="0"/>
        <w:spacing w:after="0" w:line="240" w:lineRule="auto"/>
        <w:ind w:left="1660" w:firstLine="720"/>
        <w:jc w:val="both"/>
        <w:rPr>
          <w:rFonts w:ascii="Times New Roman" w:hAnsi="Times New Roman" w:cs="Times New Roman"/>
          <w:b/>
          <w:bCs/>
          <w:color w:val="000000"/>
          <w:spacing w:val="-1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8"/>
          <w:szCs w:val="48"/>
        </w:rPr>
        <w:lastRenderedPageBreak/>
        <w:t xml:space="preserve">BASIC </w:t>
      </w:r>
      <w:r w:rsidR="00055A7B">
        <w:rPr>
          <w:rFonts w:ascii="Times New Roman" w:hAnsi="Times New Roman" w:cs="Times New Roman"/>
          <w:b/>
          <w:bCs/>
          <w:color w:val="000000"/>
          <w:spacing w:val="-1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48"/>
          <w:szCs w:val="48"/>
        </w:rPr>
        <w:t>CONCEPTS</w:t>
      </w:r>
    </w:p>
    <w:p w:rsidR="00055A7B" w:rsidRDefault="00055A7B" w:rsidP="00055A7B">
      <w:pPr>
        <w:widowControl w:val="0"/>
        <w:autoSpaceDE w:val="0"/>
        <w:autoSpaceDN w:val="0"/>
        <w:adjustRightInd w:val="0"/>
        <w:spacing w:after="0" w:line="240" w:lineRule="auto"/>
        <w:ind w:left="1660" w:firstLine="720"/>
        <w:jc w:val="both"/>
        <w:rPr>
          <w:rFonts w:ascii="Times New Roman" w:hAnsi="Times New Roman" w:cs="Times New Roman"/>
          <w:b/>
          <w:bCs/>
          <w:color w:val="000000"/>
          <w:spacing w:val="-1"/>
          <w:sz w:val="48"/>
          <w:szCs w:val="48"/>
        </w:rPr>
      </w:pPr>
    </w:p>
    <w:p w:rsidR="00055A7B" w:rsidRDefault="00055A7B" w:rsidP="00055A7B">
      <w:pPr>
        <w:widowControl w:val="0"/>
        <w:autoSpaceDE w:val="0"/>
        <w:autoSpaceDN w:val="0"/>
        <w:adjustRightInd w:val="0"/>
        <w:spacing w:after="0" w:line="240" w:lineRule="auto"/>
        <w:ind w:left="16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Describe average rate of tax and maximum marginal rate under section 2(10) and 2(29C) of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the Income-tax Act, 1961.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As per section 2(10), "Average rate of Tax" means the rate arrived at by dividing the amount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of tax calculated on the total income, by such total income.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Section 2(29C)  defines "maximum marginal rate" to mean the rate  of  income tax (including surcharge  on the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income-tax,  if  any)  applicable  in  relation  to the  highest  slab  of  income  in the case  of  an individual,  AOP  or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BOI, as the case may be, as specified in Finance Act of the relevant year.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In what status and tax rate Limited Liability Partnership (LLP) is taxed under the Act.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As per section 2(23), the term ‘firm’ shall also include a limited liability partnership (LLP) as defined in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Limited Liability Partnership Act, 2008. Therefore, LLP will be treated just like any other partnership firm for the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purposes of Income-tax Act, 1961 The rate of tax, in case of LLP, for A.Y. 2013-14 is 30% plus education cess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@ 2% and secondary and higher education cess @ 1% on the whole of the total income of the firm. Hence, the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effective rate is 30.9% for the assessment year 2013-14.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.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Explain the concept of “Marginal Relief” under the Income-tax Act, 1961.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Explain "Previous year" for undisclosed sources of income.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457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5657"/>
        <w:jc w:val="both"/>
        <w:rPr>
          <w:rFonts w:ascii="Times New Roman" w:hAnsi="Times New Roman" w:cs="Times New Roman"/>
          <w:b/>
          <w:bCs/>
          <w:color w:val="000000"/>
          <w:spacing w:val="-1"/>
          <w:sz w:val="48"/>
          <w:szCs w:val="48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5657"/>
        <w:jc w:val="both"/>
        <w:rPr>
          <w:rFonts w:ascii="Times New Roman" w:hAnsi="Times New Roman" w:cs="Times New Roman"/>
          <w:b/>
          <w:bCs/>
          <w:color w:val="000000"/>
          <w:spacing w:val="-1"/>
          <w:sz w:val="48"/>
          <w:szCs w:val="48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5657"/>
        <w:jc w:val="both"/>
        <w:rPr>
          <w:rFonts w:ascii="Times New Roman" w:hAnsi="Times New Roman" w:cs="Times New Roman"/>
          <w:b/>
          <w:bCs/>
          <w:color w:val="000000"/>
          <w:spacing w:val="-1"/>
          <w:sz w:val="48"/>
          <w:szCs w:val="48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5657"/>
        <w:jc w:val="both"/>
        <w:rPr>
          <w:rFonts w:ascii="Times New Roman" w:hAnsi="Times New Roman" w:cs="Times New Roman"/>
          <w:b/>
          <w:bCs/>
          <w:color w:val="000000"/>
          <w:spacing w:val="-1"/>
          <w:sz w:val="48"/>
          <w:szCs w:val="48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8"/>
          <w:szCs w:val="48"/>
        </w:rPr>
        <w:lastRenderedPageBreak/>
        <w:t xml:space="preserve">              RESIDENTIAL   STATUS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State  with  reasons,  whether  the  following  statements  are  true  or  false,  with  regard  to  the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provisions of the Income-tax Act, 1961: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(a)  Only individuals and HUFs can be  resident, but  not ordinarily  resident in  India;  firms can  be  either a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resident or non-resident.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(b)  Income  deemed  to  accrue  or  arise  in  India  to  a  non-resident  by  way of  interest, royalty  and  fee  for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technical services is taxable in India irrespective of territorial nexus.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(c) Mr. X,  Karta of  HUF,  claims that the HUF is non-resident as the business of HUF is transacted  from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UK and all the policy decisions are taken there.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(a) The statement is True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: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A  person is said to be “not-ordinarily resident” in India if he satisfies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either  of  the conditions  given  in sub-section  (6)  of  section 6. This sub-section relates  to  only individuals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and Hindu Undivided  Families. Therefore,  only individuals and Hindu  undivided families can  be resident,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but not ordinarily resident in India.  All other classes of assessees can be either a resident or non-resident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for the purpose of income-tax.  A firm can, therefore, either be a resident or non-resident.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(b) The statement is True : Explanation to  section 9 clarifies that income by way of interest, royalty or fee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for technical services  which is deemed  to accrue  or arise in  India by  virtue of clauses (v), (vi) and (vii)  of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section 9(1), shall be included in the total income of the non-resident, whether or not the non-resident has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a residence or place of business or business connection in India.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(c) The statement is True : A HUF is considered to be a non-resident where the control and management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of its affairs are situated wholly outside India. In the given case, since all  the policy decisions of HUF  are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taken from UK, the HUF is a non-resident.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Mr. X, a citizen of India, received salary from the Government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of India for the service rendered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outside India. Is the salary income chargeable to tax?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As per Section 9(1)(iii), salaries payable by the Government to a citizen of India for services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rendered outside India is deemed to accrue or arise in India. Hence, salary received by Mr. X, a citizen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India, from the Government of India for services rendered outside India is chargeable to tax under the head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‘Salaries’. But all allowances or perquisites paid outside India by the Government to Indian citizens for their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rendering services outside India are exempt under section 10(7).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Question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Discuss the correctness or otherwise of the statement – “Income deemed to accrue or arise in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India to a non-resident by way of interest, royalty and fees for technical services is to be taxed irrespective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of territorial nexus”.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 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As per  section 9, if any income is accruing and arising in India relating to royalty or technical fees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etc.,  it  will be  taxable  in  India in  case  of  non-resident even  if  the non-resident  do  not  have  any  Territorial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Nexus  with  India  i.e.  such  non-resident  do  not  have  a  residence  or  place  of  business  or  business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connection  in  India  and  also  the  non-resident  has  not  rendered  services  in  India.  E.g.  If  Suzuki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Incorporation of  Japan a non-resident company has provided technical know-how in  India to  Maruti Udyog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Limited,  an Indian  company  in Gurgaon and has received 20,00,000,  in this  case,  such income is  deemed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to be accruing/arising in India and is taxable in India even if Suzuki Incorporation do not have any Territorial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Nexus with India i.e. the company do not have place of residence or place of business in India.  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State the scope of total income in the case of an individual, whose residential status is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'non-resident' with ref erence to Section 5(2) of the Act.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The scope of total income of a non-resident as per section 5(2) includes following incomes: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8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a)  any income which is received or is deemed to be received in India during the relevant previous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33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year by or on behalf of such person; 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8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b)  any income which accrues or arises or is deemed to accrue or arise to him in India during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33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relevant previous year.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Question 8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State with reason, whether the following statements are True or False: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Mr. X,  Karta of  HUF, claims  that the HUF is  non-resident as the business of HUF is  transacted from UK and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all the policy decisions are taken there.                                                                       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True, A HUF is considered to be a non-resident where the control and management of its affairs are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situated wholly outside India. In the given case, since all the policy decisions of HUF are taken from UK,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HUF is a non-resident.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Write a note on determination of residential status of a Hindu Undivided Family.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determination of Residential Status of a Firm/ Association of Persons/Body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Individual.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determination of  residential status of a Company.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Write short note on income deemed to accrue or arise in India.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Explain income deemed to be received in India.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Explain taxability of income accruing/arising abroad and also received abroad.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scope of total income. Or Write a note on tax incidence in case of different status.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297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297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297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297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297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9D0EB6" w:rsidRDefault="009D0EB6" w:rsidP="009D0E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t xml:space="preserve"> </w:t>
      </w:r>
    </w:p>
    <w:p w:rsidR="00E61355" w:rsidRDefault="009D0EB6" w:rsidP="009D0E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lastRenderedPageBreak/>
        <w:t xml:space="preserve">            HOUSE   </w:t>
      </w:r>
      <w:r w:rsidR="00E61355"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t xml:space="preserve">PROPERTY </w:t>
      </w:r>
    </w:p>
    <w:p w:rsidR="009D0EB6" w:rsidRDefault="009D0EB6" w:rsidP="009D0E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9D0EB6" w:rsidRDefault="009D0EB6" w:rsidP="009D0E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Write a note on computation of annual value, in case of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3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 A house  which is partly let out and partly vacant or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3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       A house vacant throughout the year.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Set Off and Carry Forward of Losses under the head House Property.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Discuss the treatment of unrealised rent and its recovery in subsequent year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How  is  income  from  self  occupied  property  or  property  meant  f or  owner  occupation,  but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remaining partly or wholly unoccupied, computed?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Write a  note  on  computation  of  income  in case  of  a  house property  which  is  in  business  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prof ession of the assessee.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Tax treatment of composite rent.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Discuss the tax liability in respect of arrears of rent.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Write a note on taxability of  the income from subletting of house property.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How the property owned by co-owners is taxed?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Ownership is the criterion for assessment of income f rom property u/s 22. However, there are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instances  in which the  income from  property  is  assessable in  the hands  of  an  assessee,  who is not 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legal owner thereof. Enumerate these cases.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82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List the circumstances under  which a person will be a deemed owner of  house property under the Income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Tax Act?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7500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75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lastRenderedPageBreak/>
        <w:t xml:space="preserve"> SALARY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Question  :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How  is  advance salary  taxed  in  the  hands  of  an  employee?  Is  the  tax  treatment  same for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loan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or advance against salary.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Advance Salary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Advance salary is taxable when it is received by the employee, irrespective of the fact whether it is due 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not. It may so happen that when advance salary is included and charged in a particular previous year,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rate  of  tax  at  which  the  employee  is  assessed  may  be  higher  than  the  normal  rate  of  tax  to  which  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would have been assessed.  Section 89(1) provides for relief in these types of cases.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Loan or Advance against Salary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Loan  is different from  salary.   When  an employee takes a loan  from his  employer,  which is  repayable in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certain  specified  installments,  the  loan  amount  cannot  be  brought  to  tax  as  salary  of  the  employee.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Similarly,  advance  against  salary  is  different  from  advance  salary.    It  is  an  advance  taken  by 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employee from his employer.  This advance is generally adjusted against his salary over a  specified time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period.  It cannot be taxed as salary.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Mr. X, a citizen of India, received salary f rom the Government of India for the service rendered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outside India. Is the salary income chargeable to tax.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What are the deductions permitted under the Income Tax Act, 1961 in the computation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income under the head “Salaries”? Discuss.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What are the tax-free perquisites.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Voluntary Retirement Scheme.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What is Profit in Lieu of Salary and under what head it is chargeable to tax.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76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lastRenderedPageBreak/>
        <w:t xml:space="preserve"> P/G/B/P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Comment on the allowability of the following claims made by the assessee: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Mr. Achal,  a  hotelier,  claimed  expenditure  on  replacement  of  Linen  and carpets  in  his  hotel  as  revenue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expenditure.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The expenditure on  replacement of linen  and  carpets in  a  hotel  are  in the nature of expenses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incurred for the business and are allowable as revenue expenses under section 37(1).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Question :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List six items of expenses which otherwise are deductible shall be disallowed, unless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payments  are actually made within the due date for furnishing the return of income under Section 139(1).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When can the deduction be claimed, if paid af ter the said date.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Section 43B provides that the following expenses shall not be allowed as deduction unless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payments are actually made within the due date for furnishing the return of income under section 139(1):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Any tax, duty, cess or fees under any law in force.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Employer’s contribution to provident fund or superannuation f und or gratuity fund or any other fund for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welfare of the employees;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(iii) Any bonus or commission for services rendered payable to employees;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(iv)  Any  interest  on  any  loan  or  borrowings  from  any  public  financial  institution  or  State  financial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corporation or State industrial investment corporation;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(v) Interest on loans and advances from a scheduled bank;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(vi) Any sum paid as an employer in lieu of earned leave at the credit of his employee.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  case  the  payment  is  made  after  the  due  date  of  filing of  return  of  income,  deduction  can  be  claimed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only in the year of actual payment.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Question: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Briefly explain the term "substantial interest". State any two situations in which the same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assumes importance.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As  per Explanation to  section 40A(2), a person  shall  be deemed to  have  a substantial interest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in a business or profession, if, -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(1)  in  case  where  the  business  or  profession  is  carried  on  by a  company,  such  person  is  the  beneficial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owner  of  shares  (not being  shares entitled  to  a  fixed  rate of  dividend, whether  with  or  without a right  to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participate in profits), carrying not less than 20% of the voting power.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(2)  In  any  other  case,  such  person  is  beneficially  entitled  to  not  less  than  20%  of  the  profits  of   such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business or profession.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Following are the situations under which the substantial interest assumes importance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Taxability of deemed dividend under section 2(22)(e);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Disallowance of excessive or unreasonable expenditure under section 40A(2) to an individual who has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 substantial interest in the business or profession of the assessee, and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(iii)  Clubbing of  salary  income  of  spouse,  under  section  64(1)(ii)  in respect  of  remuneration  received  by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spouse from a concern in which the individual has a substantial interest.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Can an Assessing Officer make a request for withdrawal of approval which was granted to an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institution  by  the  National  Committee for carrying out any eligible project or scheme, under section 35AC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of the Income-tax Act, 1961.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The  National  Committee  can  withdraw  the  approval  to  an  association  or  institution  if  it  is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satisfied that the  project  or the scheme (notified as an eligible project  or  scheme) is  not being carried 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  accordance  with  all  or  any  of  the  conditions  subject  to  which  approval  was  granted  or  if 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association/institution has failed to furnish to the National Committee, after the end of each financial year,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  progress  report  within  the  prescribed  time  in  the  prescribed  form.  The  National  Committee  should,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however,  give  a  reasonable  opportunity  to  the  concerned  association  or  institution  of  showing  cause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against the proposed withdrawal.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 copy of the order withdrawing the approval or notification should be f orwarded to the  Assessing Officer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having jurisdiction  over the  concerned  association  or institution.   Therefore, the  Assessing  Officer is  not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empowered  to  make  a  request  for withdrawal  of  the  approval  which  was  granted to an  institution  by 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National Committee under section 35AC.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Are there any restrictions on deduction allowable to the partnership firm in respect of salary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and interest to its partners under section 40(b) of the Income-tax Act, 1961?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In the case of a partnership firm, there are following restrictions: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 The  remuneration  payable  to  its  working  partners  and  interest  payable  to  partners  should  be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authorized by and in accordance with the partnership deed and should fall after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date of execution of the deed.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The payment  of interest to partners is allowable up to 12%  p.a  simple interest if it  is authorized in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partnership deed and must fall after the date of the deed.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(iii) In the case of a firm, the remuneration should not exceed the following limits: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(a) On the first `3 lakh of book profit or in the case of loss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`1,50,000 or 90% of book profits whichever is more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(b) On the balance of the book profit @ 60%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State the conditions for deductibility of bad debt written off under the Income-tax Act,1961.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The conditions for deductibility of bad debts written off under the Income-tax Act, 1961 are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(1) There must be a debt – i.e., a bad debt presupposes the existence of a debt and relationship of a debtor and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creditor.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(2) The debt must be incidental to the business or profession of the assessee.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(3) The debt must have been taken into account in computing the assessable income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(4)The debt must have been written off as irrecoverable in the books of account of the assessee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State with reasons the allowability of the following expenses under the Income-tax Act,1961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while computing income f rom business or prof ession for the Assessment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Year 2013-14 :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a) Provision made on the basis of  actuarial valuation f or payment of gratuity ` 5,00,000. However, no payment 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account of gratuity was made before due date of filing return.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b) Purchase of oil seeds of  ` 50,000 in cash from a farmer on a banking day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c) Tax on non-monetary perquisite provided to an employee ` 20,000.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d) Payment of ` 50,000 by using credit card for fire insurance.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e) Salary payment of ` 2,00,000 outside India by a company without deduction of tax.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f) Sales tax deposited in cash ` 50,000 with State Bank of India.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g) Payment made in cash ` 30,000 to a transporter in a day for carriage of goods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rPr>
          <w:rFonts w:ascii="Times New Roman" w:hAnsi="Times New Roman" w:cs="Times New Roman"/>
          <w:color w:val="231F20"/>
          <w:sz w:val="25"/>
          <w:szCs w:val="25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a) Not allowable as deduction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As per Section 40A(7), no deduction is allowed in computing business income in respect of any provision made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by the assessee in his books of account for the payment of gratuity to his employees except in the following two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cases: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1) where any provision is made for the purpose of payment of sum by way of contribution towards an approved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gratuity fund or;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2)where any provision is made for the purpose of making any payment on account of gratuity that has become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payable during the previous year.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Therefore, in the present case, the provision made on the basis of actuarial valuation for payment of gratuity has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to be disallowed under section 40A(7), since, no payment has been actually made on account of gratuity.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Note: It is assumed that such provision is not for the purpose of contribution towards an approved gratuity f und.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b)  Allowable as deduction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As per Rule 6DD, in case the payment is made for purchase of agricultural produce directly to the cultivator,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grower or producer of such agricultural produce, no disallowance under section 40A(3) is attracted even though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cash payment for the expense exceeds ` 20,000.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Therefore, in the given case, disallowance under section 40A(3) is not attracted since, cash payment for purchase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of oil seeds is made directly to the f armer.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c) Not allowable as deduction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As per section 40(a)(v), income-tax of ` 20,000 paid by the employer in respect of non-monetary perquisites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provided to its employees, which is exempt in the hands of the employee under section 10(10CC), is not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deductible while computing business income.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d) Allowable as deduction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Payment for fire insurance is allowable as deduction under section 36(1). Since payment by credit card is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covered under Rule 6DD, which contains the exceptions to section 40A(3), disallowance under section 40A(3)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is not attracted in this case.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e) Not allowable as deduction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Disallowance under section 40(a)(iii) is attracted in respect of salary payment of `2,00,000 outside India by a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company without deduction of tax at source.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f) Allowable as deduction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As per Rule 6DD, if the payment is made to the Government and, under the rules framed by it, such payment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is required to be made in legal tender, no disallowance under section 40A(3) is attracted even though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cash payment for the expense exceeds ` 20,000.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Therefore, in the given case, no disallowance under section 40A(3) is attracted since payment of sales tax is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covered by the above mentioned exception contained in Rule 6DD.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g) Allowable as deduction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limit for attracting disallowance under section 40A(3) f or payment otherwise than by way of account payee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cheque or account payee bank draft has been increased from ` 20,000 to ` 35,000 in case of  payment made for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plying, hiring or leasing goods carriage. Therefore, in the present case, disallowance under section 40A(3) is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not attracted for payment of ` 30,000 made in cash to a transporter for carriage of goods.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Question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Discuss the allowability of following :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Tax deducted at source on salary paid to employees not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remitted till the ‘due date’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The salary expenditure is allowable while computing the income of the employer even though TDS has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not been deposited within the due date under section 139(1). The disallowance under section 40(a)(ia) will not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apply for non-deduction of tax at source from income chargeable under the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head  “Salaries”.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Briefly explain the term 'Manufacture' defined in Section 2(29BA).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Define the meaning of  "Infrastructure  Capital  Fund"  as per section 2(26B) of the Income  tax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Act, 1961.       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What are the conditions to be satisfied for the allowability of expenditure under section 37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Income-tax Act, 1961?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Bad debt claim disallowed in an earlier assessment year, recovered subsequently.Is the sum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recovered, chargeable to tax?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What is meant by speculation business.What are transactions not deemed as speculative transactions.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Write a note on depreciation in case of Power Generating Units.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Additional Depreciation.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Is it mandatory to claim depreciation?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contribution for the purpose of  Rural Development.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</w:t>
      </w:r>
      <w:r>
        <w:rPr>
          <w:rFonts w:ascii="Times New Roman" w:hAnsi="Times New Roman" w:cs="Times New Roman"/>
          <w:color w:val="231F20"/>
          <w:spacing w:val="-1"/>
          <w:sz w:val="25"/>
          <w:szCs w:val="25"/>
        </w:rPr>
        <w:t xml:space="preserve"> expenditure on agricultural extension project  u/s 35CCC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</w:t>
      </w:r>
      <w:r>
        <w:rPr>
          <w:rFonts w:ascii="Times New Roman" w:hAnsi="Times New Roman" w:cs="Times New Roman"/>
          <w:color w:val="231F20"/>
          <w:spacing w:val="-1"/>
          <w:sz w:val="25"/>
          <w:szCs w:val="25"/>
        </w:rPr>
        <w:t xml:space="preserve"> expenditure on skill development project  u/s 35CCD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expenditure in connection with amalgamation/ demerger.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amortization of expenditure under Voluntary Retirement Scheme.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note on deduction of bad debts of a business.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.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deductibility of expenditures in connection with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advertisement in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newspaper etc. of a political party.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payment to relative/related person.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Discuss provisions relating to cash payments in excess of limit prescribed u/s 40A(3) Rule 6DD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the method of accounting as per section 145.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Write a note on section 43B.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Discuss provisions of Income Tax Act 1961, regarding compulsory maintenance of accounts.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short note on Compulsory Tax Audit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8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t xml:space="preserve"> </w:t>
      </w:r>
    </w:p>
    <w:p w:rsidR="00F94C05" w:rsidRDefault="00F94C05" w:rsidP="00E61355">
      <w:pPr>
        <w:spacing w:after="0"/>
        <w:jc w:val="both"/>
      </w:pPr>
    </w:p>
    <w:p w:rsidR="00E61355" w:rsidRDefault="00E61355" w:rsidP="00E61355">
      <w:pPr>
        <w:spacing w:after="0"/>
        <w:jc w:val="both"/>
      </w:pPr>
    </w:p>
    <w:p w:rsidR="00E61355" w:rsidRDefault="00E61355" w:rsidP="00E61355">
      <w:pPr>
        <w:spacing w:after="0"/>
        <w:jc w:val="both"/>
      </w:pPr>
    </w:p>
    <w:p w:rsidR="00E61355" w:rsidRDefault="00E61355" w:rsidP="00E61355">
      <w:pPr>
        <w:spacing w:after="0"/>
        <w:jc w:val="both"/>
      </w:pPr>
    </w:p>
    <w:p w:rsidR="00E61355" w:rsidRDefault="00E61355" w:rsidP="00E61355">
      <w:pPr>
        <w:spacing w:after="0"/>
        <w:jc w:val="both"/>
      </w:pPr>
    </w:p>
    <w:p w:rsidR="00E61355" w:rsidRDefault="00E61355" w:rsidP="00E61355">
      <w:pPr>
        <w:spacing w:after="0"/>
        <w:jc w:val="both"/>
      </w:pPr>
    </w:p>
    <w:p w:rsidR="009D0EB6" w:rsidRDefault="009D0EB6" w:rsidP="00E61355">
      <w:pPr>
        <w:spacing w:after="0"/>
        <w:jc w:val="both"/>
      </w:pPr>
    </w:p>
    <w:p w:rsidR="009D0EB6" w:rsidRDefault="009D0EB6" w:rsidP="00E61355">
      <w:pPr>
        <w:spacing w:after="0"/>
        <w:jc w:val="both"/>
      </w:pPr>
    </w:p>
    <w:p w:rsidR="009D0EB6" w:rsidRDefault="009D0EB6" w:rsidP="00E61355">
      <w:pPr>
        <w:spacing w:after="0"/>
        <w:jc w:val="both"/>
      </w:pPr>
    </w:p>
    <w:p w:rsidR="009D0EB6" w:rsidRDefault="009D0EB6" w:rsidP="00E61355">
      <w:pPr>
        <w:spacing w:after="0"/>
        <w:jc w:val="both"/>
      </w:pPr>
    </w:p>
    <w:p w:rsidR="009D0EB6" w:rsidRDefault="009D0EB6" w:rsidP="00E61355">
      <w:pPr>
        <w:spacing w:after="0"/>
        <w:jc w:val="both"/>
      </w:pPr>
    </w:p>
    <w:p w:rsidR="009D0EB6" w:rsidRDefault="009D0EB6" w:rsidP="00E61355">
      <w:pPr>
        <w:spacing w:after="0"/>
        <w:jc w:val="both"/>
      </w:pPr>
    </w:p>
    <w:p w:rsidR="009D0EB6" w:rsidRDefault="009D0EB6" w:rsidP="00E61355">
      <w:pPr>
        <w:spacing w:after="0"/>
        <w:jc w:val="both"/>
      </w:pPr>
    </w:p>
    <w:p w:rsidR="009D0EB6" w:rsidRDefault="009D0EB6" w:rsidP="00E61355">
      <w:pPr>
        <w:spacing w:after="0"/>
        <w:jc w:val="both"/>
      </w:pPr>
    </w:p>
    <w:p w:rsidR="009D0EB6" w:rsidRDefault="009D0EB6" w:rsidP="00E61355">
      <w:pPr>
        <w:spacing w:after="0"/>
        <w:jc w:val="both"/>
      </w:pPr>
    </w:p>
    <w:p w:rsidR="009D0EB6" w:rsidRDefault="009D0EB6" w:rsidP="00E61355">
      <w:pPr>
        <w:spacing w:after="0"/>
        <w:jc w:val="both"/>
      </w:pPr>
    </w:p>
    <w:p w:rsidR="009D0EB6" w:rsidRDefault="009D0EB6" w:rsidP="00E61355">
      <w:pPr>
        <w:spacing w:after="0"/>
        <w:jc w:val="both"/>
      </w:pPr>
    </w:p>
    <w:p w:rsidR="009D0EB6" w:rsidRDefault="009D0EB6" w:rsidP="00E61355">
      <w:pPr>
        <w:spacing w:after="0"/>
        <w:jc w:val="both"/>
      </w:pPr>
    </w:p>
    <w:p w:rsidR="009D0EB6" w:rsidRDefault="009D0EB6" w:rsidP="00E61355">
      <w:pPr>
        <w:spacing w:after="0"/>
        <w:jc w:val="both"/>
      </w:pPr>
    </w:p>
    <w:p w:rsidR="00E61355" w:rsidRDefault="00E61355" w:rsidP="00E61355">
      <w:pPr>
        <w:spacing w:after="0"/>
        <w:jc w:val="both"/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6656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lastRenderedPageBreak/>
        <w:t xml:space="preserve">CAPITAL GAINS </w:t>
      </w:r>
      <w:r w:rsidR="009D0EB6"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t xml:space="preserve"> </w:t>
      </w: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656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Ms. Vasudha contends that sale of a work of art held by her is not eligible to capital gains tax;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is she correct.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As per section 2(14)(ii), the term “personal effect” excludes any work of art.   As a result, any work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art will be considered as a capital asset and sale of the same will attract capital gains tax.  Thus,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contention of Ms. Vasudha is not correct.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Mrs X, an individual resident woman, wanted to know whether income-tax is attracted on sale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of gold and jewellery gifted to her by her parents on the occasion of her marriage in the year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1979 which was purchased at a total cost of `2,00,000.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The definition of capital asset under section 2(14) includes jewellery. Therefore, capital gains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is  attracted  on  sale  of  jewellery,  since  jewellery is  excluded  from  personal  effects.    The  cost  to  the  previous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owner  or the f air market value  as  on 1/4/1981,  whichever is  more  beneficial to assessee,  would be  treated  as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 cost of  acquisition. Accordingly, in  this  case, long  term  capital gain  @  20% will  be  attracted in  the  year  in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which the gold and jewellery is sold by MrsX.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Mr. Abhik's father, who is a senior citizen had pledged his residential house to a bank under a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notified reverse mortgage scheme. He was getting loan from bank in monthly installments. Mr. Abhik's father did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not  repay  the  loan on  maturity  and  gave possession  of  the house  to  the bank  to  discharge his  loan.    How  will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treatment of long-term capital gain be made on such reverse mortgage transaction.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Finance Act, 2008 has  inserted clause (xvi) in  section 47 to provide that any transf er  of a capital asset in a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transaction  of  reverse  mortgage  under  a  scheme  made  and  notified  by  the  Central  Government  shall  not  be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considered as a transfer for the purpose of capital gain.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Accordingly, the  transaction made by Mr. Abhik's father will not be  regarded  as a transfer. Therefore, no capital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gain will be charged on such transaction.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Further, section 10(43) provides that the amount  received by the senior citizen as a loan, either in lump sum 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 installment, in a transaction of reverse mortgage would be exempt from income-tax.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However, capital gains tax liability would be attracted at the stage of alienation of the mortgaged property by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bank for the purposes of recovering the loan.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computation of capital gains in case of insurance claims.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Write a  note  on computation of  capital gains  in case  of  conversion  of  capital assets into stock-in-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trade.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Write a note on computation of capital gains in case of transfer of capital asset by a depository.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Write a note on computation of capital gains on compulsory acquisition of a capital asset.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transactions not regarded as transfer.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Explain reverse  mortgage.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 on </w:t>
      </w:r>
      <w:r>
        <w:rPr>
          <w:rFonts w:ascii="Times New Roman" w:hAnsi="Times New Roman" w:cs="Times New Roman"/>
          <w:color w:val="231F20"/>
          <w:spacing w:val="-1"/>
          <w:sz w:val="25"/>
          <w:szCs w:val="25"/>
        </w:rPr>
        <w:t xml:space="preserve"> f air market value deemed to  be f ull value of consideration in certain cases covered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1"/>
          <w:sz w:val="25"/>
          <w:szCs w:val="25"/>
        </w:rPr>
        <w:t>under section 50D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advance money or forfeiture of advance money under section 51.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ref erence to valuation officer.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 short note on  special provisions for full value of consideration in certain cases,  in the context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of capital gains liability.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8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67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t xml:space="preserve">OTHER SOURCES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Write a note on taxability of dividend income including deemed dividend.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Define a company in which public are subst antially interested.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 </w:t>
      </w:r>
    </w:p>
    <w:p w:rsidR="00E61355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7218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t xml:space="preserve"> </w:t>
      </w:r>
      <w:r w:rsidR="00E61355"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t xml:space="preserve"> CLUBBING </w:t>
      </w: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7218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7218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How does the Income-tax Act, 1961 deal with conversion of a self-acquired property into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property of a Hindu Undivided Family.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Section 64(2) deals with the case of conversion of self-acquired property into property of a Hindu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Undivided Family.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Where an individual, who is a member of the HUF, converts  his individual property into property of  the HUF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of which he is a member or throws such property into the common stock of the family or otherwise transfers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such individual property, directly or indirectly, to the f amily otherwise than for adequate consideration,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income from such property shall continue to be included in the total income of the individual.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Where the converted property has been the subject-matter of a partition (whether partial or total) ,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income derived from such converted property as is received by the spouse on partition will be deemed to arise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to the spouse from assets transferred indirectly by the individual to the spouse and consequently, such income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shall also be included in the total income of the individual who effected theconversion of such property.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(iii) Where income from the converted property is included in the total income of an individual u/s 64(2), it will be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excluded from the total income of the family or, as the case may be, of the spouse of the individual.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Mr. Vatsan has transferred through a duly registered document the income arising from a godown,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to his son, without transferring the godown. In whose hands will the rental income from godown be charged.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Section 60 expressly states that where there is transfer of income from an asset without transfer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asset itself, such income shall be included in the total income of the transferor.  Hence, the rental income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derived from the godown shall be charged in the hands of Mr. Vatsan.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lastRenderedPageBreak/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Define Revocable &amp; Irrevocable transfer of Income/Asset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: Clubbing of Minor Income &amp; exceptions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7474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lastRenderedPageBreak/>
        <w:t xml:space="preserve"> SET OFF </w:t>
      </w: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7474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7474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State the factors to be borne in mind relating to carry forward and set off of losses in case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change in constitution of firm or succession under section 78.     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Carry forward and set off of losses in case of change in constitution of firm or succession [Section 78]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Where there is a change in the constitution of a firm, so much of the loss proportionate to the share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 retired or deceased partner remaining unabsorbed shall not be allowed to be carried forward by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firm.  However, unabsorbed depreciation can be carried forward.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Where any person carrying on any business or profession has been succeeded in such capacity by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another person otherwise than by inheritance, such other person shall not be allowed to carry forward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and set off against his income, any loss incurred by the predecessor.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(iii) Where there is a succession by inheritance, the legal heirs [assessable as body of individuals (BOI)]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are entitled to set off the business loss of the predecessor.  Such carry f orward and set off is possible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even if the legal heirs constitute themselves as a partnership firm. In such a case, the firm can carry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forward and set off the business loss of  the predecessor.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588"/>
        <w:rPr>
          <w:rFonts w:ascii="Times New Roman" w:hAnsi="Times New Roman" w:cs="Times New Roman"/>
          <w:color w:val="231F20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Discuss in brief the provisions relating to set off and carry f orward of losses in speculation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business.               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The loss of a speculation business of any assessment year is allowed to be set off only against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profits and gains of another speculation business in the same assessment year.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The speculation loss not set-off in the same assessment year, is allowed to be carried forward to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subsequent years and set-off only against income of any speculation business.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(iii) The loss in speculation business can be carried forward only for a maximum period of 4 years from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end of the relevant assessment year in respect of which the loss was computed.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(iv) Loss from the activity of trading in derivatives, however, is not to be treated as speculative loss.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set off and carry forward of losses in case of Amalgamation/Demerger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 Write  a  note  on  set  off  and  carry  forward  of  losses  in  case  of  Conversion  of  Proprietary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Concern or Partnership Firm into a Company.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Write  a note on  carry forward and set off  of losses  in case of change in  Constitution of Firm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or on Succession.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set off and carry forward of losses in case of  Conversion of Private Company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or Unlisted Public Company into Limited Liability Partnership Firm.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“Loss can be carried forward only by the person, who has incurred the loss”. – Discuss.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Set off &amp; carry forward of losses in case change in shareholding of closely held company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Short note on Dividend &amp; Bonus stripping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6912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lastRenderedPageBreak/>
        <w:t xml:space="preserve"> DEDUCTIONS </w:t>
      </w: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912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Briefly explain provisions of section 80U of the Income-tax Act, 1961, in respect of deduction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available on permanent physical disability.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This  section  is  applicable  to  a  resident  individual,  who,  at  any  time  during  the  previous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year,  is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certified  by  the  medical authority  to be  a  person  with disability.   A deduction of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`50,000 in respect of person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with  disability  and  `1,00,000  in  respect  of  a  person  with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severe  disability  (having  disability  over  80%)  is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allowable under this section.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benefit of deduction under this section has also been extended to persons suffering from autism, cerebral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palsy and multiple disabilities.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 assessee  claiming  a  deduction  under  this  section  shall  furnish  a  copy  of  the  certificate  issued  by 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medical authority in the  form  and  manner, as  may  be prescribed, alongwith the  return of income u/s  139,  in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respect of the assessment year for which the deduction is claimed.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Where  the  condition  of  disability requires  reassessment,  a  fresh  certificate f rom  the medical  authority  shall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have to be  obtained  after the  expiry  of  the period mentioned  in  the  original certificate in  order  to continue  to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claim the deduction.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8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deductions u/s  80GGA in respect of donations etc to certain notified institutions.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deduction in case of donation to the political parties.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deduction in case of income from processing etc of biodegradable waste.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deduction in case of royalty income from certain books.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deduction in case of royalty on patents. </w:t>
      </w:r>
    </w:p>
    <w:p w:rsidR="00E61355" w:rsidRDefault="00E61355" w:rsidP="00E61355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deduction in </w:t>
      </w:r>
      <w:r>
        <w:rPr>
          <w:rFonts w:ascii="Times New Roman" w:hAnsi="Times New Roman" w:cs="Times New Roman"/>
          <w:color w:val="231F20"/>
          <w:spacing w:val="-1"/>
          <w:sz w:val="25"/>
          <w:szCs w:val="25"/>
        </w:rPr>
        <w:t xml:space="preserve"> respect of interest on deposits in savings account.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</w:t>
      </w:r>
    </w:p>
    <w:p w:rsidR="009D0EB6" w:rsidRDefault="009D0EB6" w:rsidP="00E61355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9D0EB6" w:rsidRDefault="009D0EB6" w:rsidP="00E61355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6348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lastRenderedPageBreak/>
        <w:t xml:space="preserve">EXEMPT INCOMES </w:t>
      </w: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348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8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Will a charitable trust forfeit the exemption granted to it, if it holds shares in a public sector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Company.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According to section 13(1)(d), investment in shares in a public sector company is allowed to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be made by a charitable trust. Therefore, a charitable trust holding shares in a public sector company can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continue to claim exemption.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When is a charitable trust required to file its audit report alongwith return of income.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A charitable trust is required to get its accounts audited by a Chartered Accountant and file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audit report in  the prescribed form,  duly  signed  and  verified by such  accountant,  along  with  its  return 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income when the total income of the trust before giving effect to section 11 and 12 exceeds the maximum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amount not chargeable to tax i.e. `2,00,000.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Explain the meaning of expression "advancement of any other object of general public utility"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 the context of  "Charitable Purpose" defined under section 2(15) of the Act.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 proviso to section 2(15)  of  the Act provides that “advancement of any  other  object of  general  public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utility" shall not be a charitable purpose, if it involves carrying on of: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any activity in the nature of trade, commerce or business, 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 any  activity  of  rendering of any  service in  relation to  any  trade,  commerce or  business, for  a  cess  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fee  or  any  other  consideration, irrespective of the  nature  of  use or  application  of  the  income  from  such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activity or the retention of such income, by the concerned entity.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 xml:space="preserve">Provided receipts are upto 25 lakhs during the previous year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 expression "advancement  of any  other object of general  public utility" includes any object which  will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be beneficial even to a segment of society and not necessarily to the whole mankind. However, the object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should not be for the benefit of specified individuals.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State  with  reasons,  whether  the  following  statements  are  true  or  false,  with  regard  to 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provisions of the Income-tax Act, 1961: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(a) In respect of voluntary contributions in excess of `20,000 received by a political party,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exemption under section 13A is available where proper details about the donations are maintained; there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is no need to maintain books of accounts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(b)  Compensation  on account  of  disaster received f rom a local authority by an  individual or  his/her legal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heir is taxable.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(c)  Mr.  P,  a  shareholder  of  a  closely  held  company,  holding  16%  shares,  received  advances  from  that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company  which  is  to  be  deemed as  dividend  from  an  Indian  Company,  hence  exempted  under  section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10(34) of the Income-tax Act, 1961.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(a)  False 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The  obligation  under  section  13A  to  maintain  proper  details  of  voluntary  contributions  in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excess  of  `20,000  is  over  and  above  the  obligation  to  maintain  such  books  of  account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    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and  other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documents as would enable the Assessing Officer to properly deduce its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income there from.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(b) False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As per section 10(10BC), any amount received or receivable as compensation by an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individual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or his/her legal heir on account of any disaster from the Central Government,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State Government or a local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authority is exempt from tax.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(c) False :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As per section 10(34) of the Act, only income by way of dividend referred to  in  section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115-O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shall be  exempt in  the hands  of  shareholde`  Corporate  dividend  tax  is not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leviable on  deemed  dividend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under section 2(22)(e) and hence, such deemed dividend is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not exempt under section 10(34).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588"/>
        <w:rPr>
          <w:rFonts w:ascii="Times New Roman" w:hAnsi="Times New Roman" w:cs="Times New Roman"/>
          <w:color w:val="231F20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Briefly discuss about the provisions relating to deductibility of expenditure incurred in relation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to income not includible in assessee's total income.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lastRenderedPageBreak/>
        <w:t xml:space="preserve">Answer :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 As  per  section  14A,  expenditure  incurred  in  relation  to  any  exempt  income  is  not  allowed  as  a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deduction while computing income under any of the five heads of  income.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 However, the Assessing Officer is  not empowered to reassess under section  147 or  to  pass  an order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increasing the liability of  the assessee  by way of enhancing the assessment  or  reducing a refund already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made or otherwise increasing the liability of the assessee under section 154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(iii)  The  Assessing  Officer  is  empowered to determine  the  amount of expenditure incurred  in relation  to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such  income  which  does  not  form  part  of  total  income  in  accordance  with  such  method  as  may  be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prescribed by the CBDT in this regard.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(iv) Such method should be adopted by the Assessing Officer if  he is not satisfied with the correctness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claim of the assessee, having regard to the accounts of the assessee.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(v) Further, the Assessing Officer is empowered adopt such method, even where an assessee claims that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no expenditure has been incurred by him in relation to income which does not form part of total income.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How is exemption granted by section 10(10CC) in respect of income-tax paid by employer.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Section 10(10CC) provides f or exemption in the hands of an employee, being an individual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deriving  income  by  way  of  perquisites,  not provided by way of monetary  payment  within the  meaning 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section 17(2). This applies where the tax on such income is actually paid by the employer, at the option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employer, on behalf of  such employee  notwithstanding anything contained  u/s of  the Companies Act,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1956.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This provision will provide relief to the employee if  the employer is willing to bear the tax burden in respect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of non-monetary  perquisites provided by it to the employee as otherwise the tax so paid by the employer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would have been treated as income of the employee.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lastRenderedPageBreak/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Whether the income derived from saplings or seedlings grown in a nursery is taxable under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Income-Act, 1961.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 :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As  per Explanation  3  to  section 2(1A)  of  the  Act, income derived  from  saplings  or  seedlings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grown  in a  nursery  shall be deemed  to be  agricultural  income  and  exempt  from  tax,  whether  or  not 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basic operations were carried out on land.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Mr. Anil earned `5,00,000 f rom sale of Coffee grown and cured (processed) by him. He claims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entire income as agricultural income, hence exempt from tax. Is he correct 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Mr. Anil is not correct in claiming the entire income as agricultural income. As per rule 7B, in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case of income derived from the sale of coffee grown and cured (processed) by the seller in India, 25%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such income is taxable as business income under the head ‘Profits and gains from business 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prof ession’ and the balance (i.e. 75%) is exempt from tax. Hence, only ` 3,75,000 (75% of `5,00,000)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being agricultural income is exempt from tax.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What is the time limit for filing application seeking registration in the case of Charitable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Trusts/Institutions under section 12AA of the Act.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Section 12A(aa) requires that the person in receipt of income should make an application for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registration of the charitable trust or institution in the prescribed form and prescribed manner to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Commissioner of Income-tax.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If the application is made on or after 1st June, 2007 the provisions of section 11 and 12 shall apply in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relation to income of such trust and institution from the assessment year immediately following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financial year in which such application is made. The application can therefore be filed at any time. </w:t>
      </w: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117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117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117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117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117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6117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lastRenderedPageBreak/>
        <w:t xml:space="preserve">RETURN OF INCOME </w:t>
      </w: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117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</w:p>
    <w:p w:rsidR="009D0EB6" w:rsidRDefault="009D0EB6" w:rsidP="00E61355">
      <w:pPr>
        <w:widowControl w:val="0"/>
        <w:autoSpaceDE w:val="0"/>
        <w:autoSpaceDN w:val="0"/>
        <w:adjustRightInd w:val="0"/>
        <w:spacing w:after="0" w:line="240" w:lineRule="auto"/>
        <w:ind w:left="6117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State with reasons, whether the following statements are true or false, with regard to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provisions of the Income-tax Act, 1961: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Assessing Officer has the power, inter alia, to allot PAN to any person by whom no tax is payable.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Where the Karta of a HUF is absent from India, the return of income can be signed by any male member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family.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(i) True: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Section 139A(2) provides that the Assessing Officer may, having regard to the nature of transactions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as may be prescribed, also allot a PAN to any other person, whether any tax is payable by him or not, in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manner and in accordance with the procedure as may be prescribed.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(ii) False: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Section 140(b) provides that where the karta of a HUF is absent from India, the return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income can be signed by any other adult member of the family; such member can be a male or female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member.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Discuss briefly about the scheme to facilitate submission of return of income through Tax Return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Preparers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(1) Section 139B provides that, for the purpose of enabling any specified class or classes of persons to prepare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and f urnish their returns of income, the CBDT may notify a Scheme to provide that such persons may furnish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their returns of income through a Tax Return Preparer authorised to act as such under the Scheme.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(2) The Tax Return Preparer shall assist the persons f urnishing the return in a manner that will be specified in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Scheme, and shall also affix his signature on such return.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(3) A Tax Return Preparer can be an individual, other than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any officer of a scheduled bank with which the assessee maintains a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current account or has other regular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dealings.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any legal practitioner who is entitled to practice in any civil court in India.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(iii) a chartered accountant.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(4) The “specified class or classes of persons” for this purpose means any person, other than a company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or a person, whose accounts are required to be audited under section 44AB or under any other existing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law, who is required to furnish a return of income under the Act.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The total income of a University without giving effect to exemption under section 10(23C) is ` 46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lacs. Its total income, however, is nil. Should the University file its return of income?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Section 139(4C) enjoins that, a university referred to in section 10(23C), should file the return of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income if its total income without giving effect to the exemption under section 10, exceeds the basic exemption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limit.  The provisions of the Act will apply as if it were a return required to be furnished under section 139(1). In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given case, since the total income of the University before giving eff ect to the exemption exceeds the basic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exemption limit, it has to file its return of income.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Comment on the allowability of the following claims made by the assessee: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M` Hetal, an individual engaged in the business of Beauty Parlour, has got her books of account f or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Financial year ended on 31stMarch, 2013 audited under section 44AB. Her total income for the assessment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year 2013-14 is ` 2,35,000. She wants to furnish her return of income for assessment year 2013-14 through a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tax return preparer.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Section 139B provides a scheme for submission of return of income for any assessment year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through a tax return preparer. However, it is not applicable to persons whose books of account are required to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be audited under section 44AB. Therefore, M` Hetal cannot furnish her return of income for A.Y.2013-14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through a tax return preparer.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lastRenderedPageBreak/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Enumerate eight transactions for which quoting of Permanent Account Number is mandatory.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Answer : 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Prescribed Transactions where PAN has to be Quoted : Rule 114B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7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Mention any 8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                         Particulars of Transactions  Value of Transaction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1.                                                                    ` 5,00,000 or more </w:t>
      </w:r>
      <w:r>
        <w:rPr>
          <w:rFonts w:ascii="Times New Roman" w:hAnsi="Times New Roman" w:cs="Times New Roman"/>
          <w:color w:val="000000"/>
          <w:spacing w:val="-1"/>
        </w:rPr>
        <w:t xml:space="preserve">  Sale &amp; Purchase of Immovable property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82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</w:t>
      </w:r>
      <w:r>
        <w:rPr>
          <w:rFonts w:ascii="Times New Roman" w:hAnsi="Times New Roman" w:cs="Times New Roman"/>
          <w:color w:val="000000"/>
          <w:spacing w:val="-1"/>
        </w:rPr>
        <w:t xml:space="preserve"> Payment to a dealer for purchase of bullion or jewellery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2.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3.  Sale/Purchase of Securities   Greater than ` 1,00,000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4.   Time deposit with any bank                                           Greater than ` 50,000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5.  Deposit with post Office Saving Banks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6.   Cash  Payment  for purchase  of  bank  draft,  pay  order,  banker  cheque 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from any bank during one day                                       Atleast ` 50.000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7.  Cash Deposit in any bank in one account in a day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8.  Payment to Mutual Fund for purchase of its units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9.  Payment to company for acquiring shares issued by it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10.  Payment to company for acquiring debentures or bonds issued by it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11.  Payment to RBI for acquiring bonds issued by it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12  Payment of  life insurance premium to an insurer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13.   Payment of Hotel/Restaurant bill at one time                     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14.  Cash payment for travel to foreign country                      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6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(</w:t>
      </w: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 xml:space="preserve"> Does not includes travel to Pakistan ,Nepal ,Bhutan, Bangladesh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      Greater than ` 25,000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6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 xml:space="preserve">,Srilanka, Maldives or travel to China on kailash mansarover or to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6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>Saudi Arabia on Haj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6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Sale/Purchase of Motor vehicle </w:t>
      </w: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 xml:space="preserve"> (other than 2 wheelers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)  15.                                                          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16.  Application for installation of Telephone/Cellular                 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17.  Opening an Account with any bank                                   Any value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19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18.  Application for Credit/Debit Card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Can an individual, who is not in India, sign the return of income from outside India? Is there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any other option.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As per section 140, return of income can be signed by an individual even if he is absent from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India.Hence, an individual can himself sign the return of income from a place outside India.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Alternatively,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any person holding a valid power of attorney and duly authorised by the individual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can also sign the return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of income. However, such power of attorney should be attached along with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the return of income.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Explain with brief reason whether the return of income can be revised under section 139(5)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Income-tax Act, 1961 in the following cases: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Def ective or incomplete return filed under section 139(9).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Belated return filed under section 139(4).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(iii) Return already revised once under section 139(5).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(iv) Return of loss filed under section 139(3).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Any person who has furnished a return under section 139(1) or in pursuance of a notice issued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under section 142(1) can file a revised return if he discovers any omission or any wrong statement in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return filed earlier.  Accordingly:-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A defective or incomplete return filed under section 139(9) cannot be revised.  However, the defect can be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removed.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A belated return filed under section 139(4) cannot be revised. Only a return furnished under section 139(1)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or in pursuance of a notice issued under section 142(1) can be revised.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(iii) A return revised earlier can be revised again as the first revised return replaces the original return.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Therefore, if the assessee discovers any omission or wrong statement in such a revised return, he can furnish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 second revised return within the prescribed time i.e. within one year from the end of the relevant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assessment year or before the completion of  assessment, whichever is earlier.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(iv) A return of loss filed under section 139(3) is deemed to be return filed under section 139(1), and therefore,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can be revised under section 139(5).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588"/>
        <w:rPr>
          <w:rFonts w:ascii="Times New Roman" w:hAnsi="Times New Roman" w:cs="Times New Roman"/>
          <w:color w:val="231F20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588"/>
        <w:rPr>
          <w:rFonts w:ascii="Times New Roman" w:hAnsi="Times New Roman" w:cs="Times New Roman"/>
          <w:color w:val="231F20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588"/>
        <w:rPr>
          <w:rFonts w:ascii="Times New Roman" w:hAnsi="Times New Roman" w:cs="Times New Roman"/>
          <w:color w:val="231F20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588"/>
        <w:rPr>
          <w:rFonts w:ascii="Times New Roman" w:hAnsi="Times New Roman" w:cs="Times New Roman"/>
          <w:color w:val="231F20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Return of income of a company was  signed by the Company Secretary. Is the return a valid return?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Where the return of income of a company was signed by a company secretary although it is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supposed to be signed by a Managing Director or a Director (in the absence of a Managing Director), it is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 def ective return, which can be rectified and not an invalid return.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lastRenderedPageBreak/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Write a note on filing of return of income u/s 139(1)                                                             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                                    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Return of Loss u/s 139(3).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belated return of income u/s139(4).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revised return of income u/s 139(5).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defective return of income u/s139(9).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permanent account number u/s139A.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Write a note on submission of returns through Tax Return Preparer u/s 139B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Write a note on signing of return of income u/s 140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color w:val="000000"/>
          <w:spacing w:val="-1"/>
          <w:sz w:val="25"/>
          <w:szCs w:val="25"/>
        </w:rPr>
      </w:pP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4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45"/>
          <w:szCs w:val="4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6194"/>
        <w:jc w:val="both"/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45"/>
          <w:szCs w:val="45"/>
        </w:rPr>
        <w:lastRenderedPageBreak/>
        <w:t xml:space="preserve"> TDS /ADVANCE ATX </w:t>
      </w:r>
    </w:p>
    <w:p w:rsidR="00125E27" w:rsidRDefault="00125E27" w:rsidP="00E61355">
      <w:pPr>
        <w:widowControl w:val="0"/>
        <w:autoSpaceDE w:val="0"/>
        <w:autoSpaceDN w:val="0"/>
        <w:adjustRightInd w:val="0"/>
        <w:spacing w:after="0" w:line="240" w:lineRule="auto"/>
        <w:ind w:left="6194"/>
        <w:jc w:val="both"/>
        <w:rPr>
          <w:rFonts w:ascii="Times New Roman" w:hAnsi="Times New Roman" w:cs="Times New Roman"/>
          <w:sz w:val="24"/>
          <w:szCs w:val="24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List any 5 instances where the tax deductible at source in terms of section 194A will not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apply.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1. interest is credited or paid by a firm to a partner of the firm;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2.  interest is credited or paid to any banking company or any financial corporation established by 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under a Central, State or Provincial Act or Life Insurance Corporation of India or Unit Trust of India or any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company or co-operative society carrying on the business of insurance or such other institution,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association or body or class of institutions, associations or bodies notified by the Central Government;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(3) interest credited or paid by a co-operative society to a member thereof or to any other co-operative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society;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(4) interest credited or paid in respect of deposits under any scheme framed by the Central Government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and notified by it in this behalf;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(5) interest credited or paid in respect of deposits with primary agricultural credit society or a primary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credit society or a co-operative land mortgage bank or a co-operative land development bank;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(6) interest income credited or paid by the Central Government under any provision of the Income-tax Act,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Estate Duty Act, the Wealth-tax Act etc.;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Briefly discuss about the interest chargeable under Section 234A for delay or default in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furnishing return of income.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35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234A :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Interest for defaults in furnishing Return of Income 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Answer :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    Where the Return of Income f or any assessment year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Is furnished after the due date,Interest shall be payable @ 1% per month or part of the month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From date after Due date of return  to Date of payment of tax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On Tax as per ROI less Tax Paid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What are the consequences of failure to deduct tax at source or pay the tax deducted at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source to the credit of Central Government.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Sec 201 :  Consequences of Failure to Deduct/Pay TDS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8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</w:t>
      </w: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 xml:space="preserve">   Where any personwho is required to deduct TDS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8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</w:t>
      </w: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 xml:space="preserve">  does not deduct, or after deducting fails to pay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8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</w:t>
      </w: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 xml:space="preserve">  the whole or any part of the tax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8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</w:t>
      </w: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 xml:space="preserve">  then, such person  be deemed to be an Assessee in default  and liable to Penalty u/s 221 upto the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8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 xml:space="preserve">      amount of Tax in Arrears    and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8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</w:t>
      </w: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 xml:space="preserve">  Liable to pay Interest @ 1% pm or part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8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</w:t>
      </w: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 xml:space="preserve">  for period from Due date of deduction TO  Date of actual Deduction AND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8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</w:t>
      </w: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 xml:space="preserve">  Interest @ 1.5% Pm or part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8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</w:t>
      </w: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 xml:space="preserve">  for the period from Date of actual deduction TO Date of actual deposit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8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</w:t>
      </w:r>
      <w:r>
        <w:rPr>
          <w:rFonts w:ascii="Times New Roman" w:hAnsi="Times New Roman" w:cs="Times New Roman"/>
          <w:i/>
          <w:iCs/>
          <w:color w:val="292526"/>
          <w:spacing w:val="-1"/>
          <w:sz w:val="25"/>
          <w:szCs w:val="25"/>
        </w:rPr>
        <w:t xml:space="preserve">  and such interest shall be paid before furnishing the statement </w:t>
      </w:r>
      <w:r>
        <w:rPr>
          <w:rFonts w:ascii="Times New Roman" w:hAnsi="Times New Roman" w:cs="Times New Roman"/>
          <w:i/>
          <w:iCs/>
          <w:color w:val="000000"/>
          <w:spacing w:val="-1"/>
          <w:sz w:val="25"/>
          <w:szCs w:val="25"/>
        </w:rPr>
        <w:t xml:space="preserve">    u/s 200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Briefly discuss the provisions relating to payment of advance tax on income arising from capital gains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and casual income.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The proviso to section 234C contains the provisions f or payment of advance tax in case of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capital gains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and casual income.Advance tax is payable by an assessee on his/its total income, which includes capital gains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and casual income like income from lotteries, crossword puzzles, etc. Since it is not possible f or the assessee to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estimate his capital gains, or income from lotteries etc. it has been provided that if any such income arises after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due date for any installment, then, the entire amount of the tax payable (after considering tax deducted at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source) on suchcapital gains or casual income should be paid in the remaining installments of advance tax, which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are due.Where no such installment is due, the entire tax should be paid by 31st March of the relevant financial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year.No interest liability on late payment would arise if the entire tax liability is so paid.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lastRenderedPageBreak/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Briefly explain the provisions of section 197 in respect of obtaining certificate for deduction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tax at a lower rate.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Section 197 applies where, in the case of any income of any person or sum payable to any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person, income-tax is required to be deducted at the time of credit or payment, as the case may be, at the rates in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force as per the provisions of sections 192, 193, 194, 194A, 194C, 194D, 194G, 194H, 194-I, 194J, 194K, 194LA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and 195 of the Act. The assessee can make an application to the Assessing Officer for deduction of tax at a lower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rate or for non-deduction of tax.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If the Assessing Officer is satisfied that the total income of the recipient justifies the deduction of income-tax at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lower rates or no deduction of income-tax, as the case may be, he may give to the assessee a certificate to this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effect.Where the Assessing Officer issues such a certificates, the person responsible for paying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income shall deduct income-tax at such lower rates, as specified in the certificate, or deduct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no tax, as the case may be, until such certificate is cancelled by the Assessing Officer.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Question: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Mrs Hemalatha has made payments of ` 5 lacs to a contractor (for business purposes)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during the last two quarters of the year ended 31.3.2013. Her turnover for the year ended 31.3.2013 is ` 35 lacs.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Is there any obligation to deduct tax at source. The turnover of `65 lakh is in respect of  the year ended 31.3.2012.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In the case of an individual, the provisions of section 194C shall apply, where the turnover from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business has exceeded `60 lakh during the financial year immediately preceding the financial year in which such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payment is made and payment is made for other than for personal purposes. In the given case, since the turnover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of Mrs Hemalatha has exceeded `60 lakh for the year ended 31 st  March 2012 and the payment of ` 5 lakh to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contractor is for business purposes, she shall be liable to deduct tax at source in respect of payment made to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the contractor at the applicable rate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40"/>
          <w:szCs w:val="40"/>
        </w:rPr>
      </w:pP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What are the due dates of  installments and the quantum of advance tax payable by Companies.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lastRenderedPageBreak/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Advance tax installments payable by Companies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due dates of installments and quantum of advance tax payable by a company assessee are as under:-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Due date of installment                                                                               Amount payable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On or before the 15 thJune                                                        Not less than 15% of advance tax liability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On or before the 15thSeptember                                               Not less than 45% of advance tax liability as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                                                                                               reduced by the amount paid in earlier installment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On or before the 15thDecember                                                Not less than 75% of advance tax liability as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                                                                                               reduced by the amount paid in earlier installments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On or before the 15 th March                                                    The whole amount of advance tax liability as               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                                                                                               reduced by the amount paid in earlier installments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When will tax not required to be deducted at source on interest payable to a resident on any bond 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security issued by a company though the aggregate amount of  interest exceeds `2,500, the basic exemption limit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under section 193 of the Act.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Answer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As per section 193 of the Act, no tax is required to be deducted at source on any interest payable to a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resident on any bond or security issued by a company, where the following conditions are satisfied -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where such security is in dematerialised form and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is listed on a recognised stock exchange in India.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State with reasons, whether the following statements are true or false having regard to the provisions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of the Income-tax Act, 1961, for the assessment year 2013-14: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(a) Person not deducting tax also deemed to be an assessee in default under section 191 read with section 201 of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Income-tax Act, 1961.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(b) An AOP having gross receipts of `60 lacs during the financial year 2012-13 is not required to deduct tax at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source under section 194C of Income-tax Act, 1961, on payment made to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contractors during financial year 13-14.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(a) True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Section 201 deems certain persons to be an assessee-in-default if they –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(i) do not deduct the whole or any part of the tax; or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(ii) after deducting, fail to pay the tax.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This deeming provision is also contained in the Explanation to section 191. Therefore, a person not deducting tax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is also deemed to be an assessee-in-default.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(b) False :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Association of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persons and Body of Individuals whose total sales/gross receipts/turnover from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businessor profession exceeds the monetary limits specified in section 44AB during the financial year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    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immediately preceding the financial year in which such sum is credited or paid to the account of the contractor.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Thus, such AOPs and BOIs subject to tax audit in the immediately preceding financial year are liable to deduct tax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at source from payments to resident contractors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Mrs Indira, a landlord, derived income from rent from letting a house property to M/s Vaibhav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Corporation Ltd. of `1,00,000 per month. She charged the service tax @ 10.3% on lease rent charges. Calculate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the deduction of tax at source (TDS) to be made by M/s Vaibhavi Corporation Ltd. on payment made to Mrs Indira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and narrate related formalities in relation to TDS.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(1) the service tax paid by the tenant does not partake the nature of income of the landlord.  The landlord only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acts as acollecting agency for collection of service tax. Therefore, tax deducted at source under section 194-I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would be required to be made on the amount of rent paid or payable excluding the amount of service tax, i.e. tax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has to be deducted under section 194-I on `12 lakh.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(2) TDS shall be applicable @ 10%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(3) TDS @10% on `1,00,000 would amount to `10,000, to be deducted every month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(4) Tax deducted should be deposited within prescribed time.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(5) Form No. 16-A has to be issued by M/s. Vaibhavi Corporation Ltd. to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Mr.  Abhijit within the prescribed time.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66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Question :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 State with reasons the taxability/deductibility of the following items in the context of Income-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tax Act, 1961: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1. Agricultural income to a resident of India from a land situated in Malaysia.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2. Bad debt of ` 50,000 written off and allowed in the financial year 2007-08 recovered in the financial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year 2012-13.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3. Allowance received by an employee working in a transport system at `20,000 per month to meet his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personal expenditure while in duty. He is not receiving any daily allowance.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4. Amount withdrawn from Public Provident Fund as per relevant rules.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5. Telephone provided at the residence of employee and the bill aggregating to `25,000 paid by the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employer. Determine the perquisite value taxable in the hands of employee.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6. Payment of `50,000 to an electoral trust by an Indian company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Assume that all the facts given above relate to financial year 2012-2013.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Answer :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1.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Agricultural income from land in any foreign country is taxable in the case of  resident taxpayers as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income under the head “Income from other sources”.Exemption under section 10(1) is not available in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>respect of such income.</w:t>
      </w: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 xml:space="preserve"> 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2.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As per section 41(4), any amount recovered by the assessee against bad debt earlier allowed as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deduction shall be taxed as income in the year in which it is received. Therefore, in this case, `50,000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would be taxable in the F.Y.2012-13 (A.Y.2013-14).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3.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`1,20,000 (i.e., 10,000 × 12) is allowable as exemption under section 10(14).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4.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Any amount withdrawn from public provident fund as per relevant rules is 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lastRenderedPageBreak/>
        <w:t xml:space="preserve">not eligible to tax. Such exemption is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provided in section 10(11).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5"/>
          <w:szCs w:val="25"/>
        </w:rPr>
        <w:t>5.</w:t>
      </w: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 Telephone provided at the residence of the employee and payment of bill by the employer is a tax free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perquisite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6. Amount paid by an Indian Company to an electoral trust is eligible for deduction u/s 80GGB from gross total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income.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widowControl w:val="0"/>
        <w:autoSpaceDE w:val="0"/>
        <w:autoSpaceDN w:val="0"/>
        <w:adjustRightInd w:val="0"/>
        <w:spacing w:after="0" w:line="240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5"/>
          <w:szCs w:val="25"/>
        </w:rPr>
        <w:t xml:space="preserve"> </w:t>
      </w:r>
    </w:p>
    <w:p w:rsidR="00E61355" w:rsidRDefault="00E61355" w:rsidP="00E61355">
      <w:pPr>
        <w:spacing w:after="0"/>
        <w:jc w:val="both"/>
      </w:pPr>
    </w:p>
    <w:sectPr w:rsidR="00E61355" w:rsidSect="009C165C">
      <w:footerReference w:type="first" r:id="rId8"/>
      <w:pgSz w:w="12240" w:h="15840"/>
      <w:pgMar w:top="1440" w:right="1080" w:bottom="1440" w:left="1080" w:header="720" w:footer="720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F99" w:rsidRDefault="00937F99" w:rsidP="00437782">
      <w:pPr>
        <w:spacing w:after="0" w:line="240" w:lineRule="auto"/>
      </w:pPr>
      <w:r>
        <w:separator/>
      </w:r>
    </w:p>
  </w:endnote>
  <w:endnote w:type="continuationSeparator" w:id="1">
    <w:p w:rsidR="00937F99" w:rsidRDefault="00937F99" w:rsidP="00437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t Orange">
    <w:panose1 w:val="00000400000000000000"/>
    <w:charset w:val="00"/>
    <w:family w:val="auto"/>
    <w:pitch w:val="variable"/>
    <w:sig w:usb0="00000003" w:usb1="00000000" w:usb2="0000004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6206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37782" w:rsidRDefault="00437782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>
            <w:rPr>
              <w:noProof/>
            </w:rPr>
            <w:t>1</w:t>
          </w:r>
        </w:fldSimple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437782" w:rsidRDefault="004377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F99" w:rsidRDefault="00937F99" w:rsidP="00437782">
      <w:pPr>
        <w:spacing w:after="0" w:line="240" w:lineRule="auto"/>
      </w:pPr>
      <w:r>
        <w:separator/>
      </w:r>
    </w:p>
  </w:footnote>
  <w:footnote w:type="continuationSeparator" w:id="1">
    <w:p w:rsidR="00937F99" w:rsidRDefault="00937F99" w:rsidP="004377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61355"/>
    <w:rsid w:val="00055A7B"/>
    <w:rsid w:val="00125E27"/>
    <w:rsid w:val="00437782"/>
    <w:rsid w:val="00937F99"/>
    <w:rsid w:val="009C165C"/>
    <w:rsid w:val="009D0EB6"/>
    <w:rsid w:val="00E61355"/>
    <w:rsid w:val="00F94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35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C16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C165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65C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37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778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37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782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C57425AABC42EB9B42E8C13F4C2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1A7FB-B21C-4B16-876D-92731DC9C081}"/>
      </w:docPartPr>
      <w:docPartBody>
        <w:p w:rsidR="00000000" w:rsidRDefault="002A5039" w:rsidP="002A5039">
          <w:pPr>
            <w:pStyle w:val="FAC57425AABC42EB9B42E8C13F4C2779"/>
          </w:pPr>
          <w:r>
            <w:rPr>
              <w:rFonts w:asciiTheme="majorHAnsi" w:eastAsiaTheme="majorEastAsia" w:hAnsiTheme="majorHAnsi" w:cstheme="majorBidi"/>
              <w:sz w:val="40"/>
              <w:szCs w:val="40"/>
            </w:rPr>
            <w:t>[Type the document title]</w:t>
          </w:r>
        </w:p>
      </w:docPartBody>
    </w:docPart>
    <w:docPart>
      <w:docPartPr>
        <w:name w:val="37530907EA9C4E7498E658BB73EE3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ACB0C-8503-4F36-BA9D-35859DBE80A0}"/>
      </w:docPartPr>
      <w:docPartBody>
        <w:p w:rsidR="00000000" w:rsidRDefault="002A5039" w:rsidP="002A5039">
          <w:pPr>
            <w:pStyle w:val="37530907EA9C4E7498E658BB73EE3F6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subtitle]</w:t>
          </w:r>
        </w:p>
      </w:docPartBody>
    </w:docPart>
    <w:docPart>
      <w:docPartPr>
        <w:name w:val="B2C4AD641FBB405CBAB295FE4A49C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8E153-A454-4912-AC8C-219CC9304F16}"/>
      </w:docPartPr>
      <w:docPartBody>
        <w:p w:rsidR="00000000" w:rsidRDefault="002A5039" w:rsidP="002A5039">
          <w:pPr>
            <w:pStyle w:val="B2C4AD641FBB405CBAB295FE4A49CE7E"/>
          </w:pPr>
          <w:r>
            <w:rPr>
              <w:rFonts w:asciiTheme="majorHAnsi" w:hAnsiTheme="majorHAnsi"/>
            </w:rPr>
            <w:t>[Pick the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t Orange">
    <w:panose1 w:val="00000400000000000000"/>
    <w:charset w:val="00"/>
    <w:family w:val="auto"/>
    <w:pitch w:val="variable"/>
    <w:sig w:usb0="00000003" w:usb1="00000000" w:usb2="0000004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A5039"/>
    <w:rsid w:val="00136BC1"/>
    <w:rsid w:val="002A5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C57425AABC42EB9B42E8C13F4C2779">
    <w:name w:val="FAC57425AABC42EB9B42E8C13F4C2779"/>
    <w:rsid w:val="002A5039"/>
  </w:style>
  <w:style w:type="paragraph" w:customStyle="1" w:styleId="37530907EA9C4E7498E658BB73EE3F6B">
    <w:name w:val="37530907EA9C4E7498E658BB73EE3F6B"/>
    <w:rsid w:val="002A5039"/>
  </w:style>
  <w:style w:type="paragraph" w:customStyle="1" w:styleId="B2C4AD641FBB405CBAB295FE4A49CE7E">
    <w:name w:val="B2C4AD641FBB405CBAB295FE4A49CE7E"/>
    <w:rsid w:val="002A5039"/>
  </w:style>
  <w:style w:type="paragraph" w:customStyle="1" w:styleId="62B2EB5A17594C3594BCDDE6C4CC8CD2">
    <w:name w:val="62B2EB5A17594C3594BCDDE6C4CC8CD2"/>
    <w:rsid w:val="002A503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e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2013-09-07T00:00:00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024D6C-69A1-40B6-95E7-4A36CAE36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37</Pages>
  <Words>9156</Words>
  <Characters>52195</Characters>
  <Application>Microsoft Office Word</Application>
  <DocSecurity>0</DocSecurity>
  <Lines>434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Income tax theory question</dc:title>
  <dc:subject>IPCC</dc:subject>
  <dc:creator>VIJAY BORIWAL</dc:creator>
  <cp:lastModifiedBy>shree</cp:lastModifiedBy>
  <cp:revision>5</cp:revision>
  <dcterms:created xsi:type="dcterms:W3CDTF">2013-09-07T10:42:00Z</dcterms:created>
  <dcterms:modified xsi:type="dcterms:W3CDTF">2013-09-07T11:01:00Z</dcterms:modified>
</cp:coreProperties>
</file>