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DF" w:rsidRDefault="002022DF" w:rsidP="002022DF">
      <w:pPr>
        <w:jc w:val="center"/>
        <w:rPr>
          <w:rFonts w:ascii="Baskerville Old Face" w:hAnsi="Baskerville Old Face"/>
          <w:b/>
          <w:i/>
          <w:color w:val="FF0000"/>
          <w:sz w:val="40"/>
          <w:szCs w:val="40"/>
        </w:rPr>
      </w:pPr>
      <w:r w:rsidRPr="002022DF">
        <w:rPr>
          <w:rFonts w:ascii="Baskerville Old Face" w:hAnsi="Baskerville Old Face"/>
          <w:b/>
          <w:i/>
          <w:color w:val="FF0000"/>
          <w:sz w:val="40"/>
          <w:szCs w:val="40"/>
        </w:rPr>
        <w:t>REVERSE CHARGE MECHANISM</w:t>
      </w:r>
    </w:p>
    <w:p w:rsidR="002022DF" w:rsidRPr="002022DF" w:rsidRDefault="002022DF" w:rsidP="002022DF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i/>
          <w:color w:val="403152" w:themeColor="accent4" w:themeShade="80"/>
          <w:sz w:val="28"/>
          <w:szCs w:val="28"/>
        </w:rPr>
      </w:pPr>
      <w:r w:rsidRPr="002022DF">
        <w:rPr>
          <w:rFonts w:ascii="Arial" w:eastAsia="Times New Roman" w:hAnsi="Arial" w:cs="Arial"/>
          <w:b/>
          <w:bCs/>
          <w:i/>
          <w:color w:val="403152" w:themeColor="accent4" w:themeShade="80"/>
          <w:sz w:val="28"/>
          <w:szCs w:val="28"/>
        </w:rPr>
        <w:t>List of Services under RCM</w:t>
      </w:r>
    </w:p>
    <w:tbl>
      <w:tblPr>
        <w:tblW w:w="766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6"/>
        <w:gridCol w:w="2473"/>
        <w:gridCol w:w="1828"/>
        <w:gridCol w:w="1718"/>
        <w:gridCol w:w="1419"/>
        <w:gridCol w:w="1451"/>
      </w:tblGrid>
      <w:tr w:rsidR="002022DF" w:rsidRPr="002022DF" w:rsidTr="002022DF">
        <w:trPr>
          <w:tblCellSpacing w:w="0" w:type="dxa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b/>
                <w:bCs/>
                <w:color w:val="5E5E5E"/>
                <w:sz w:val="29"/>
                <w:szCs w:val="29"/>
              </w:rPr>
              <w:t>S.</w:t>
            </w:r>
          </w:p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b/>
                <w:bCs/>
                <w:color w:val="5E5E5E"/>
                <w:sz w:val="29"/>
                <w:szCs w:val="29"/>
              </w:rPr>
              <w:t>No.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b/>
                <w:bCs/>
                <w:color w:val="5E5E5E"/>
                <w:sz w:val="29"/>
                <w:szCs w:val="29"/>
              </w:rPr>
              <w:t>Description of Services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b/>
                <w:bCs/>
                <w:color w:val="5E5E5E"/>
                <w:sz w:val="29"/>
                <w:szCs w:val="29"/>
              </w:rPr>
              <w:t>Provided By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b/>
                <w:bCs/>
                <w:color w:val="5E5E5E"/>
                <w:sz w:val="29"/>
                <w:szCs w:val="29"/>
              </w:rPr>
              <w:t>Provided To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b/>
                <w:bCs/>
                <w:color w:val="5E5E5E"/>
                <w:sz w:val="29"/>
                <w:szCs w:val="29"/>
              </w:rPr>
              <w:t>% of ST payable by Provider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b/>
                <w:bCs/>
                <w:color w:val="5E5E5E"/>
                <w:sz w:val="29"/>
                <w:szCs w:val="29"/>
              </w:rPr>
              <w:t>% of ST payable by Receiver</w:t>
            </w:r>
          </w:p>
        </w:tc>
      </w:tr>
      <w:tr w:rsidR="002022DF" w:rsidRPr="002022DF" w:rsidTr="002022DF">
        <w:trPr>
          <w:tblCellSpacing w:w="0" w:type="dxa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1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Insurance Auxiliary Service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Insurance Agent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Person carrying on Insurance business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NIL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100%</w:t>
            </w:r>
          </w:p>
        </w:tc>
      </w:tr>
      <w:tr w:rsidR="002022DF" w:rsidRPr="002022DF" w:rsidTr="002022DF">
        <w:trPr>
          <w:tblCellSpacing w:w="0" w:type="dxa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2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Sponsorship Service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By any service provider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Body Corporate or Partnership firm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NIL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100%</w:t>
            </w:r>
          </w:p>
        </w:tc>
      </w:tr>
      <w:tr w:rsidR="002022DF" w:rsidRPr="002022DF" w:rsidTr="002022DF">
        <w:trPr>
          <w:tblCellSpacing w:w="0" w:type="dxa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3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Transport of goods by Road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Good Transport Agency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Consignor or consignee in organized sector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NIL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100%</w:t>
            </w:r>
          </w:p>
        </w:tc>
      </w:tr>
      <w:tr w:rsidR="002022DF" w:rsidRPr="002022DF" w:rsidTr="002022DF">
        <w:trPr>
          <w:tblCellSpacing w:w="0" w:type="dxa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4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Legal Service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Arbitral Tribunal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Business Entity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NIL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100%</w:t>
            </w:r>
          </w:p>
        </w:tc>
      </w:tr>
      <w:tr w:rsidR="002022DF" w:rsidRPr="002022DF" w:rsidTr="002022DF">
        <w:trPr>
          <w:tblCellSpacing w:w="0" w:type="dxa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5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Legal Service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Individual advocate or firm of advocates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Business Entity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NIL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100%</w:t>
            </w:r>
          </w:p>
        </w:tc>
      </w:tr>
      <w:tr w:rsidR="002022DF" w:rsidRPr="002022DF" w:rsidTr="002022DF">
        <w:trPr>
          <w:tblCellSpacing w:w="0" w:type="dxa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6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Support Service by</w:t>
            </w:r>
          </w:p>
          <w:p w:rsidR="002022DF" w:rsidRPr="002022DF" w:rsidRDefault="002022DF" w:rsidP="002022DF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Government or</w:t>
            </w:r>
          </w:p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proofErr w:type="spellStart"/>
            <w:r w:rsidRPr="002022DF">
              <w:rPr>
                <w:rFonts w:ascii="Arial" w:eastAsia="Times New Roman" w:hAnsi="Arial" w:cs="Arial"/>
                <w:color w:val="5E5E5E"/>
                <w:sz w:val="29"/>
              </w:rPr>
              <w:lastRenderedPageBreak/>
              <w:t>local</w:t>
            </w: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authority</w:t>
            </w:r>
            <w:proofErr w:type="spellEnd"/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lastRenderedPageBreak/>
              <w:t>Government</w:t>
            </w:r>
          </w:p>
          <w:p w:rsidR="002022DF" w:rsidRPr="002022DF" w:rsidRDefault="002022DF" w:rsidP="002022DF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or</w:t>
            </w:r>
            <w:r w:rsidRPr="002022DF">
              <w:rPr>
                <w:rFonts w:ascii="Arial" w:eastAsia="Times New Roman" w:hAnsi="Arial" w:cs="Arial"/>
                <w:color w:val="5E5E5E"/>
                <w:sz w:val="29"/>
              </w:rPr>
              <w:t> </w:t>
            </w: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Local</w:t>
            </w:r>
          </w:p>
          <w:p w:rsidR="002022DF" w:rsidRPr="002022DF" w:rsidRDefault="002022DF" w:rsidP="002022DF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lastRenderedPageBreak/>
              <w:t>Authority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lastRenderedPageBreak/>
              <w:t>Business</w:t>
            </w:r>
          </w:p>
          <w:p w:rsidR="002022DF" w:rsidRPr="002022DF" w:rsidRDefault="002022DF" w:rsidP="002022DF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Entity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NIL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100%</w:t>
            </w:r>
          </w:p>
        </w:tc>
      </w:tr>
      <w:tr w:rsidR="002022DF" w:rsidRPr="002022DF" w:rsidTr="002022DF">
        <w:trPr>
          <w:tblCellSpacing w:w="0" w:type="dxa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lastRenderedPageBreak/>
              <w:t>7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Any Service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Person in Non  Taxable territory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Person in Taxable Territory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NIL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100%</w:t>
            </w:r>
          </w:p>
        </w:tc>
      </w:tr>
      <w:tr w:rsidR="002022DF" w:rsidRPr="002022DF" w:rsidTr="002022DF">
        <w:trPr>
          <w:tblCellSpacing w:w="0" w:type="dxa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8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Any Taxable</w:t>
            </w:r>
          </w:p>
          <w:p w:rsidR="002022DF" w:rsidRPr="002022DF" w:rsidRDefault="002022DF" w:rsidP="002022DF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Service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Director of</w:t>
            </w:r>
          </w:p>
          <w:p w:rsidR="002022DF" w:rsidRPr="002022DF" w:rsidRDefault="002022DF" w:rsidP="002022DF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the company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Company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NIL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100%</w:t>
            </w:r>
          </w:p>
        </w:tc>
      </w:tr>
      <w:tr w:rsidR="002022DF" w:rsidRPr="002022DF" w:rsidTr="002022DF">
        <w:trPr>
          <w:tblCellSpacing w:w="0" w:type="dxa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9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Renting or hiring of motor vehicle to carry passenger on abated value. (60%</w:t>
            </w:r>
            <w:r w:rsidRPr="002022DF">
              <w:rPr>
                <w:rFonts w:ascii="Arial" w:eastAsia="Times New Roman" w:hAnsi="Arial" w:cs="Arial"/>
                <w:color w:val="5E5E5E"/>
                <w:sz w:val="29"/>
              </w:rPr>
              <w:t>abatement</w:t>
            </w: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)</w:t>
            </w:r>
            <w:r w:rsidRPr="00860613">
              <w:rPr>
                <w:rFonts w:ascii="Arial" w:eastAsia="Times New Roman" w:hAnsi="Arial" w:cs="Arial"/>
                <w:color w:val="FF0000"/>
                <w:sz w:val="29"/>
                <w:szCs w:val="29"/>
              </w:rPr>
              <w:t>*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Individual, HUF, Firm, AOP, BOI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Business Entity registered as body corporate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NIL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100% (i.e. 40% of liability)</w:t>
            </w:r>
          </w:p>
        </w:tc>
      </w:tr>
      <w:tr w:rsidR="002022DF" w:rsidRPr="002022DF" w:rsidTr="002022DF">
        <w:trPr>
          <w:tblCellSpacing w:w="0" w:type="dxa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10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Renting or hiring of motor vehicle to carry passenger on non abated value</w:t>
            </w:r>
            <w:r w:rsidRPr="00860613">
              <w:rPr>
                <w:rFonts w:ascii="Arial" w:eastAsia="Times New Roman" w:hAnsi="Arial" w:cs="Arial"/>
                <w:color w:val="FF0000"/>
                <w:sz w:val="29"/>
                <w:szCs w:val="29"/>
              </w:rPr>
              <w:t>*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Individual, HUF, Firm, AOP, BOI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Business Entity registered as body corporate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60%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40%</w:t>
            </w:r>
          </w:p>
        </w:tc>
      </w:tr>
      <w:tr w:rsidR="002022DF" w:rsidRPr="002022DF" w:rsidTr="002022DF">
        <w:trPr>
          <w:tblCellSpacing w:w="0" w:type="dxa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11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Supply of Manpower</w:t>
            </w:r>
            <w:r w:rsidRPr="00860613">
              <w:rPr>
                <w:rFonts w:ascii="Arial" w:eastAsia="Times New Roman" w:hAnsi="Arial" w:cs="Arial"/>
                <w:color w:val="FF0000"/>
                <w:sz w:val="29"/>
                <w:szCs w:val="29"/>
              </w:rPr>
              <w:t>**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Individual, HUF, Firm, AOP, BOI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Business Entity registered as body corporate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25%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75%</w:t>
            </w:r>
          </w:p>
        </w:tc>
      </w:tr>
      <w:tr w:rsidR="002022DF" w:rsidRPr="002022DF" w:rsidTr="002022DF">
        <w:trPr>
          <w:tblCellSpacing w:w="0" w:type="dxa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12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Security Service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Individual, HUF, Firm, AOP, BOI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Business Entity registered as body corporate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25%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75%</w:t>
            </w:r>
          </w:p>
        </w:tc>
      </w:tr>
      <w:tr w:rsidR="002022DF" w:rsidRPr="002022DF" w:rsidTr="002022DF">
        <w:trPr>
          <w:tblCellSpacing w:w="0" w:type="dxa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lastRenderedPageBreak/>
              <w:t>13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Work Contract</w:t>
            </w:r>
          </w:p>
          <w:p w:rsidR="002022DF" w:rsidRPr="002022DF" w:rsidRDefault="002022DF" w:rsidP="002022DF">
            <w:pPr>
              <w:spacing w:before="150"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Service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Individual, HUF, Firm, AOP, BOI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Business Entity registered as body corporate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color w:val="5E5E5E"/>
                <w:sz w:val="29"/>
                <w:szCs w:val="29"/>
              </w:rPr>
              <w:t>50%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022DF" w:rsidRPr="002022DF" w:rsidRDefault="002022DF" w:rsidP="002022DF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5E5E5E"/>
                <w:sz w:val="29"/>
                <w:szCs w:val="29"/>
              </w:rPr>
            </w:pPr>
            <w:r w:rsidRPr="002022DF">
              <w:rPr>
                <w:rFonts w:ascii="Arial" w:eastAsia="Times New Roman" w:hAnsi="Arial" w:cs="Arial"/>
                <w:b/>
                <w:bCs/>
                <w:color w:val="5E5E5E"/>
                <w:sz w:val="29"/>
                <w:szCs w:val="29"/>
              </w:rPr>
              <w:t>50%</w:t>
            </w:r>
          </w:p>
        </w:tc>
      </w:tr>
    </w:tbl>
    <w:p w:rsidR="002022DF" w:rsidRDefault="002022DF" w:rsidP="002022DF">
      <w:pPr>
        <w:rPr>
          <w:rFonts w:ascii="Baskerville Old Face" w:hAnsi="Baskerville Old Face"/>
          <w:b/>
          <w:i/>
          <w:color w:val="FF0000"/>
          <w:sz w:val="40"/>
          <w:szCs w:val="40"/>
        </w:rPr>
      </w:pPr>
    </w:p>
    <w:p w:rsidR="002022DF" w:rsidRDefault="002022DF" w:rsidP="002022DF">
      <w:pPr>
        <w:rPr>
          <w:rFonts w:ascii="Arial" w:hAnsi="Arial" w:cs="Arial"/>
          <w:b/>
          <w:color w:val="5E5E5E"/>
          <w:sz w:val="28"/>
          <w:szCs w:val="28"/>
          <w:shd w:val="clear" w:color="auto" w:fill="FFFFFF"/>
        </w:rPr>
      </w:pPr>
      <w:r w:rsidRPr="002022DF">
        <w:rPr>
          <w:rFonts w:ascii="Arial" w:hAnsi="Arial" w:cs="Arial"/>
          <w:b/>
          <w:color w:val="FF0000"/>
          <w:sz w:val="28"/>
          <w:szCs w:val="28"/>
        </w:rPr>
        <w:t>*</w:t>
      </w:r>
      <w:r w:rsidRPr="002022DF">
        <w:rPr>
          <w:rStyle w:val="apple-converted-space"/>
          <w:rFonts w:ascii="Arial" w:hAnsi="Arial" w:cs="Arial"/>
          <w:b/>
          <w:color w:val="5E5E5E"/>
          <w:sz w:val="28"/>
          <w:szCs w:val="28"/>
          <w:shd w:val="clear" w:color="auto" w:fill="FFFFFF"/>
        </w:rPr>
        <w:t> </w:t>
      </w:r>
      <w:r w:rsidRPr="002022DF">
        <w:rPr>
          <w:rFonts w:ascii="Arial" w:hAnsi="Arial" w:cs="Arial"/>
          <w:b/>
          <w:color w:val="5E5E5E"/>
          <w:sz w:val="28"/>
          <w:szCs w:val="28"/>
          <w:shd w:val="clear" w:color="auto" w:fill="FFFFFF"/>
        </w:rPr>
        <w:t>If motor vehicle is taken on hire without</w:t>
      </w:r>
      <w:r w:rsidRPr="002022DF">
        <w:rPr>
          <w:rStyle w:val="apple-converted-space"/>
          <w:rFonts w:ascii="Arial" w:hAnsi="Arial" w:cs="Arial"/>
          <w:b/>
          <w:color w:val="5E5E5E"/>
          <w:sz w:val="28"/>
          <w:szCs w:val="28"/>
          <w:shd w:val="clear" w:color="auto" w:fill="FFFFFF"/>
        </w:rPr>
        <w:t> </w:t>
      </w:r>
      <w:r w:rsidRPr="002022DF">
        <w:rPr>
          <w:rStyle w:val="ilad"/>
          <w:rFonts w:ascii="Arial" w:hAnsi="Arial" w:cs="Arial"/>
          <w:b/>
          <w:sz w:val="28"/>
          <w:szCs w:val="28"/>
          <w:shd w:val="clear" w:color="auto" w:fill="FFFFFF"/>
        </w:rPr>
        <w:t>driver</w:t>
      </w:r>
      <w:r w:rsidRPr="002022DF">
        <w:rPr>
          <w:rStyle w:val="apple-converted-space"/>
          <w:rFonts w:ascii="Arial" w:hAnsi="Arial" w:cs="Arial"/>
          <w:b/>
          <w:color w:val="5E5E5E"/>
          <w:sz w:val="28"/>
          <w:szCs w:val="28"/>
          <w:shd w:val="clear" w:color="auto" w:fill="FFFFFF"/>
        </w:rPr>
        <w:t> </w:t>
      </w:r>
      <w:r w:rsidRPr="002022DF">
        <w:rPr>
          <w:rFonts w:ascii="Arial" w:hAnsi="Arial" w:cs="Arial"/>
          <w:b/>
          <w:color w:val="5E5E5E"/>
          <w:sz w:val="28"/>
          <w:szCs w:val="28"/>
          <w:shd w:val="clear" w:color="auto" w:fill="FFFFFF"/>
        </w:rPr>
        <w:t>it is ‘transfer of right in goods’. It is deemed sale of goods VAT will apply –</w:t>
      </w:r>
      <w:r w:rsidRPr="002022DF">
        <w:rPr>
          <w:rStyle w:val="apple-converted-space"/>
          <w:rFonts w:ascii="Arial" w:hAnsi="Arial" w:cs="Arial"/>
          <w:b/>
          <w:color w:val="5E5E5E"/>
          <w:sz w:val="28"/>
          <w:szCs w:val="28"/>
          <w:shd w:val="clear" w:color="auto" w:fill="FFFFFF"/>
        </w:rPr>
        <w:t> </w:t>
      </w:r>
      <w:r w:rsidRPr="002022DF">
        <w:rPr>
          <w:rFonts w:ascii="Arial" w:hAnsi="Arial" w:cs="Arial"/>
          <w:b/>
          <w:color w:val="5E5E5E"/>
          <w:sz w:val="28"/>
          <w:szCs w:val="28"/>
          <w:shd w:val="clear" w:color="auto" w:fill="FFFFFF"/>
        </w:rPr>
        <w:t>Service Tax</w:t>
      </w:r>
      <w:r w:rsidRPr="002022DF">
        <w:rPr>
          <w:rStyle w:val="apple-converted-space"/>
          <w:rFonts w:ascii="Arial" w:hAnsi="Arial" w:cs="Arial"/>
          <w:b/>
          <w:color w:val="5E5E5E"/>
          <w:sz w:val="28"/>
          <w:szCs w:val="28"/>
          <w:shd w:val="clear" w:color="auto" w:fill="FFFFFF"/>
        </w:rPr>
        <w:t> </w:t>
      </w:r>
      <w:r w:rsidRPr="002022DF">
        <w:rPr>
          <w:rFonts w:ascii="Arial" w:hAnsi="Arial" w:cs="Arial"/>
          <w:b/>
          <w:color w:val="5E5E5E"/>
          <w:sz w:val="28"/>
          <w:szCs w:val="28"/>
          <w:shd w:val="clear" w:color="auto" w:fill="FFFFFF"/>
        </w:rPr>
        <w:t>will not be charged.</w:t>
      </w:r>
    </w:p>
    <w:p w:rsidR="002022DF" w:rsidRDefault="002022DF" w:rsidP="002022DF">
      <w:pPr>
        <w:rPr>
          <w:rFonts w:ascii="Arial" w:hAnsi="Arial" w:cs="Arial"/>
          <w:b/>
          <w:color w:val="595959" w:themeColor="text1" w:themeTint="A6"/>
          <w:sz w:val="28"/>
          <w:szCs w:val="28"/>
          <w:u w:val="single"/>
        </w:rPr>
      </w:pPr>
      <w:r>
        <w:rPr>
          <w:rFonts w:ascii="Arial" w:hAnsi="Arial" w:cs="Arial"/>
          <w:b/>
          <w:color w:val="FF0000"/>
          <w:sz w:val="28"/>
          <w:szCs w:val="28"/>
        </w:rPr>
        <w:t>**</w:t>
      </w:r>
      <w:r w:rsidRPr="002022DF">
        <w:rPr>
          <w:rFonts w:ascii="Arial" w:hAnsi="Arial" w:cs="Arial"/>
          <w:b/>
          <w:color w:val="595959" w:themeColor="text1" w:themeTint="A6"/>
          <w:sz w:val="28"/>
          <w:szCs w:val="28"/>
        </w:rPr>
        <w:t>Service tax</w:t>
      </w:r>
      <w:r w:rsidRPr="002022DF">
        <w:rPr>
          <w:b/>
          <w:color w:val="595959" w:themeColor="text1" w:themeTint="A6"/>
          <w:sz w:val="28"/>
          <w:szCs w:val="28"/>
        </w:rPr>
        <w:t> </w:t>
      </w:r>
      <w:r w:rsidRPr="002022DF">
        <w:rPr>
          <w:rFonts w:ascii="Arial" w:hAnsi="Arial" w:cs="Arial"/>
          <w:b/>
          <w:color w:val="595959" w:themeColor="text1" w:themeTint="A6"/>
          <w:sz w:val="28"/>
          <w:szCs w:val="28"/>
        </w:rPr>
        <w:t>in such cases shall be payable on –</w:t>
      </w:r>
      <w:r w:rsidRPr="002022DF">
        <w:rPr>
          <w:b/>
          <w:color w:val="595959" w:themeColor="text1" w:themeTint="A6"/>
          <w:sz w:val="28"/>
          <w:szCs w:val="28"/>
          <w:u w:val="single"/>
        </w:rPr>
        <w:t> </w:t>
      </w:r>
      <w:r w:rsidRPr="002022DF">
        <w:rPr>
          <w:rFonts w:ascii="Arial" w:hAnsi="Arial" w:cs="Arial"/>
          <w:b/>
          <w:color w:val="595959" w:themeColor="text1" w:themeTint="A6"/>
          <w:sz w:val="28"/>
          <w:szCs w:val="28"/>
          <w:u w:val="single"/>
        </w:rPr>
        <w:t>SALARY + PF + ESI +</w:t>
      </w:r>
      <w:r w:rsidRPr="002022DF">
        <w:rPr>
          <w:b/>
          <w:color w:val="595959" w:themeColor="text1" w:themeTint="A6"/>
          <w:sz w:val="28"/>
          <w:szCs w:val="28"/>
          <w:u w:val="single"/>
        </w:rPr>
        <w:t> </w:t>
      </w:r>
      <w:r w:rsidRPr="002022DF">
        <w:rPr>
          <w:rFonts w:ascii="Arial" w:hAnsi="Arial" w:cs="Arial"/>
          <w:b/>
          <w:color w:val="595959" w:themeColor="text1" w:themeTint="A6"/>
          <w:sz w:val="28"/>
          <w:szCs w:val="28"/>
          <w:u w:val="single"/>
        </w:rPr>
        <w:t xml:space="preserve">Commission of </w:t>
      </w:r>
      <w:proofErr w:type="spellStart"/>
      <w:r w:rsidRPr="002022DF">
        <w:rPr>
          <w:rFonts w:ascii="Arial" w:hAnsi="Arial" w:cs="Arial"/>
          <w:b/>
          <w:color w:val="595959" w:themeColor="text1" w:themeTint="A6"/>
          <w:sz w:val="28"/>
          <w:szCs w:val="28"/>
          <w:u w:val="single"/>
        </w:rPr>
        <w:t>labour</w:t>
      </w:r>
      <w:proofErr w:type="spellEnd"/>
      <w:r w:rsidRPr="002022DF">
        <w:rPr>
          <w:rFonts w:ascii="Arial" w:hAnsi="Arial" w:cs="Arial"/>
          <w:b/>
          <w:color w:val="595959" w:themeColor="text1" w:themeTint="A6"/>
          <w:sz w:val="28"/>
          <w:szCs w:val="28"/>
          <w:u w:val="single"/>
        </w:rPr>
        <w:t xml:space="preserve"> contractor.</w:t>
      </w:r>
    </w:p>
    <w:p w:rsidR="002022DF" w:rsidRDefault="002022DF" w:rsidP="002022DF">
      <w:pPr>
        <w:rPr>
          <w:rFonts w:ascii="Arial" w:hAnsi="Arial" w:cs="Arial"/>
          <w:b/>
          <w:color w:val="595959" w:themeColor="text1" w:themeTint="A6"/>
          <w:sz w:val="28"/>
          <w:szCs w:val="28"/>
        </w:rPr>
      </w:pPr>
    </w:p>
    <w:p w:rsidR="002022DF" w:rsidRDefault="002022DF" w:rsidP="002022DF">
      <w:pPr>
        <w:rPr>
          <w:rFonts w:ascii="Arial" w:hAnsi="Arial" w:cs="Arial"/>
          <w:b/>
          <w:color w:val="00B0F0"/>
          <w:sz w:val="36"/>
          <w:szCs w:val="36"/>
        </w:rPr>
      </w:pPr>
      <w:r w:rsidRPr="002022DF">
        <w:rPr>
          <w:rFonts w:ascii="Arial" w:hAnsi="Arial" w:cs="Arial"/>
          <w:b/>
          <w:color w:val="00B0F0"/>
          <w:sz w:val="36"/>
          <w:szCs w:val="36"/>
        </w:rPr>
        <w:t xml:space="preserve"> Notes:</w:t>
      </w:r>
    </w:p>
    <w:p w:rsidR="002022DF" w:rsidRDefault="002022DF" w:rsidP="002022DF">
      <w:pPr>
        <w:pStyle w:val="ListParagraph"/>
        <w:numPr>
          <w:ilvl w:val="0"/>
          <w:numId w:val="2"/>
        </w:numPr>
        <w:rPr>
          <w:rFonts w:ascii="Arial" w:hAnsi="Arial" w:cs="Arial"/>
          <w:b/>
          <w:color w:val="00B0F0"/>
          <w:sz w:val="36"/>
          <w:szCs w:val="36"/>
        </w:rPr>
      </w:pPr>
      <w:r>
        <w:rPr>
          <w:rFonts w:ascii="Arial" w:hAnsi="Arial" w:cs="Arial"/>
          <w:b/>
          <w:color w:val="00B0F0"/>
          <w:sz w:val="36"/>
          <w:szCs w:val="36"/>
        </w:rPr>
        <w:t>No SSI Exemption to service receiver.</w:t>
      </w:r>
    </w:p>
    <w:p w:rsidR="002022DF" w:rsidRDefault="002022DF" w:rsidP="002022DF">
      <w:pPr>
        <w:pStyle w:val="ListParagraph"/>
        <w:numPr>
          <w:ilvl w:val="0"/>
          <w:numId w:val="2"/>
        </w:numPr>
        <w:rPr>
          <w:rFonts w:ascii="Arial" w:hAnsi="Arial" w:cs="Arial"/>
          <w:b/>
          <w:color w:val="00B0F0"/>
          <w:sz w:val="36"/>
          <w:szCs w:val="36"/>
        </w:rPr>
      </w:pPr>
      <w:r w:rsidRPr="002022DF">
        <w:rPr>
          <w:rFonts w:ascii="Arial" w:hAnsi="Arial" w:cs="Arial"/>
          <w:b/>
          <w:color w:val="00B0F0"/>
          <w:sz w:val="36"/>
          <w:szCs w:val="36"/>
        </w:rPr>
        <w:t>Explanation to Rule 3(4)</w:t>
      </w:r>
      <w:r>
        <w:rPr>
          <w:rFonts w:ascii="Arial" w:hAnsi="Arial" w:cs="Arial"/>
          <w:b/>
          <w:color w:val="00B0F0"/>
          <w:sz w:val="36"/>
          <w:szCs w:val="36"/>
        </w:rPr>
        <w:t xml:space="preserve"> of CENVAT Credit Rule</w:t>
      </w:r>
      <w:r w:rsidRPr="002022DF">
        <w:rPr>
          <w:color w:val="00B0F0"/>
          <w:sz w:val="36"/>
          <w:szCs w:val="36"/>
        </w:rPr>
        <w:t> </w:t>
      </w:r>
      <w:r w:rsidRPr="002022DF">
        <w:rPr>
          <w:rFonts w:ascii="Arial" w:hAnsi="Arial" w:cs="Arial"/>
          <w:b/>
          <w:color w:val="00B0F0"/>
          <w:sz w:val="36"/>
          <w:szCs w:val="36"/>
        </w:rPr>
        <w:t>- Service Receiver cannot use the CENVAT credit to dispose off his liability. He is required to pay the amount in cash only.</w:t>
      </w:r>
    </w:p>
    <w:p w:rsidR="002022DF" w:rsidRDefault="002022DF" w:rsidP="002022DF">
      <w:pPr>
        <w:pStyle w:val="ListParagraph"/>
        <w:numPr>
          <w:ilvl w:val="0"/>
          <w:numId w:val="2"/>
        </w:numPr>
        <w:rPr>
          <w:rFonts w:ascii="Arial" w:hAnsi="Arial" w:cs="Arial"/>
          <w:b/>
          <w:color w:val="00B0F0"/>
          <w:sz w:val="36"/>
          <w:szCs w:val="36"/>
        </w:rPr>
      </w:pPr>
      <w:r w:rsidRPr="002022DF">
        <w:rPr>
          <w:rFonts w:ascii="Arial" w:hAnsi="Arial" w:cs="Arial"/>
          <w:b/>
          <w:color w:val="00B0F0"/>
          <w:sz w:val="36"/>
          <w:szCs w:val="36"/>
        </w:rPr>
        <w:t>The service provider is required to charge only that on the invoice for which he is liable to pay. For e.g. If the service providers liability is of 25% and the remaining liability is of service receiver. Then the service provider is required to charge only 25% of the</w:t>
      </w:r>
      <w:r w:rsidRPr="002022DF">
        <w:rPr>
          <w:b/>
          <w:color w:val="00B0F0"/>
          <w:sz w:val="36"/>
          <w:szCs w:val="36"/>
        </w:rPr>
        <w:t> </w:t>
      </w:r>
      <w:r w:rsidRPr="002022DF">
        <w:rPr>
          <w:rFonts w:ascii="Arial" w:hAnsi="Arial" w:cs="Arial"/>
          <w:b/>
          <w:color w:val="00B0F0"/>
          <w:sz w:val="36"/>
          <w:szCs w:val="36"/>
        </w:rPr>
        <w:t>service tax</w:t>
      </w:r>
      <w:r w:rsidRPr="002022DF">
        <w:rPr>
          <w:b/>
          <w:color w:val="00B0F0"/>
          <w:sz w:val="36"/>
          <w:szCs w:val="36"/>
        </w:rPr>
        <w:t> </w:t>
      </w:r>
      <w:r w:rsidRPr="002022DF">
        <w:rPr>
          <w:rFonts w:ascii="Arial" w:hAnsi="Arial" w:cs="Arial"/>
          <w:b/>
          <w:color w:val="00B0F0"/>
          <w:sz w:val="36"/>
          <w:szCs w:val="36"/>
        </w:rPr>
        <w:t>amount in the invoice.</w:t>
      </w:r>
    </w:p>
    <w:p w:rsidR="002022DF" w:rsidRDefault="002022DF" w:rsidP="002022DF">
      <w:pPr>
        <w:pStyle w:val="ListParagraph"/>
        <w:numPr>
          <w:ilvl w:val="0"/>
          <w:numId w:val="2"/>
        </w:numPr>
        <w:rPr>
          <w:rFonts w:ascii="Arial" w:hAnsi="Arial" w:cs="Arial"/>
          <w:b/>
          <w:color w:val="00B0F0"/>
          <w:sz w:val="36"/>
          <w:szCs w:val="36"/>
        </w:rPr>
      </w:pPr>
      <w:r>
        <w:rPr>
          <w:rFonts w:ascii="Arial" w:hAnsi="Arial" w:cs="Arial"/>
          <w:b/>
          <w:color w:val="00B0F0"/>
          <w:sz w:val="36"/>
          <w:szCs w:val="36"/>
        </w:rPr>
        <w:t>Rule 7 of Point of Taxation Rule,2011-</w:t>
      </w:r>
      <w:r>
        <w:rPr>
          <w:rStyle w:val="apple-converted-space"/>
          <w:rFonts w:ascii="Arial" w:hAnsi="Arial" w:cs="Arial"/>
          <w:color w:val="5E5E5E"/>
          <w:sz w:val="20"/>
          <w:szCs w:val="20"/>
          <w:shd w:val="clear" w:color="auto" w:fill="FFFFFF"/>
        </w:rPr>
        <w:t> </w:t>
      </w:r>
      <w:r w:rsidRPr="002022DF">
        <w:rPr>
          <w:rFonts w:ascii="Arial" w:hAnsi="Arial" w:cs="Arial"/>
          <w:b/>
          <w:color w:val="00B0F0"/>
          <w:sz w:val="36"/>
          <w:szCs w:val="36"/>
        </w:rPr>
        <w:t>where the</w:t>
      </w:r>
      <w:r w:rsidRPr="002022DF">
        <w:rPr>
          <w:b/>
          <w:color w:val="00B0F0"/>
          <w:sz w:val="36"/>
          <w:szCs w:val="36"/>
        </w:rPr>
        <w:t> </w:t>
      </w:r>
      <w:r w:rsidRPr="002022DF">
        <w:rPr>
          <w:rFonts w:ascii="Arial" w:hAnsi="Arial" w:cs="Arial"/>
          <w:b/>
          <w:color w:val="00B0F0"/>
          <w:sz w:val="36"/>
          <w:szCs w:val="36"/>
        </w:rPr>
        <w:t>service tax</w:t>
      </w:r>
      <w:r w:rsidRPr="002022DF">
        <w:rPr>
          <w:b/>
          <w:color w:val="00B0F0"/>
          <w:sz w:val="36"/>
          <w:szCs w:val="36"/>
        </w:rPr>
        <w:t> </w:t>
      </w:r>
      <w:r w:rsidRPr="002022DF">
        <w:rPr>
          <w:rFonts w:ascii="Arial" w:hAnsi="Arial" w:cs="Arial"/>
          <w:b/>
          <w:color w:val="00B0F0"/>
          <w:sz w:val="36"/>
          <w:szCs w:val="36"/>
        </w:rPr>
        <w:t xml:space="preserve">is payable by the recipient of service like GTA service, POT would be the date </w:t>
      </w:r>
      <w:r w:rsidRPr="002022DF">
        <w:rPr>
          <w:rFonts w:ascii="Arial" w:hAnsi="Arial" w:cs="Arial"/>
          <w:b/>
          <w:color w:val="00B0F0"/>
          <w:sz w:val="36"/>
          <w:szCs w:val="36"/>
        </w:rPr>
        <w:lastRenderedPageBreak/>
        <w:t>of</w:t>
      </w:r>
      <w:r w:rsidRPr="002022DF">
        <w:rPr>
          <w:b/>
          <w:color w:val="00B0F0"/>
          <w:sz w:val="36"/>
          <w:szCs w:val="36"/>
        </w:rPr>
        <w:t> </w:t>
      </w:r>
      <w:r w:rsidRPr="002022DF">
        <w:rPr>
          <w:rFonts w:ascii="Arial" w:hAnsi="Arial" w:cs="Arial"/>
          <w:b/>
          <w:color w:val="00B0F0"/>
          <w:sz w:val="36"/>
          <w:szCs w:val="36"/>
        </w:rPr>
        <w:t>payment</w:t>
      </w:r>
      <w:r w:rsidRPr="002022DF">
        <w:rPr>
          <w:b/>
          <w:color w:val="00B0F0"/>
          <w:sz w:val="36"/>
          <w:szCs w:val="36"/>
        </w:rPr>
        <w:t> </w:t>
      </w:r>
      <w:r w:rsidRPr="002022DF">
        <w:rPr>
          <w:rFonts w:ascii="Arial" w:hAnsi="Arial" w:cs="Arial"/>
          <w:b/>
          <w:color w:val="00B0F0"/>
          <w:sz w:val="36"/>
          <w:szCs w:val="36"/>
        </w:rPr>
        <w:t>of value of service, if made within 6 months from the date of invoice. In case, value of service is not paid within prescribed 6 months period,</w:t>
      </w:r>
      <w:r w:rsidRPr="002022DF">
        <w:rPr>
          <w:b/>
          <w:color w:val="00B0F0"/>
          <w:sz w:val="36"/>
          <w:szCs w:val="36"/>
        </w:rPr>
        <w:t> </w:t>
      </w:r>
      <w:r w:rsidRPr="002022DF">
        <w:rPr>
          <w:rFonts w:ascii="Arial" w:hAnsi="Arial" w:cs="Arial"/>
          <w:b/>
          <w:color w:val="00B0F0"/>
          <w:sz w:val="36"/>
          <w:szCs w:val="36"/>
        </w:rPr>
        <w:t>service tax</w:t>
      </w:r>
      <w:r w:rsidRPr="002022DF">
        <w:rPr>
          <w:b/>
          <w:color w:val="00B0F0"/>
          <w:sz w:val="36"/>
          <w:szCs w:val="36"/>
        </w:rPr>
        <w:t> </w:t>
      </w:r>
      <w:r w:rsidRPr="002022DF">
        <w:rPr>
          <w:rFonts w:ascii="Arial" w:hAnsi="Arial" w:cs="Arial"/>
          <w:b/>
          <w:color w:val="00B0F0"/>
          <w:sz w:val="36"/>
          <w:szCs w:val="36"/>
        </w:rPr>
        <w:t>would become payable as per rule 3 of POT rule.</w:t>
      </w:r>
    </w:p>
    <w:p w:rsidR="002022DF" w:rsidRDefault="002022DF" w:rsidP="002022DF">
      <w:pPr>
        <w:pStyle w:val="ListParagraph"/>
        <w:numPr>
          <w:ilvl w:val="0"/>
          <w:numId w:val="2"/>
        </w:numPr>
        <w:rPr>
          <w:rFonts w:ascii="Arial" w:hAnsi="Arial" w:cs="Arial"/>
          <w:b/>
          <w:color w:val="00B0F0"/>
          <w:sz w:val="36"/>
          <w:szCs w:val="36"/>
        </w:rPr>
      </w:pPr>
      <w:r>
        <w:rPr>
          <w:rFonts w:ascii="Arial" w:hAnsi="Arial" w:cs="Arial"/>
          <w:b/>
          <w:color w:val="00B0F0"/>
          <w:sz w:val="36"/>
          <w:szCs w:val="36"/>
        </w:rPr>
        <w:t>Utilization of CENVAT credit by Service Receiver:-</w:t>
      </w:r>
    </w:p>
    <w:p w:rsidR="002022DF" w:rsidRDefault="002022DF" w:rsidP="002022DF">
      <w:pPr>
        <w:pStyle w:val="ListParagraph"/>
        <w:ind w:left="450"/>
        <w:rPr>
          <w:rFonts w:ascii="Arial" w:hAnsi="Arial" w:cs="Arial"/>
          <w:b/>
          <w:color w:val="00B0F0"/>
          <w:sz w:val="36"/>
          <w:szCs w:val="36"/>
        </w:rPr>
      </w:pPr>
      <w:r>
        <w:rPr>
          <w:noProof/>
        </w:rPr>
        <w:drawing>
          <wp:inline distT="0" distB="0" distL="0" distR="0">
            <wp:extent cx="5210175" cy="2857500"/>
            <wp:effectExtent l="19050" t="0" r="9525" b="0"/>
            <wp:docPr id="1" name="Picture 1" descr="R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C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C94" w:rsidRPr="00C62C94" w:rsidRDefault="00C62C94" w:rsidP="00C62C94">
      <w:pPr>
        <w:pStyle w:val="ListParagraph"/>
        <w:numPr>
          <w:ilvl w:val="0"/>
          <w:numId w:val="2"/>
        </w:numPr>
        <w:rPr>
          <w:rFonts w:ascii="Arial" w:hAnsi="Arial" w:cs="Arial"/>
          <w:b/>
          <w:color w:val="00B0F0"/>
          <w:sz w:val="36"/>
          <w:szCs w:val="36"/>
        </w:rPr>
      </w:pPr>
      <w:r>
        <w:rPr>
          <w:rFonts w:ascii="Arial" w:hAnsi="Arial" w:cs="Arial"/>
          <w:b/>
          <w:color w:val="00B0F0"/>
          <w:sz w:val="36"/>
          <w:szCs w:val="36"/>
        </w:rPr>
        <w:t>No RCM if service provider is business entity.</w:t>
      </w:r>
    </w:p>
    <w:p w:rsidR="002022DF" w:rsidRPr="002022DF" w:rsidRDefault="002022DF" w:rsidP="002022DF">
      <w:pPr>
        <w:rPr>
          <w:rFonts w:ascii="Arial" w:hAnsi="Arial" w:cs="Arial"/>
          <w:b/>
          <w:color w:val="FF0000"/>
          <w:sz w:val="28"/>
          <w:szCs w:val="28"/>
        </w:rPr>
      </w:pPr>
    </w:p>
    <w:sectPr w:rsidR="002022DF" w:rsidRPr="002022DF" w:rsidSect="00401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F2338"/>
    <w:multiLevelType w:val="hybridMultilevel"/>
    <w:tmpl w:val="2D101B84"/>
    <w:lvl w:ilvl="0" w:tplc="4078980A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47555DA6"/>
    <w:multiLevelType w:val="hybridMultilevel"/>
    <w:tmpl w:val="40F08CC2"/>
    <w:lvl w:ilvl="0" w:tplc="310CFD5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22DF"/>
    <w:rsid w:val="002022DF"/>
    <w:rsid w:val="00401DE5"/>
    <w:rsid w:val="00860613"/>
    <w:rsid w:val="00C62C94"/>
    <w:rsid w:val="00E9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D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2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ad">
    <w:name w:val="il_ad"/>
    <w:basedOn w:val="DefaultParagraphFont"/>
    <w:rsid w:val="002022DF"/>
  </w:style>
  <w:style w:type="character" w:customStyle="1" w:styleId="apple-converted-space">
    <w:name w:val="apple-converted-space"/>
    <w:basedOn w:val="DefaultParagraphFont"/>
    <w:rsid w:val="002022DF"/>
  </w:style>
  <w:style w:type="paragraph" w:styleId="ListParagraph">
    <w:name w:val="List Paragraph"/>
    <w:basedOn w:val="Normal"/>
    <w:uiPriority w:val="34"/>
    <w:qFormat/>
    <w:rsid w:val="002022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Lalit</dc:creator>
  <cp:lastModifiedBy>Lalit</cp:lastModifiedBy>
  <cp:revision>4</cp:revision>
  <dcterms:created xsi:type="dcterms:W3CDTF">2013-05-31T02:29:00Z</dcterms:created>
  <dcterms:modified xsi:type="dcterms:W3CDTF">2013-05-31T02:59:00Z</dcterms:modified>
</cp:coreProperties>
</file>