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0FD" w:rsidRPr="00C860FD" w:rsidRDefault="00C860FD" w:rsidP="00C860FD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 w:rsidRPr="00C860FD">
        <w:rPr>
          <w:rFonts w:ascii="Times New Roman" w:hAnsi="Times New Roman" w:cs="Times New Roman"/>
          <w:sz w:val="24"/>
          <w:szCs w:val="24"/>
        </w:rPr>
        <w:t>FOR CS EXECUTIVE JUNE'2013**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indicates more important and C indicates less important.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Suggestions for General and Commercial Laws:-</w:t>
      </w:r>
      <w:r w:rsidRPr="00C860FD">
        <w:rPr>
          <w:rFonts w:ascii="Times New Roman" w:hAnsi="Times New Roman" w:cs="Times New Roman"/>
          <w:sz w:val="24"/>
          <w:szCs w:val="24"/>
        </w:rPr>
        <w:br/>
        <w:t>(A, B and C indicates priority analysis of the Chapters</w:t>
      </w:r>
      <w:proofErr w:type="gramStart"/>
      <w:r w:rsidRPr="00C860FD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 1 – Constitution of India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State</w:t>
      </w:r>
      <w:r w:rsidRPr="00C860FD">
        <w:rPr>
          <w:rFonts w:ascii="Times New Roman" w:hAnsi="Times New Roman" w:cs="Times New Roman"/>
          <w:sz w:val="24"/>
          <w:szCs w:val="24"/>
        </w:rPr>
        <w:br/>
        <w:t>-Federal nature of the Constitution</w:t>
      </w:r>
      <w:r w:rsidRPr="00C860FD">
        <w:rPr>
          <w:rFonts w:ascii="Times New Roman" w:hAnsi="Times New Roman" w:cs="Times New Roman"/>
          <w:sz w:val="24"/>
          <w:szCs w:val="24"/>
        </w:rPr>
        <w:br/>
        <w:t>-Fundamental duties</w:t>
      </w:r>
      <w:r w:rsidRPr="00C860FD">
        <w:rPr>
          <w:rFonts w:ascii="Times New Roman" w:hAnsi="Times New Roman" w:cs="Times New Roman"/>
          <w:sz w:val="24"/>
          <w:szCs w:val="24"/>
        </w:rPr>
        <w:br/>
        <w:t>-Difference between directive principles and fundamental rights</w:t>
      </w:r>
      <w:r w:rsidRPr="00C860FD">
        <w:rPr>
          <w:rFonts w:ascii="Times New Roman" w:hAnsi="Times New Roman" w:cs="Times New Roman"/>
          <w:sz w:val="24"/>
          <w:szCs w:val="24"/>
        </w:rPr>
        <w:br/>
        <w:t>-Doctrine of eclipse and doctrine of pith and substance</w:t>
      </w:r>
      <w:r w:rsidRPr="00C860FD">
        <w:rPr>
          <w:rFonts w:ascii="Times New Roman" w:hAnsi="Times New Roman" w:cs="Times New Roman"/>
          <w:sz w:val="24"/>
          <w:szCs w:val="24"/>
        </w:rPr>
        <w:br/>
        <w:t>-Ordinance making powers of the President</w:t>
      </w:r>
      <w:r w:rsidRPr="00C860FD">
        <w:rPr>
          <w:rFonts w:ascii="Times New Roman" w:hAnsi="Times New Roman" w:cs="Times New Roman"/>
          <w:sz w:val="24"/>
          <w:szCs w:val="24"/>
        </w:rPr>
        <w:br/>
        <w:t>-Article 21 of the Indian Constitution</w:t>
      </w:r>
      <w:r w:rsidRPr="00C860FD">
        <w:rPr>
          <w:rFonts w:ascii="Times New Roman" w:hAnsi="Times New Roman" w:cs="Times New Roman"/>
          <w:sz w:val="24"/>
          <w:szCs w:val="24"/>
        </w:rPr>
        <w:br/>
        <w:t>-Can Parliament enact laws on items in the State List?</w:t>
      </w:r>
      <w:r w:rsidRPr="00C860FD">
        <w:rPr>
          <w:rFonts w:ascii="Times New Roman" w:hAnsi="Times New Roman" w:cs="Times New Roman"/>
          <w:sz w:val="24"/>
          <w:szCs w:val="24"/>
        </w:rPr>
        <w:br/>
        <w:t>-Writ jurisdiction of Courts and different types of writs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 2 – Interpretation of Statutes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Rule of ejusdem generis and the rule of literal construction</w:t>
      </w:r>
      <w:r w:rsidRPr="00C860FD">
        <w:rPr>
          <w:rFonts w:ascii="Times New Roman" w:hAnsi="Times New Roman" w:cs="Times New Roman"/>
          <w:sz w:val="24"/>
          <w:szCs w:val="24"/>
        </w:rPr>
        <w:br/>
        <w:t>-Internal Aids for interpretation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Noscitur a sociis Pari Materia</w:t>
      </w:r>
      <w:r w:rsidRPr="00C860FD">
        <w:rPr>
          <w:rFonts w:ascii="Times New Roman" w:hAnsi="Times New Roman" w:cs="Times New Roman"/>
          <w:sz w:val="24"/>
          <w:szCs w:val="24"/>
        </w:rPr>
        <w:br/>
        <w:t>-Discuss the rule of reasonable construction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Heading, Title and Preamble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3 -Law relating to Specific Relief, Arbitration and Conciliation, Torts and Limitation &amp; Evidence</w:t>
      </w:r>
      <w:r w:rsidRPr="00C860FD">
        <w:rPr>
          <w:rFonts w:ascii="Times New Roman" w:hAnsi="Times New Roman" w:cs="Times New Roman"/>
          <w:sz w:val="24"/>
          <w:szCs w:val="24"/>
        </w:rPr>
        <w:br/>
        <w:t>-Persons against whom specific performance enforceable and not enforceable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declaratory decrees</w:t>
      </w:r>
      <w:r w:rsidRPr="00C860FD">
        <w:rPr>
          <w:rFonts w:ascii="Times New Roman" w:hAnsi="Times New Roman" w:cs="Times New Roman"/>
          <w:sz w:val="24"/>
          <w:szCs w:val="24"/>
        </w:rPr>
        <w:br/>
        <w:t>-Contracts which cannot be specifically enforceable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International Commercial Arbitration</w:t>
      </w:r>
      <w:r w:rsidRPr="00C860FD">
        <w:rPr>
          <w:rFonts w:ascii="Times New Roman" w:hAnsi="Times New Roman" w:cs="Times New Roman"/>
          <w:sz w:val="24"/>
          <w:szCs w:val="24"/>
        </w:rPr>
        <w:br/>
        <w:t>-Appointment of Arbitrators</w:t>
      </w:r>
      <w:r w:rsidRPr="00C860FD">
        <w:rPr>
          <w:rFonts w:ascii="Times New Roman" w:hAnsi="Times New Roman" w:cs="Times New Roman"/>
          <w:sz w:val="24"/>
          <w:szCs w:val="24"/>
        </w:rPr>
        <w:br/>
        <w:t>-Provisions for setting aside the arbitral award</w:t>
      </w:r>
      <w:r w:rsidRPr="00C860FD">
        <w:rPr>
          <w:rFonts w:ascii="Times New Roman" w:hAnsi="Times New Roman" w:cs="Times New Roman"/>
          <w:sz w:val="24"/>
          <w:szCs w:val="24"/>
        </w:rPr>
        <w:br/>
        <w:t>-Kinds of Tortious liability</w:t>
      </w:r>
      <w:r w:rsidRPr="00C860FD">
        <w:rPr>
          <w:rFonts w:ascii="Times New Roman" w:hAnsi="Times New Roman" w:cs="Times New Roman"/>
          <w:sz w:val="24"/>
          <w:szCs w:val="24"/>
        </w:rPr>
        <w:br/>
        <w:t>-Law of Limitation bars the remedy but does not extinguish the right – Comment</w:t>
      </w:r>
      <w:r w:rsidRPr="00C860FD">
        <w:rPr>
          <w:rFonts w:ascii="Times New Roman" w:hAnsi="Times New Roman" w:cs="Times New Roman"/>
          <w:sz w:val="24"/>
          <w:szCs w:val="24"/>
        </w:rPr>
        <w:br/>
        <w:t>-Facts of which evidence need not be given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Dying Declarations</w:t>
      </w:r>
      <w:r w:rsidRPr="00C860FD">
        <w:rPr>
          <w:rFonts w:ascii="Times New Roman" w:hAnsi="Times New Roman" w:cs="Times New Roman"/>
          <w:sz w:val="24"/>
          <w:szCs w:val="24"/>
        </w:rPr>
        <w:br/>
        <w:t>-When do the statements under special circumstances become relevant ?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4 – Law relating to transfer of property</w:t>
      </w:r>
      <w:r w:rsidRPr="00C860FD">
        <w:rPr>
          <w:rFonts w:ascii="Times New Roman" w:hAnsi="Times New Roman" w:cs="Times New Roman"/>
          <w:sz w:val="24"/>
          <w:szCs w:val="24"/>
        </w:rPr>
        <w:br/>
        <w:t>-Transfer for the benefit of unborn person</w:t>
      </w:r>
      <w:r w:rsidRPr="00C860FD">
        <w:rPr>
          <w:rFonts w:ascii="Times New Roman" w:hAnsi="Times New Roman" w:cs="Times New Roman"/>
          <w:sz w:val="24"/>
          <w:szCs w:val="24"/>
        </w:rPr>
        <w:br/>
        <w:t>-Doctrine of fraudulent transfer</w:t>
      </w:r>
      <w:r w:rsidRPr="00C860FD">
        <w:rPr>
          <w:rFonts w:ascii="Times New Roman" w:hAnsi="Times New Roman" w:cs="Times New Roman"/>
          <w:sz w:val="24"/>
          <w:szCs w:val="24"/>
        </w:rPr>
        <w:br/>
        <w:t>-Types of mortgage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Doctrine of Election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mortgage and charge</w:t>
      </w:r>
      <w:r w:rsidRPr="00C860FD">
        <w:rPr>
          <w:rFonts w:ascii="Times New Roman" w:hAnsi="Times New Roman" w:cs="Times New Roman"/>
          <w:sz w:val="24"/>
          <w:szCs w:val="24"/>
        </w:rPr>
        <w:br/>
        <w:t>-Doctrine of Lis Pendens</w:t>
      </w:r>
      <w:r w:rsidRPr="00C860FD">
        <w:rPr>
          <w:rFonts w:ascii="Times New Roman" w:hAnsi="Times New Roman" w:cs="Times New Roman"/>
          <w:sz w:val="24"/>
          <w:szCs w:val="24"/>
        </w:rPr>
        <w:br/>
        <w:t>-Doctrine of part performance of contracts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5 – Law relating to stamps</w:t>
      </w:r>
      <w:r w:rsidRPr="00C860FD">
        <w:rPr>
          <w:rFonts w:ascii="Times New Roman" w:hAnsi="Times New Roman" w:cs="Times New Roman"/>
          <w:sz w:val="24"/>
          <w:szCs w:val="24"/>
        </w:rPr>
        <w:br/>
        <w:t>-Different methods of stamping</w:t>
      </w:r>
      <w:r w:rsidRPr="00C860FD">
        <w:rPr>
          <w:rFonts w:ascii="Times New Roman" w:hAnsi="Times New Roman" w:cs="Times New Roman"/>
          <w:sz w:val="24"/>
          <w:szCs w:val="24"/>
        </w:rPr>
        <w:br/>
        <w:t>-Time of stamping documents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lastRenderedPageBreak/>
        <w:t>-Consequences of unstamping of documents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Denoting Duty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6 – Law relating to registration of documents</w:t>
      </w:r>
      <w:r w:rsidRPr="00C860FD">
        <w:rPr>
          <w:rFonts w:ascii="Times New Roman" w:hAnsi="Times New Roman" w:cs="Times New Roman"/>
          <w:sz w:val="24"/>
          <w:szCs w:val="24"/>
        </w:rPr>
        <w:br/>
        <w:t>-Registration of wills</w:t>
      </w:r>
      <w:r w:rsidRPr="00C860FD">
        <w:rPr>
          <w:rFonts w:ascii="Times New Roman" w:hAnsi="Times New Roman" w:cs="Times New Roman"/>
          <w:sz w:val="24"/>
          <w:szCs w:val="24"/>
        </w:rPr>
        <w:br/>
        <w:t>-Time for registration of documents</w:t>
      </w:r>
      <w:r w:rsidRPr="00C860FD">
        <w:rPr>
          <w:rFonts w:ascii="Times New Roman" w:hAnsi="Times New Roman" w:cs="Times New Roman"/>
          <w:sz w:val="24"/>
          <w:szCs w:val="24"/>
        </w:rPr>
        <w:br/>
        <w:t>-Effects of non-registration</w:t>
      </w:r>
      <w:r w:rsidRPr="00C860FD">
        <w:rPr>
          <w:rFonts w:ascii="Times New Roman" w:hAnsi="Times New Roman" w:cs="Times New Roman"/>
          <w:sz w:val="24"/>
          <w:szCs w:val="24"/>
        </w:rPr>
        <w:br/>
        <w:t>-Documents whose registration is compulsory and whose registration is optional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7 – Information Technology – an overview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Digital Signature</w:t>
      </w:r>
      <w:r w:rsidRPr="00C860FD">
        <w:rPr>
          <w:rFonts w:ascii="Times New Roman" w:hAnsi="Times New Roman" w:cs="Times New Roman"/>
          <w:sz w:val="24"/>
          <w:szCs w:val="24"/>
        </w:rPr>
        <w:br/>
        <w:t>-Legal recognition of electronic records</w:t>
      </w:r>
      <w:r w:rsidRPr="00C860FD">
        <w:rPr>
          <w:rFonts w:ascii="Times New Roman" w:hAnsi="Times New Roman" w:cs="Times New Roman"/>
          <w:sz w:val="24"/>
          <w:szCs w:val="24"/>
        </w:rPr>
        <w:br/>
        <w:t>-Certifying Authorities</w:t>
      </w:r>
      <w:r w:rsidRPr="00C860FD">
        <w:rPr>
          <w:rFonts w:ascii="Times New Roman" w:hAnsi="Times New Roman" w:cs="Times New Roman"/>
          <w:sz w:val="24"/>
          <w:szCs w:val="24"/>
        </w:rPr>
        <w:br/>
        <w:t>-Domain names &amp; hacking</w:t>
      </w:r>
      <w:r w:rsidRPr="00C860FD">
        <w:rPr>
          <w:rFonts w:ascii="Times New Roman" w:hAnsi="Times New Roman" w:cs="Times New Roman"/>
          <w:sz w:val="24"/>
          <w:szCs w:val="24"/>
        </w:rPr>
        <w:br/>
        <w:t>-Difference between computer and computer network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Chapters 8 &amp; 9 – Code of Civil and Criminal Procedure</w:t>
      </w:r>
      <w:r w:rsidRPr="00C860FD">
        <w:rPr>
          <w:rFonts w:ascii="Times New Roman" w:hAnsi="Times New Roman" w:cs="Times New Roman"/>
          <w:sz w:val="24"/>
          <w:szCs w:val="24"/>
        </w:rPr>
        <w:br/>
        <w:t>-Re judicata and Res subjudice</w:t>
      </w:r>
      <w:r w:rsidRPr="00C860FD">
        <w:rPr>
          <w:rFonts w:ascii="Times New Roman" w:hAnsi="Times New Roman" w:cs="Times New Roman"/>
          <w:sz w:val="24"/>
          <w:szCs w:val="24"/>
        </w:rPr>
        <w:br/>
        <w:t>-Place of suing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judgment, decree and order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reference, review and revision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investigation, inquiry and trial</w:t>
      </w:r>
      <w:r w:rsidRPr="00C860FD">
        <w:rPr>
          <w:rFonts w:ascii="Times New Roman" w:hAnsi="Times New Roman" w:cs="Times New Roman"/>
          <w:sz w:val="24"/>
          <w:szCs w:val="24"/>
        </w:rPr>
        <w:br/>
        <w:t>-Powers of the police officer to arrest without warrant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power of Magistrate in case of apprehended danger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10 – Law relating to RTI</w:t>
      </w:r>
      <w:r w:rsidRPr="00C860FD">
        <w:rPr>
          <w:rFonts w:ascii="Times New Roman" w:hAnsi="Times New Roman" w:cs="Times New Roman"/>
          <w:sz w:val="24"/>
          <w:szCs w:val="24"/>
        </w:rPr>
        <w:br/>
        <w:t>-Duties of a PIO</w:t>
      </w:r>
      <w:r w:rsidRPr="00C860FD">
        <w:rPr>
          <w:rFonts w:ascii="Times New Roman" w:hAnsi="Times New Roman" w:cs="Times New Roman"/>
          <w:sz w:val="24"/>
          <w:szCs w:val="24"/>
        </w:rPr>
        <w:br/>
        <w:t>-The categories of information exempted from the requirement of the RTI Act</w:t>
      </w:r>
      <w:r w:rsidRPr="00C860FD">
        <w:rPr>
          <w:rFonts w:ascii="Times New Roman" w:hAnsi="Times New Roman" w:cs="Times New Roman"/>
          <w:sz w:val="24"/>
          <w:szCs w:val="24"/>
        </w:rPr>
        <w:br/>
        <w:t>-Manner in which request can be made by a citizen for information under the RTI Act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Suggestions for Company Law</w:t>
      </w:r>
      <w:r w:rsidRPr="00C860FD">
        <w:rPr>
          <w:rFonts w:ascii="Times New Roman" w:hAnsi="Times New Roman" w:cs="Times New Roman"/>
          <w:sz w:val="24"/>
          <w:szCs w:val="24"/>
        </w:rPr>
        <w:br/>
        <w:t>(A, B and C indicates priority analysis of the Chapters)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1 – 5 – Company Incorporation etc.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company and partnership</w:t>
      </w:r>
      <w:r w:rsidRPr="00C860FD">
        <w:rPr>
          <w:rFonts w:ascii="Times New Roman" w:hAnsi="Times New Roman" w:cs="Times New Roman"/>
          <w:sz w:val="24"/>
          <w:szCs w:val="24"/>
        </w:rPr>
        <w:br/>
        <w:t>-Lifting of Corporate Veil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company as a citizen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illegal association</w:t>
      </w:r>
      <w:r w:rsidRPr="00C860FD">
        <w:rPr>
          <w:rFonts w:ascii="Times New Roman" w:hAnsi="Times New Roman" w:cs="Times New Roman"/>
          <w:sz w:val="24"/>
          <w:szCs w:val="24"/>
        </w:rPr>
        <w:br/>
        <w:t>-Legal position of promoters</w:t>
      </w:r>
      <w:r w:rsidRPr="00C860FD">
        <w:rPr>
          <w:rFonts w:ascii="Times New Roman" w:hAnsi="Times New Roman" w:cs="Times New Roman"/>
          <w:sz w:val="24"/>
          <w:szCs w:val="24"/>
        </w:rPr>
        <w:br/>
        <w:t>-Various clauses of MOA and AOA and their alteration</w:t>
      </w:r>
      <w:r w:rsidRPr="00C860FD">
        <w:rPr>
          <w:rFonts w:ascii="Times New Roman" w:hAnsi="Times New Roman" w:cs="Times New Roman"/>
          <w:sz w:val="24"/>
          <w:szCs w:val="24"/>
        </w:rPr>
        <w:br/>
        <w:t>-Doctrine of Ultra Vires</w:t>
      </w:r>
      <w:r w:rsidRPr="00C860FD">
        <w:rPr>
          <w:rFonts w:ascii="Times New Roman" w:hAnsi="Times New Roman" w:cs="Times New Roman"/>
          <w:sz w:val="24"/>
          <w:szCs w:val="24"/>
        </w:rPr>
        <w:br/>
        <w:t>-Statutory Corporations as State within the meaning of Article 12 of the Indian Constitution</w:t>
      </w:r>
      <w:r w:rsidRPr="00C860FD">
        <w:rPr>
          <w:rFonts w:ascii="Times New Roman" w:hAnsi="Times New Roman" w:cs="Times New Roman"/>
          <w:sz w:val="24"/>
          <w:szCs w:val="24"/>
        </w:rPr>
        <w:br/>
        <w:t>-Pre-incorporation contracts vs. Provisional Contracts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Chapters 6 – 11 – Financial Structure</w:t>
      </w:r>
      <w:r w:rsidRPr="00C860FD">
        <w:rPr>
          <w:rFonts w:ascii="Times New Roman" w:hAnsi="Times New Roman" w:cs="Times New Roman"/>
          <w:sz w:val="24"/>
          <w:szCs w:val="24"/>
        </w:rPr>
        <w:br/>
        <w:t>-Conclusiveness of Certificate of Incorporation</w:t>
      </w:r>
      <w:r w:rsidRPr="00C860FD">
        <w:rPr>
          <w:rFonts w:ascii="Times New Roman" w:hAnsi="Times New Roman" w:cs="Times New Roman"/>
          <w:sz w:val="24"/>
          <w:szCs w:val="24"/>
        </w:rPr>
        <w:br/>
        <w:t>-Issue of shares at premium</w:t>
      </w:r>
      <w:r w:rsidRPr="00C860FD">
        <w:rPr>
          <w:rFonts w:ascii="Times New Roman" w:hAnsi="Times New Roman" w:cs="Times New Roman"/>
          <w:sz w:val="24"/>
          <w:szCs w:val="24"/>
        </w:rPr>
        <w:br/>
        <w:t>-Liability for misstatement in a prospectus</w:t>
      </w:r>
      <w:r w:rsidRPr="00C860FD">
        <w:rPr>
          <w:rFonts w:ascii="Times New Roman" w:hAnsi="Times New Roman" w:cs="Times New Roman"/>
          <w:sz w:val="24"/>
          <w:szCs w:val="24"/>
        </w:rPr>
        <w:br/>
        <w:t>-Issue of shares on rights basis and bonus shares</w:t>
      </w:r>
      <w:r w:rsidRPr="00C860FD">
        <w:rPr>
          <w:rFonts w:ascii="Times New Roman" w:hAnsi="Times New Roman" w:cs="Times New Roman"/>
          <w:sz w:val="24"/>
          <w:szCs w:val="24"/>
        </w:rPr>
        <w:br/>
        <w:t>-Does forfeiture amounts to reduction of capital</w:t>
      </w:r>
      <w:r w:rsidRPr="00C860FD">
        <w:rPr>
          <w:rFonts w:ascii="Times New Roman" w:hAnsi="Times New Roman" w:cs="Times New Roman"/>
          <w:sz w:val="24"/>
          <w:szCs w:val="24"/>
        </w:rPr>
        <w:br/>
        <w:t>-Buy back of shares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lastRenderedPageBreak/>
        <w:t>-Registration of charges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debentures and sweat equity shares</w:t>
      </w:r>
      <w:r w:rsidRPr="00C860FD">
        <w:rPr>
          <w:rFonts w:ascii="Times New Roman" w:hAnsi="Times New Roman" w:cs="Times New Roman"/>
          <w:sz w:val="24"/>
          <w:szCs w:val="24"/>
        </w:rPr>
        <w:br/>
        <w:t>-Forfeiture of shares and surrender of shares</w:t>
      </w:r>
      <w:r w:rsidRPr="00C860FD">
        <w:rPr>
          <w:rFonts w:ascii="Times New Roman" w:hAnsi="Times New Roman" w:cs="Times New Roman"/>
          <w:sz w:val="24"/>
          <w:szCs w:val="24"/>
        </w:rPr>
        <w:br/>
        <w:t>-Voting rights on preference shares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Chapters 12 – 13 Membership, depositories and transfer / transmission</w:t>
      </w:r>
      <w:r w:rsidRPr="00C860FD">
        <w:rPr>
          <w:rFonts w:ascii="Times New Roman" w:hAnsi="Times New Roman" w:cs="Times New Roman"/>
          <w:sz w:val="24"/>
          <w:szCs w:val="24"/>
        </w:rPr>
        <w:br/>
        <w:t>-Modes of acquiring membership</w:t>
      </w:r>
      <w:r w:rsidRPr="00C860FD">
        <w:rPr>
          <w:rFonts w:ascii="Times New Roman" w:hAnsi="Times New Roman" w:cs="Times New Roman"/>
          <w:sz w:val="24"/>
          <w:szCs w:val="24"/>
        </w:rPr>
        <w:br/>
        <w:t>-Expulsion of a member</w:t>
      </w:r>
      <w:r w:rsidRPr="00C860FD">
        <w:rPr>
          <w:rFonts w:ascii="Times New Roman" w:hAnsi="Times New Roman" w:cs="Times New Roman"/>
          <w:sz w:val="24"/>
          <w:szCs w:val="24"/>
        </w:rPr>
        <w:br/>
        <w:t>-Rights of joint members</w:t>
      </w:r>
      <w:r w:rsidRPr="00C860FD">
        <w:rPr>
          <w:rFonts w:ascii="Times New Roman" w:hAnsi="Times New Roman" w:cs="Times New Roman"/>
          <w:sz w:val="24"/>
          <w:szCs w:val="24"/>
        </w:rPr>
        <w:br/>
        <w:t>-Transmission of shares and Nomination of shares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 14 – 18 – Management and Control of companies</w:t>
      </w:r>
      <w:r w:rsidRPr="00C860FD">
        <w:rPr>
          <w:rFonts w:ascii="Times New Roman" w:hAnsi="Times New Roman" w:cs="Times New Roman"/>
          <w:sz w:val="24"/>
          <w:szCs w:val="24"/>
        </w:rPr>
        <w:br/>
        <w:t>-Resignation of directors</w:t>
      </w:r>
      <w:r w:rsidRPr="00C860FD">
        <w:rPr>
          <w:rFonts w:ascii="Times New Roman" w:hAnsi="Times New Roman" w:cs="Times New Roman"/>
          <w:sz w:val="24"/>
          <w:szCs w:val="24"/>
        </w:rPr>
        <w:br/>
        <w:t>-Appointment of additional directors and directors appointed to fill casual vacancy</w:t>
      </w:r>
      <w:r w:rsidRPr="00C860FD">
        <w:rPr>
          <w:rFonts w:ascii="Times New Roman" w:hAnsi="Times New Roman" w:cs="Times New Roman"/>
          <w:sz w:val="24"/>
          <w:szCs w:val="24"/>
        </w:rPr>
        <w:br/>
        <w:t>-Office or place of profit</w:t>
      </w:r>
      <w:r w:rsidRPr="00C860FD">
        <w:rPr>
          <w:rFonts w:ascii="Times New Roman" w:hAnsi="Times New Roman" w:cs="Times New Roman"/>
          <w:sz w:val="24"/>
          <w:szCs w:val="24"/>
        </w:rPr>
        <w:br/>
        <w:t>-Liability of Non-Executive Directors</w:t>
      </w:r>
      <w:r w:rsidRPr="00C860FD">
        <w:rPr>
          <w:rFonts w:ascii="Times New Roman" w:hAnsi="Times New Roman" w:cs="Times New Roman"/>
          <w:sz w:val="24"/>
          <w:szCs w:val="24"/>
        </w:rPr>
        <w:br/>
        <w:t>-Appointment of director by small shareholders</w:t>
      </w:r>
      <w:r w:rsidRPr="00C860FD">
        <w:rPr>
          <w:rFonts w:ascii="Times New Roman" w:hAnsi="Times New Roman" w:cs="Times New Roman"/>
          <w:sz w:val="24"/>
          <w:szCs w:val="24"/>
        </w:rPr>
        <w:br/>
        <w:t>-Disqualifications of directors</w:t>
      </w:r>
      <w:r w:rsidRPr="00C860FD">
        <w:rPr>
          <w:rFonts w:ascii="Times New Roman" w:hAnsi="Times New Roman" w:cs="Times New Roman"/>
          <w:sz w:val="24"/>
          <w:szCs w:val="24"/>
        </w:rPr>
        <w:br/>
        <w:t>-Powers which the BOD may exercise only with the approval of shareholders</w:t>
      </w:r>
      <w:r w:rsidRPr="00C860FD">
        <w:rPr>
          <w:rFonts w:ascii="Times New Roman" w:hAnsi="Times New Roman" w:cs="Times New Roman"/>
          <w:sz w:val="24"/>
          <w:szCs w:val="24"/>
        </w:rPr>
        <w:br/>
        <w:t>-Disclosure of interest by directors</w:t>
      </w:r>
      <w:r w:rsidRPr="00C860FD">
        <w:rPr>
          <w:rFonts w:ascii="Times New Roman" w:hAnsi="Times New Roman" w:cs="Times New Roman"/>
          <w:sz w:val="24"/>
          <w:szCs w:val="24"/>
        </w:rPr>
        <w:br/>
        <w:t>-Officer in default</w:t>
      </w:r>
      <w:r w:rsidRPr="00C860FD">
        <w:rPr>
          <w:rFonts w:ascii="Times New Roman" w:hAnsi="Times New Roman" w:cs="Times New Roman"/>
          <w:sz w:val="24"/>
          <w:szCs w:val="24"/>
        </w:rPr>
        <w:br/>
        <w:t>-Appointment of Managing Director</w:t>
      </w:r>
      <w:r w:rsidRPr="00C860FD">
        <w:rPr>
          <w:rFonts w:ascii="Times New Roman" w:hAnsi="Times New Roman" w:cs="Times New Roman"/>
          <w:sz w:val="24"/>
          <w:szCs w:val="24"/>
        </w:rPr>
        <w:br/>
        <w:t>-Role of a company secretary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AGM</w:t>
      </w:r>
      <w:r w:rsidRPr="00C860FD">
        <w:rPr>
          <w:rFonts w:ascii="Times New Roman" w:hAnsi="Times New Roman" w:cs="Times New Roman"/>
          <w:sz w:val="24"/>
          <w:szCs w:val="24"/>
        </w:rPr>
        <w:br/>
        <w:t>-Duties and role of Chairman</w:t>
      </w:r>
      <w:r w:rsidRPr="00C860FD">
        <w:rPr>
          <w:rFonts w:ascii="Times New Roman" w:hAnsi="Times New Roman" w:cs="Times New Roman"/>
          <w:sz w:val="24"/>
          <w:szCs w:val="24"/>
        </w:rPr>
        <w:br/>
        <w:t>-Methods of ascertaining sense of the meeting</w:t>
      </w:r>
      <w:r w:rsidRPr="00C860FD">
        <w:rPr>
          <w:rFonts w:ascii="Times New Roman" w:hAnsi="Times New Roman" w:cs="Times New Roman"/>
          <w:sz w:val="24"/>
          <w:szCs w:val="24"/>
        </w:rPr>
        <w:br/>
        <w:t>-Proxy in general meetings</w:t>
      </w:r>
      <w:r w:rsidRPr="00C860FD">
        <w:rPr>
          <w:rFonts w:ascii="Times New Roman" w:hAnsi="Times New Roman" w:cs="Times New Roman"/>
          <w:sz w:val="24"/>
          <w:szCs w:val="24"/>
        </w:rPr>
        <w:br/>
        <w:t>-Passing of resolutions by way of postal ballot</w:t>
      </w:r>
      <w:r w:rsidRPr="00C860FD">
        <w:rPr>
          <w:rFonts w:ascii="Times New Roman" w:hAnsi="Times New Roman" w:cs="Times New Roman"/>
          <w:sz w:val="24"/>
          <w:szCs w:val="24"/>
        </w:rPr>
        <w:br/>
        <w:t>-Conduct of Board and General Meetings through video-conferencing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19 – Investments and Loans</w:t>
      </w:r>
      <w:r w:rsidRPr="00C860FD">
        <w:rPr>
          <w:rFonts w:ascii="Times New Roman" w:hAnsi="Times New Roman" w:cs="Times New Roman"/>
          <w:sz w:val="24"/>
          <w:szCs w:val="24"/>
        </w:rPr>
        <w:br/>
        <w:t>-Investments to be held in company’s name</w:t>
      </w:r>
      <w:r w:rsidRPr="00C860FD">
        <w:rPr>
          <w:rFonts w:ascii="Times New Roman" w:hAnsi="Times New Roman" w:cs="Times New Roman"/>
          <w:sz w:val="24"/>
          <w:szCs w:val="24"/>
        </w:rPr>
        <w:br/>
        <w:t>-Inter-corporate loans and investments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20 – Deposits</w:t>
      </w:r>
      <w:r w:rsidRPr="00C860FD">
        <w:rPr>
          <w:rFonts w:ascii="Times New Roman" w:hAnsi="Times New Roman" w:cs="Times New Roman"/>
          <w:sz w:val="24"/>
          <w:szCs w:val="24"/>
        </w:rPr>
        <w:br/>
        <w:t>-Small depositors</w:t>
      </w:r>
      <w:r w:rsidRPr="00C860FD">
        <w:rPr>
          <w:rFonts w:ascii="Times New Roman" w:hAnsi="Times New Roman" w:cs="Times New Roman"/>
          <w:sz w:val="24"/>
          <w:szCs w:val="24"/>
        </w:rPr>
        <w:br/>
        <w:t>-Advertisement for raising deposits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21 – Accounts and Audit</w:t>
      </w:r>
      <w:r w:rsidRPr="00C860FD">
        <w:rPr>
          <w:rFonts w:ascii="Times New Roman" w:hAnsi="Times New Roman" w:cs="Times New Roman"/>
          <w:sz w:val="24"/>
          <w:szCs w:val="24"/>
        </w:rPr>
        <w:br/>
        <w:t>-Director’s responsibility statement</w:t>
      </w:r>
      <w:r w:rsidRPr="00C860FD">
        <w:rPr>
          <w:rFonts w:ascii="Times New Roman" w:hAnsi="Times New Roman" w:cs="Times New Roman"/>
          <w:sz w:val="24"/>
          <w:szCs w:val="24"/>
        </w:rPr>
        <w:br/>
        <w:t>-What are the various methods of appointing auditor in a company ?</w:t>
      </w:r>
      <w:r w:rsidRPr="00C860FD">
        <w:rPr>
          <w:rFonts w:ascii="Times New Roman" w:hAnsi="Times New Roman" w:cs="Times New Roman"/>
          <w:sz w:val="24"/>
          <w:szCs w:val="24"/>
        </w:rPr>
        <w:br/>
        <w:t>-Attachment of subsidiary accounts to the holding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-Liabilities of an auditor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Director’s Report and Audit Committee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22 -Dividend</w:t>
      </w:r>
      <w:r w:rsidRPr="00C860FD">
        <w:rPr>
          <w:rFonts w:ascii="Times New Roman" w:hAnsi="Times New Roman" w:cs="Times New Roman"/>
          <w:sz w:val="24"/>
          <w:szCs w:val="24"/>
        </w:rPr>
        <w:br/>
        <w:t>-Transfers of profits to reserves before declaration of dividend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interim dividend</w:t>
      </w:r>
      <w:r w:rsidRPr="00C860FD">
        <w:rPr>
          <w:rFonts w:ascii="Times New Roman" w:hAnsi="Times New Roman" w:cs="Times New Roman"/>
          <w:sz w:val="24"/>
          <w:szCs w:val="24"/>
        </w:rPr>
        <w:br/>
        <w:t>-Investor Education and Protection Fund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Chapters 23 – 24 – Sole selling agent, accounts etc.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lastRenderedPageBreak/>
        <w:t>-Attachment of accounts of subsidiary companies with the accounts of the holding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-Disclosures in the Director’s report pursuant to the listing agreement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25 – 28 – Oppression and Mismanagement etc.</w:t>
      </w:r>
      <w:r w:rsidRPr="00C860FD">
        <w:rPr>
          <w:rFonts w:ascii="Times New Roman" w:hAnsi="Times New Roman" w:cs="Times New Roman"/>
          <w:sz w:val="24"/>
          <w:szCs w:val="24"/>
        </w:rPr>
        <w:br/>
        <w:t>-Statutory registers of a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-Investigation into the affairs of a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-Rule of Foss vs. Harbottle and its exceptions</w:t>
      </w:r>
      <w:r w:rsidRPr="00C860FD">
        <w:rPr>
          <w:rFonts w:ascii="Times New Roman" w:hAnsi="Times New Roman" w:cs="Times New Roman"/>
          <w:sz w:val="24"/>
          <w:szCs w:val="24"/>
        </w:rPr>
        <w:br/>
        <w:t>-Compromise and Arrangements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Other Chapters –</w:t>
      </w:r>
      <w:r w:rsidRPr="00C860FD">
        <w:rPr>
          <w:rFonts w:ascii="Times New Roman" w:hAnsi="Times New Roman" w:cs="Times New Roman"/>
          <w:sz w:val="24"/>
          <w:szCs w:val="24"/>
        </w:rPr>
        <w:br/>
        <w:t>-Law relating to trusts and societies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producer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LLP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winding up of a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-Powers of a court to wind up a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DIN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Back offices, front offices etc.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 xml:space="preserve">Suggestions for Economic and Labour </w:t>
      </w:r>
      <w:proofErr w:type="gramStart"/>
      <w:r w:rsidRPr="00C860FD">
        <w:rPr>
          <w:rFonts w:ascii="Times New Roman" w:hAnsi="Times New Roman" w:cs="Times New Roman"/>
          <w:sz w:val="24"/>
          <w:szCs w:val="24"/>
        </w:rPr>
        <w:t>Laws</w:t>
      </w:r>
      <w:proofErr w:type="gramEnd"/>
      <w:r w:rsidRPr="00C860FD">
        <w:rPr>
          <w:rFonts w:ascii="Times New Roman" w:hAnsi="Times New Roman" w:cs="Times New Roman"/>
          <w:sz w:val="24"/>
          <w:szCs w:val="24"/>
        </w:rPr>
        <w:br/>
        <w:t>(A, B and C indicates priority analysis of the Chapters)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.</w:t>
      </w:r>
      <w:r w:rsidRPr="00C860FD">
        <w:rPr>
          <w:rFonts w:ascii="Times New Roman" w:hAnsi="Times New Roman" w:cs="Times New Roman"/>
          <w:sz w:val="24"/>
          <w:szCs w:val="24"/>
        </w:rPr>
        <w:br/>
        <w:t>C Chapter 1 – IDRA</w:t>
      </w:r>
      <w:r w:rsidRPr="00C860FD">
        <w:rPr>
          <w:rFonts w:ascii="Times New Roman" w:hAnsi="Times New Roman" w:cs="Times New Roman"/>
          <w:sz w:val="24"/>
          <w:szCs w:val="24"/>
        </w:rPr>
        <w:br/>
        <w:t>-Industrial Licence</w:t>
      </w:r>
      <w:r w:rsidRPr="00C860FD">
        <w:rPr>
          <w:rFonts w:ascii="Times New Roman" w:hAnsi="Times New Roman" w:cs="Times New Roman"/>
          <w:sz w:val="24"/>
          <w:szCs w:val="24"/>
        </w:rPr>
        <w:br/>
        <w:t>-Industrial Entrepreneur’s Memorandum</w:t>
      </w:r>
      <w:r w:rsidRPr="00C860FD">
        <w:rPr>
          <w:rFonts w:ascii="Times New Roman" w:hAnsi="Times New Roman" w:cs="Times New Roman"/>
          <w:sz w:val="24"/>
          <w:szCs w:val="24"/>
        </w:rPr>
        <w:br/>
        <w:t>-COB Licence</w:t>
      </w:r>
      <w:r w:rsidRPr="00C860FD">
        <w:rPr>
          <w:rFonts w:ascii="Times New Roman" w:hAnsi="Times New Roman" w:cs="Times New Roman"/>
          <w:sz w:val="24"/>
          <w:szCs w:val="24"/>
        </w:rPr>
        <w:br/>
        <w:t>-Calculation of value of plant and machinery</w:t>
      </w:r>
      <w:r w:rsidRPr="00C860FD">
        <w:rPr>
          <w:rFonts w:ascii="Times New Roman" w:hAnsi="Times New Roman" w:cs="Times New Roman"/>
          <w:sz w:val="24"/>
          <w:szCs w:val="24"/>
        </w:rPr>
        <w:br/>
        <w:t>-MSMED Act, 2006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2 – Foreign Trade Policy and Procedures</w:t>
      </w:r>
      <w:r w:rsidRPr="00C860FD">
        <w:rPr>
          <w:rFonts w:ascii="Times New Roman" w:hAnsi="Times New Roman" w:cs="Times New Roman"/>
          <w:sz w:val="24"/>
          <w:szCs w:val="24"/>
        </w:rPr>
        <w:br/>
        <w:t>-Special Economic Zones</w:t>
      </w:r>
      <w:r w:rsidRPr="00C860FD">
        <w:rPr>
          <w:rFonts w:ascii="Times New Roman" w:hAnsi="Times New Roman" w:cs="Times New Roman"/>
          <w:sz w:val="24"/>
          <w:szCs w:val="24"/>
        </w:rPr>
        <w:br/>
        <w:t>-IEC Code</w:t>
      </w:r>
      <w:r w:rsidRPr="00C860FD">
        <w:rPr>
          <w:rFonts w:ascii="Times New Roman" w:hAnsi="Times New Roman" w:cs="Times New Roman"/>
          <w:sz w:val="24"/>
          <w:szCs w:val="24"/>
        </w:rPr>
        <w:br/>
        <w:t>-Vishesh Krishi and Gram Udyog Yojana</w:t>
      </w:r>
      <w:r w:rsidRPr="00C860FD">
        <w:rPr>
          <w:rFonts w:ascii="Times New Roman" w:hAnsi="Times New Roman" w:cs="Times New Roman"/>
          <w:sz w:val="24"/>
          <w:szCs w:val="24"/>
        </w:rPr>
        <w:br/>
        <w:t>-Focus Product and Focus Market Scheme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Chapters 3 – 6 – Trade, Competition and Consumer Protection</w:t>
      </w:r>
      <w:r w:rsidRPr="00C860FD">
        <w:rPr>
          <w:rFonts w:ascii="Times New Roman" w:hAnsi="Times New Roman" w:cs="Times New Roman"/>
          <w:sz w:val="24"/>
          <w:szCs w:val="24"/>
        </w:rPr>
        <w:br/>
        <w:t>-Regulation of Combinations in detail</w:t>
      </w:r>
      <w:r w:rsidRPr="00C860FD">
        <w:rPr>
          <w:rFonts w:ascii="Times New Roman" w:hAnsi="Times New Roman" w:cs="Times New Roman"/>
          <w:sz w:val="24"/>
          <w:szCs w:val="24"/>
        </w:rPr>
        <w:br/>
        <w:t>-Predatory Pricing and Bid Rigging</w:t>
      </w:r>
      <w:r w:rsidRPr="00C860FD">
        <w:rPr>
          <w:rFonts w:ascii="Times New Roman" w:hAnsi="Times New Roman" w:cs="Times New Roman"/>
          <w:sz w:val="24"/>
          <w:szCs w:val="24"/>
        </w:rPr>
        <w:br/>
        <w:t>-Abuse of Dominant position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Competition Commission of India</w:t>
      </w:r>
      <w:r w:rsidRPr="00C860FD">
        <w:rPr>
          <w:rFonts w:ascii="Times New Roman" w:hAnsi="Times New Roman" w:cs="Times New Roman"/>
          <w:sz w:val="24"/>
          <w:szCs w:val="24"/>
        </w:rPr>
        <w:br/>
        <w:t>-Redressal Machinery under the Act</w:t>
      </w:r>
      <w:r w:rsidRPr="00C860FD">
        <w:rPr>
          <w:rFonts w:ascii="Times New Roman" w:hAnsi="Times New Roman" w:cs="Times New Roman"/>
          <w:sz w:val="24"/>
          <w:szCs w:val="24"/>
        </w:rPr>
        <w:br/>
        <w:t>-Definition of Consumer</w:t>
      </w:r>
      <w:r w:rsidRPr="00C860FD">
        <w:rPr>
          <w:rFonts w:ascii="Times New Roman" w:hAnsi="Times New Roman" w:cs="Times New Roman"/>
          <w:sz w:val="24"/>
          <w:szCs w:val="24"/>
        </w:rPr>
        <w:br/>
        <w:t>-Case laws on deficiency of service</w:t>
      </w:r>
      <w:r w:rsidRPr="00C860FD">
        <w:rPr>
          <w:rFonts w:ascii="Times New Roman" w:hAnsi="Times New Roman" w:cs="Times New Roman"/>
          <w:sz w:val="24"/>
          <w:szCs w:val="24"/>
        </w:rPr>
        <w:br/>
        <w:t>-Other case laws given in the class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7 &amp; 8 – Essential Commodities and Standard of Weights and Measures</w:t>
      </w:r>
      <w:r w:rsidRPr="00C860FD">
        <w:rPr>
          <w:rFonts w:ascii="Times New Roman" w:hAnsi="Times New Roman" w:cs="Times New Roman"/>
          <w:sz w:val="24"/>
          <w:szCs w:val="24"/>
        </w:rPr>
        <w:br/>
        <w:t>-Powers of the CG under the Essential Commodities Act</w:t>
      </w:r>
      <w:r w:rsidRPr="00C860FD">
        <w:rPr>
          <w:rFonts w:ascii="Times New Roman" w:hAnsi="Times New Roman" w:cs="Times New Roman"/>
          <w:sz w:val="24"/>
          <w:szCs w:val="24"/>
        </w:rPr>
        <w:br/>
        <w:t>-Definition of Essential Commodities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seizure and confiscation of essential commodities</w:t>
      </w:r>
      <w:r w:rsidRPr="00C860FD">
        <w:rPr>
          <w:rFonts w:ascii="Times New Roman" w:hAnsi="Times New Roman" w:cs="Times New Roman"/>
          <w:sz w:val="24"/>
          <w:szCs w:val="24"/>
        </w:rPr>
        <w:br/>
        <w:t>-Declaration to be made on standard packages</w:t>
      </w:r>
      <w:r w:rsidRPr="00C860FD">
        <w:rPr>
          <w:rFonts w:ascii="Times New Roman" w:hAnsi="Times New Roman" w:cs="Times New Roman"/>
          <w:sz w:val="24"/>
          <w:szCs w:val="24"/>
        </w:rPr>
        <w:br/>
        <w:t>-Maximum permissible error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lastRenderedPageBreak/>
        <w:t>-Short note on Principal Display Panel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 9 and 10 – FEMA &amp; FCRA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permissible capital and current account transactions</w:t>
      </w:r>
      <w:r w:rsidRPr="00C860FD">
        <w:rPr>
          <w:rFonts w:ascii="Times New Roman" w:hAnsi="Times New Roman" w:cs="Times New Roman"/>
          <w:sz w:val="24"/>
          <w:szCs w:val="24"/>
        </w:rPr>
        <w:br/>
        <w:t>-Raising of funds through ADRs and GDRs</w:t>
      </w:r>
      <w:r w:rsidRPr="00C860FD">
        <w:rPr>
          <w:rFonts w:ascii="Times New Roman" w:hAnsi="Times New Roman" w:cs="Times New Roman"/>
          <w:sz w:val="24"/>
          <w:szCs w:val="24"/>
        </w:rPr>
        <w:br/>
        <w:t>-Direct Investment in a JV / Wholly owned subsidiary outside India</w:t>
      </w:r>
      <w:r w:rsidRPr="00C860FD">
        <w:rPr>
          <w:rFonts w:ascii="Times New Roman" w:hAnsi="Times New Roman" w:cs="Times New Roman"/>
          <w:sz w:val="24"/>
          <w:szCs w:val="24"/>
        </w:rPr>
        <w:br/>
        <w:t>-Establishment of branch, project and liaison offices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Authorised person</w:t>
      </w:r>
      <w:r w:rsidRPr="00C860FD">
        <w:rPr>
          <w:rFonts w:ascii="Times New Roman" w:hAnsi="Times New Roman" w:cs="Times New Roman"/>
          <w:sz w:val="24"/>
          <w:szCs w:val="24"/>
        </w:rPr>
        <w:br/>
        <w:t>-Restrictions on acceptance of foreign contributions by certain associations</w:t>
      </w:r>
      <w:r w:rsidRPr="00C860FD">
        <w:rPr>
          <w:rFonts w:ascii="Times New Roman" w:hAnsi="Times New Roman" w:cs="Times New Roman"/>
          <w:sz w:val="24"/>
          <w:szCs w:val="24"/>
        </w:rPr>
        <w:br/>
        <w:t>-Restrictions on acceptance of foreign hospitality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11 &amp; 12 – Pollution Laws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Sustainable development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Public Liability Insurance Act, 1991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Pollution Control Boards</w:t>
      </w:r>
      <w:r w:rsidRPr="00C860FD">
        <w:rPr>
          <w:rFonts w:ascii="Times New Roman" w:hAnsi="Times New Roman" w:cs="Times New Roman"/>
          <w:sz w:val="24"/>
          <w:szCs w:val="24"/>
        </w:rPr>
        <w:br/>
        <w:t>-Power of Central Government relating to entry, inspection and take samples etc.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environmental clearances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the case MC Mehta vs. Union of India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Noise pollution</w:t>
      </w:r>
      <w:r w:rsidRPr="00C860FD">
        <w:rPr>
          <w:rFonts w:ascii="Times New Roman" w:hAnsi="Times New Roman" w:cs="Times New Roman"/>
          <w:sz w:val="24"/>
          <w:szCs w:val="24"/>
        </w:rPr>
        <w:br/>
        <w:t>-National Green Tribunal Act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13 – Intellectual property rights</w:t>
      </w:r>
      <w:r w:rsidRPr="00C860FD">
        <w:rPr>
          <w:rFonts w:ascii="Times New Roman" w:hAnsi="Times New Roman" w:cs="Times New Roman"/>
          <w:sz w:val="24"/>
          <w:szCs w:val="24"/>
        </w:rPr>
        <w:br/>
        <w:t>-Contents of complete specification</w:t>
      </w:r>
      <w:r w:rsidRPr="00C860FD">
        <w:rPr>
          <w:rFonts w:ascii="Times New Roman" w:hAnsi="Times New Roman" w:cs="Times New Roman"/>
          <w:sz w:val="24"/>
          <w:szCs w:val="24"/>
        </w:rPr>
        <w:br/>
        <w:t>-Restoration of lapsed patents</w:t>
      </w:r>
      <w:r w:rsidRPr="00C860FD">
        <w:rPr>
          <w:rFonts w:ascii="Times New Roman" w:hAnsi="Times New Roman" w:cs="Times New Roman"/>
          <w:sz w:val="24"/>
          <w:szCs w:val="24"/>
        </w:rPr>
        <w:br/>
        <w:t>-Grant of Compulsory licences in connection with IPRs</w:t>
      </w:r>
      <w:r w:rsidRPr="00C860FD">
        <w:rPr>
          <w:rFonts w:ascii="Times New Roman" w:hAnsi="Times New Roman" w:cs="Times New Roman"/>
          <w:sz w:val="24"/>
          <w:szCs w:val="24"/>
        </w:rPr>
        <w:br/>
        <w:t>-Concept of new inventions and patentable inventions</w:t>
      </w:r>
      <w:r w:rsidRPr="00C860FD">
        <w:rPr>
          <w:rFonts w:ascii="Times New Roman" w:hAnsi="Times New Roman" w:cs="Times New Roman"/>
          <w:sz w:val="24"/>
          <w:szCs w:val="24"/>
        </w:rPr>
        <w:br/>
        <w:t>-Removal of trademark for non-use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Collective Marks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assignment of copyrights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14 – Prevention of Money Laundering</w:t>
      </w:r>
      <w:r w:rsidRPr="00C860FD">
        <w:rPr>
          <w:rFonts w:ascii="Times New Roman" w:hAnsi="Times New Roman" w:cs="Times New Roman"/>
          <w:sz w:val="24"/>
          <w:szCs w:val="24"/>
        </w:rPr>
        <w:br/>
        <w:t>-What is money laundering ?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Financial Action Task Force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15 – Minimum Wages Act, 1948</w:t>
      </w:r>
      <w:r w:rsidRPr="00C860FD">
        <w:rPr>
          <w:rFonts w:ascii="Times New Roman" w:hAnsi="Times New Roman" w:cs="Times New Roman"/>
          <w:sz w:val="24"/>
          <w:szCs w:val="24"/>
        </w:rPr>
        <w:br/>
        <w:t>-Mandatory payment of minimum wages to the workers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Chapters 16 – 17 – Payment of Bonus and Gratuity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amount of gratuity payable to a worker</w:t>
      </w:r>
      <w:r w:rsidRPr="00C860FD">
        <w:rPr>
          <w:rFonts w:ascii="Times New Roman" w:hAnsi="Times New Roman" w:cs="Times New Roman"/>
          <w:sz w:val="24"/>
          <w:szCs w:val="24"/>
        </w:rPr>
        <w:br/>
        <w:t>-Rights and obligations of employers w.r.t to payment of gratuity</w:t>
      </w:r>
      <w:r w:rsidRPr="00C860FD">
        <w:rPr>
          <w:rFonts w:ascii="Times New Roman" w:hAnsi="Times New Roman" w:cs="Times New Roman"/>
          <w:sz w:val="24"/>
          <w:szCs w:val="24"/>
        </w:rPr>
        <w:br/>
        <w:t>-Computation of bonus payable to the workers</w:t>
      </w:r>
      <w:r w:rsidRPr="00C860FD">
        <w:rPr>
          <w:rFonts w:ascii="Times New Roman" w:hAnsi="Times New Roman" w:cs="Times New Roman"/>
          <w:sz w:val="24"/>
          <w:szCs w:val="24"/>
        </w:rPr>
        <w:br/>
        <w:t>-Payment of Customary or interim bonus to the employees</w:t>
      </w:r>
      <w:r w:rsidRPr="00C860FD">
        <w:rPr>
          <w:rFonts w:ascii="Times New Roman" w:hAnsi="Times New Roman" w:cs="Times New Roman"/>
          <w:sz w:val="24"/>
          <w:szCs w:val="24"/>
        </w:rPr>
        <w:br/>
        <w:t xml:space="preserve">-Can gratuity payable to workers be attached by a decree of </w:t>
      </w:r>
      <w:proofErr w:type="gramStart"/>
      <w:r w:rsidRPr="00C860FD">
        <w:rPr>
          <w:rFonts w:ascii="Times New Roman" w:hAnsi="Times New Roman" w:cs="Times New Roman"/>
          <w:sz w:val="24"/>
          <w:szCs w:val="24"/>
        </w:rPr>
        <w:t>Court ?</w:t>
      </w:r>
      <w:proofErr w:type="gramEnd"/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18 – 19 – Provident Fund and ESI Act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Employees’ Provident Fund Scheme</w:t>
      </w:r>
      <w:r w:rsidRPr="00C860FD">
        <w:rPr>
          <w:rFonts w:ascii="Times New Roman" w:hAnsi="Times New Roman" w:cs="Times New Roman"/>
          <w:sz w:val="24"/>
          <w:szCs w:val="24"/>
        </w:rPr>
        <w:br/>
        <w:t>-What do you mean by Employees Deposit Linked Insurance Scheme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Employees’ State Insurance</w:t>
      </w:r>
      <w:r w:rsidRPr="00C860FD">
        <w:rPr>
          <w:rFonts w:ascii="Times New Roman" w:hAnsi="Times New Roman" w:cs="Times New Roman"/>
          <w:sz w:val="24"/>
          <w:szCs w:val="24"/>
        </w:rPr>
        <w:br/>
        <w:t>-What do you mean by employment injury under the ESI Act?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– 20 – 21 – Employees’ Compensation and Contract Labour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lastRenderedPageBreak/>
        <w:t>-Employer’s liability for payment of compensation to workers when contractor is engaged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partial disablement and total disablement</w:t>
      </w:r>
      <w:r w:rsidRPr="00C860FD">
        <w:rPr>
          <w:rFonts w:ascii="Times New Roman" w:hAnsi="Times New Roman" w:cs="Times New Roman"/>
          <w:sz w:val="24"/>
          <w:szCs w:val="24"/>
        </w:rPr>
        <w:br/>
        <w:t>-Prohibition of employment of contract labour</w:t>
      </w:r>
      <w:r w:rsidRPr="00C860FD">
        <w:rPr>
          <w:rFonts w:ascii="Times New Roman" w:hAnsi="Times New Roman" w:cs="Times New Roman"/>
          <w:sz w:val="24"/>
          <w:szCs w:val="24"/>
        </w:rPr>
        <w:br/>
        <w:t>-Welfare and health of contract labour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 22 – Industrial Disputes Act</w:t>
      </w:r>
      <w:r w:rsidRPr="00C860FD">
        <w:rPr>
          <w:rFonts w:ascii="Times New Roman" w:hAnsi="Times New Roman" w:cs="Times New Roman"/>
          <w:sz w:val="24"/>
          <w:szCs w:val="24"/>
        </w:rPr>
        <w:br/>
        <w:t>-Unfair Labour Practices</w:t>
      </w:r>
      <w:r w:rsidRPr="00C860FD">
        <w:rPr>
          <w:rFonts w:ascii="Times New Roman" w:hAnsi="Times New Roman" w:cs="Times New Roman"/>
          <w:sz w:val="24"/>
          <w:szCs w:val="24"/>
        </w:rPr>
        <w:br/>
        <w:t>-Reference of industrial disputes through arbitration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lay off and lock out</w:t>
      </w:r>
      <w:r w:rsidRPr="00C860FD">
        <w:rPr>
          <w:rFonts w:ascii="Times New Roman" w:hAnsi="Times New Roman" w:cs="Times New Roman"/>
          <w:sz w:val="24"/>
          <w:szCs w:val="24"/>
        </w:rPr>
        <w:br/>
        <w:t>-Whether individual dispute can be said to be industrial dispute ?</w:t>
      </w:r>
      <w:r w:rsidRPr="00C860FD">
        <w:rPr>
          <w:rFonts w:ascii="Times New Roman" w:hAnsi="Times New Roman" w:cs="Times New Roman"/>
          <w:sz w:val="24"/>
          <w:szCs w:val="24"/>
        </w:rPr>
        <w:br/>
        <w:t>-Discuss the various types of strikes</w:t>
      </w:r>
      <w:r w:rsidRPr="00C860FD">
        <w:rPr>
          <w:rFonts w:ascii="Times New Roman" w:hAnsi="Times New Roman" w:cs="Times New Roman"/>
          <w:sz w:val="24"/>
          <w:szCs w:val="24"/>
        </w:rPr>
        <w:br/>
        <w:t>-Wages for the strike period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23 – 24 –Standing Orders and Factories Act</w:t>
      </w:r>
      <w:r w:rsidRPr="00C860FD">
        <w:rPr>
          <w:rFonts w:ascii="Times New Roman" w:hAnsi="Times New Roman" w:cs="Times New Roman"/>
          <w:sz w:val="24"/>
          <w:szCs w:val="24"/>
        </w:rPr>
        <w:br/>
        <w:t>-Payment of subsistence allowance</w:t>
      </w:r>
      <w:r w:rsidRPr="00C860FD">
        <w:rPr>
          <w:rFonts w:ascii="Times New Roman" w:hAnsi="Times New Roman" w:cs="Times New Roman"/>
          <w:sz w:val="24"/>
          <w:szCs w:val="24"/>
        </w:rPr>
        <w:br/>
        <w:t>-Matters to be provided in the standing orders</w:t>
      </w:r>
      <w:r w:rsidRPr="00C860FD">
        <w:rPr>
          <w:rFonts w:ascii="Times New Roman" w:hAnsi="Times New Roman" w:cs="Times New Roman"/>
          <w:sz w:val="24"/>
          <w:szCs w:val="24"/>
        </w:rPr>
        <w:br/>
        <w:t>-Annual leave with wages</w:t>
      </w:r>
      <w:r w:rsidRPr="00C860FD">
        <w:rPr>
          <w:rFonts w:ascii="Times New Roman" w:hAnsi="Times New Roman" w:cs="Times New Roman"/>
          <w:sz w:val="24"/>
          <w:szCs w:val="24"/>
        </w:rPr>
        <w:br/>
        <w:t>-Definition of factory</w:t>
      </w:r>
      <w:r w:rsidRPr="00C860FD">
        <w:rPr>
          <w:rFonts w:ascii="Times New Roman" w:hAnsi="Times New Roman" w:cs="Times New Roman"/>
          <w:sz w:val="24"/>
          <w:szCs w:val="24"/>
        </w:rPr>
        <w:br/>
        <w:t>-What do you mean by manufacturing process ?</w:t>
      </w:r>
      <w:r w:rsidRPr="00C860FD">
        <w:rPr>
          <w:rFonts w:ascii="Times New Roman" w:hAnsi="Times New Roman" w:cs="Times New Roman"/>
          <w:sz w:val="24"/>
          <w:szCs w:val="24"/>
        </w:rPr>
        <w:br/>
        <w:t xml:space="preserve">-Who can be appointed as Occupier of </w:t>
      </w:r>
      <w:proofErr w:type="gramStart"/>
      <w:r w:rsidRPr="00C860FD">
        <w:rPr>
          <w:rFonts w:ascii="Times New Roman" w:hAnsi="Times New Roman" w:cs="Times New Roman"/>
          <w:sz w:val="24"/>
          <w:szCs w:val="24"/>
        </w:rPr>
        <w:t>factories ?</w:t>
      </w:r>
      <w:proofErr w:type="gramEnd"/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 xml:space="preserve">Suggestions for Securities Laws and </w:t>
      </w:r>
      <w:proofErr w:type="gramStart"/>
      <w:r w:rsidRPr="00C860FD">
        <w:rPr>
          <w:rFonts w:ascii="Times New Roman" w:hAnsi="Times New Roman" w:cs="Times New Roman"/>
          <w:sz w:val="24"/>
          <w:szCs w:val="24"/>
        </w:rPr>
        <w:t>Compliances</w:t>
      </w:r>
      <w:proofErr w:type="gramEnd"/>
      <w:r w:rsidRPr="00C860FD">
        <w:rPr>
          <w:rFonts w:ascii="Times New Roman" w:hAnsi="Times New Roman" w:cs="Times New Roman"/>
          <w:sz w:val="24"/>
          <w:szCs w:val="24"/>
        </w:rPr>
        <w:br/>
        <w:t>(A, B and C indicates priority analysis of the Chapters)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1 &amp; 2 – Securities Market</w:t>
      </w:r>
      <w:r w:rsidRPr="00C860FD">
        <w:rPr>
          <w:rFonts w:ascii="Times New Roman" w:hAnsi="Times New Roman" w:cs="Times New Roman"/>
          <w:sz w:val="24"/>
          <w:szCs w:val="24"/>
        </w:rPr>
        <w:br/>
        <w:t>-Powers and Role of SEBI</w:t>
      </w:r>
      <w:r w:rsidRPr="00C860FD">
        <w:rPr>
          <w:rFonts w:ascii="Times New Roman" w:hAnsi="Times New Roman" w:cs="Times New Roman"/>
          <w:sz w:val="24"/>
          <w:szCs w:val="24"/>
        </w:rPr>
        <w:br/>
        <w:t>-Relation between securities market and economic growth</w:t>
      </w:r>
      <w:r w:rsidRPr="00C860FD">
        <w:rPr>
          <w:rFonts w:ascii="Times New Roman" w:hAnsi="Times New Roman" w:cs="Times New Roman"/>
          <w:sz w:val="24"/>
          <w:szCs w:val="24"/>
        </w:rPr>
        <w:br/>
        <w:t>-Composition of SEBI and SAT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3 &amp; 4 – Money Market &amp; Capital Market Instruments</w:t>
      </w:r>
      <w:r w:rsidRPr="00C860FD">
        <w:rPr>
          <w:rFonts w:ascii="Times New Roman" w:hAnsi="Times New Roman" w:cs="Times New Roman"/>
          <w:sz w:val="24"/>
          <w:szCs w:val="24"/>
        </w:rPr>
        <w:br/>
        <w:t>-Distinguish between Commercial Paper and Certificate of Deposit</w:t>
      </w:r>
      <w:r w:rsidRPr="00C860FD">
        <w:rPr>
          <w:rFonts w:ascii="Times New Roman" w:hAnsi="Times New Roman" w:cs="Times New Roman"/>
          <w:sz w:val="24"/>
          <w:szCs w:val="24"/>
        </w:rPr>
        <w:br/>
        <w:t>-Money market mutual funds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tracking stocks and disaster bonds</w:t>
      </w:r>
      <w:r w:rsidRPr="00C860FD">
        <w:rPr>
          <w:rFonts w:ascii="Times New Roman" w:hAnsi="Times New Roman" w:cs="Times New Roman"/>
          <w:sz w:val="24"/>
          <w:szCs w:val="24"/>
        </w:rPr>
        <w:br/>
        <w:t>-What do mean by participatory notes ?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ETFs, Hedge Funds &amp; Fund of Funds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Secured premium notes and derivatives</w:t>
      </w:r>
      <w:r w:rsidRPr="00C860FD">
        <w:rPr>
          <w:rFonts w:ascii="Times New Roman" w:hAnsi="Times New Roman" w:cs="Times New Roman"/>
          <w:sz w:val="24"/>
          <w:szCs w:val="24"/>
        </w:rPr>
        <w:br/>
        <w:t>-Different kinds of bonds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5 – Credit Rating</w:t>
      </w:r>
      <w:r w:rsidRPr="00C860FD">
        <w:rPr>
          <w:rFonts w:ascii="Times New Roman" w:hAnsi="Times New Roman" w:cs="Times New Roman"/>
          <w:sz w:val="24"/>
          <w:szCs w:val="24"/>
        </w:rPr>
        <w:br/>
        <w:t>-Standard rating symbols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rating process</w:t>
      </w:r>
      <w:r w:rsidRPr="00C860FD">
        <w:rPr>
          <w:rFonts w:ascii="Times New Roman" w:hAnsi="Times New Roman" w:cs="Times New Roman"/>
          <w:sz w:val="24"/>
          <w:szCs w:val="24"/>
        </w:rPr>
        <w:br/>
        <w:t>-Factors considered by rating agencies for rating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6 – Capital Market Intermediaries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Merchant Bankers, RTAs and SROs</w:t>
      </w:r>
      <w:r w:rsidRPr="00C860FD">
        <w:rPr>
          <w:rFonts w:ascii="Times New Roman" w:hAnsi="Times New Roman" w:cs="Times New Roman"/>
          <w:sz w:val="24"/>
          <w:szCs w:val="24"/>
        </w:rPr>
        <w:br/>
        <w:t>-Obligations of Stock brokers and sub brokers</w:t>
      </w:r>
      <w:r w:rsidRPr="00C860FD">
        <w:rPr>
          <w:rFonts w:ascii="Times New Roman" w:hAnsi="Times New Roman" w:cs="Times New Roman"/>
          <w:sz w:val="24"/>
          <w:szCs w:val="24"/>
        </w:rPr>
        <w:br/>
        <w:t>-Obligations of the intermediaries under the Prevention of M L d i A Money Laundering Act</w:t>
      </w:r>
      <w:r w:rsidRPr="00C860FD">
        <w:rPr>
          <w:rFonts w:ascii="Times New Roman" w:hAnsi="Times New Roman" w:cs="Times New Roman"/>
          <w:sz w:val="24"/>
          <w:szCs w:val="24"/>
        </w:rPr>
        <w:br/>
        <w:t>-Obligations of underwriters and portfolio managers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Chapters 7 &amp; 8 – Stock Exchanges</w:t>
      </w:r>
      <w:r w:rsidRPr="00C860FD">
        <w:rPr>
          <w:rFonts w:ascii="Times New Roman" w:hAnsi="Times New Roman" w:cs="Times New Roman"/>
          <w:sz w:val="24"/>
          <w:szCs w:val="24"/>
        </w:rPr>
        <w:br/>
        <w:t>-Recognition of Stock Exchanges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lastRenderedPageBreak/>
        <w:t>-Application for listing of securities to SEs</w:t>
      </w:r>
      <w:r w:rsidRPr="00C860FD">
        <w:rPr>
          <w:rFonts w:ascii="Times New Roman" w:hAnsi="Times New Roman" w:cs="Times New Roman"/>
          <w:sz w:val="24"/>
          <w:szCs w:val="24"/>
        </w:rPr>
        <w:br/>
        <w:t>-Demutualisation of Stock Exchanges</w:t>
      </w:r>
      <w:r w:rsidRPr="00C860FD">
        <w:rPr>
          <w:rFonts w:ascii="Times New Roman" w:hAnsi="Times New Roman" w:cs="Times New Roman"/>
          <w:sz w:val="24"/>
          <w:szCs w:val="24"/>
        </w:rPr>
        <w:br/>
        <w:t>-Trading &amp; Settlement Mechanism and STP</w:t>
      </w:r>
      <w:r w:rsidRPr="00C860FD">
        <w:rPr>
          <w:rFonts w:ascii="Times New Roman" w:hAnsi="Times New Roman" w:cs="Times New Roman"/>
          <w:sz w:val="24"/>
          <w:szCs w:val="24"/>
        </w:rPr>
        <w:br/>
        <w:t>-Market abuse mechanisms</w:t>
      </w:r>
      <w:r w:rsidRPr="00C860FD">
        <w:rPr>
          <w:rFonts w:ascii="Times New Roman" w:hAnsi="Times New Roman" w:cs="Times New Roman"/>
          <w:sz w:val="24"/>
          <w:szCs w:val="24"/>
        </w:rPr>
        <w:br/>
        <w:t>-Obligations under Cl. 49 of Listing Agreement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9 – Mutual Funds</w:t>
      </w:r>
      <w:r w:rsidRPr="00C860FD">
        <w:rPr>
          <w:rFonts w:ascii="Times New Roman" w:hAnsi="Times New Roman" w:cs="Times New Roman"/>
          <w:sz w:val="24"/>
          <w:szCs w:val="24"/>
        </w:rPr>
        <w:br/>
        <w:t>-Different types of Mutual funds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Asset Management Company</w:t>
      </w:r>
      <w:r w:rsidRPr="00C860FD">
        <w:rPr>
          <w:rFonts w:ascii="Times New Roman" w:hAnsi="Times New Roman" w:cs="Times New Roman"/>
          <w:sz w:val="24"/>
          <w:szCs w:val="24"/>
        </w:rPr>
        <w:br/>
        <w:t>-Advertisement Code of Mutual Funds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Chapters 10 &amp; 11 – Venture Capital and Collective Investment Scheme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Foreign Venture capital investors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Collective Investment Scheme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12 – Buy Back of Securities</w:t>
      </w:r>
      <w:r w:rsidRPr="00C860FD">
        <w:rPr>
          <w:rFonts w:ascii="Times New Roman" w:hAnsi="Times New Roman" w:cs="Times New Roman"/>
          <w:sz w:val="24"/>
          <w:szCs w:val="24"/>
        </w:rPr>
        <w:br/>
        <w:t>-Securities not available for buy back</w:t>
      </w:r>
      <w:r w:rsidRPr="00C860FD">
        <w:rPr>
          <w:rFonts w:ascii="Times New Roman" w:hAnsi="Times New Roman" w:cs="Times New Roman"/>
          <w:sz w:val="24"/>
          <w:szCs w:val="24"/>
        </w:rPr>
        <w:br/>
        <w:t>-Buy back of shares from non-resident shareholders</w:t>
      </w:r>
      <w:r w:rsidRPr="00C860FD">
        <w:rPr>
          <w:rFonts w:ascii="Times New Roman" w:hAnsi="Times New Roman" w:cs="Times New Roman"/>
          <w:sz w:val="24"/>
          <w:szCs w:val="24"/>
        </w:rPr>
        <w:br/>
        <w:t>-Buy back through book building process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B Chapter 13 – Depositories</w:t>
      </w:r>
      <w:r w:rsidRPr="00C860FD">
        <w:rPr>
          <w:rFonts w:ascii="Times New Roman" w:hAnsi="Times New Roman" w:cs="Times New Roman"/>
          <w:sz w:val="24"/>
          <w:szCs w:val="24"/>
        </w:rPr>
        <w:br/>
        <w:t>-Benefits of the depository system</w:t>
      </w:r>
      <w:r w:rsidRPr="00C860FD">
        <w:rPr>
          <w:rFonts w:ascii="Times New Roman" w:hAnsi="Times New Roman" w:cs="Times New Roman"/>
          <w:sz w:val="24"/>
          <w:szCs w:val="24"/>
        </w:rPr>
        <w:br/>
        <w:t>-Internal audit of operations of depository participants</w:t>
      </w:r>
      <w:r w:rsidRPr="00C860FD">
        <w:rPr>
          <w:rFonts w:ascii="Times New Roman" w:hAnsi="Times New Roman" w:cs="Times New Roman"/>
          <w:sz w:val="24"/>
          <w:szCs w:val="24"/>
        </w:rPr>
        <w:br/>
        <w:t>-Rights and obligations of the depository participants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 14 – Public Issue of Securities</w:t>
      </w:r>
      <w:r w:rsidRPr="00C860FD">
        <w:rPr>
          <w:rFonts w:ascii="Times New Roman" w:hAnsi="Times New Roman" w:cs="Times New Roman"/>
          <w:sz w:val="24"/>
          <w:szCs w:val="24"/>
        </w:rPr>
        <w:br/>
        <w:t>-Green Shoe Option</w:t>
      </w:r>
      <w:r w:rsidRPr="00C860FD">
        <w:rPr>
          <w:rFonts w:ascii="Times New Roman" w:hAnsi="Times New Roman" w:cs="Times New Roman"/>
          <w:sz w:val="24"/>
          <w:szCs w:val="24"/>
        </w:rPr>
        <w:br/>
        <w:t>-Different types of book building processes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Employee Stock Option Scheme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reservation on competitive basis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Fast Track Issues</w:t>
      </w:r>
      <w:r w:rsidRPr="00C860FD">
        <w:rPr>
          <w:rFonts w:ascii="Times New Roman" w:hAnsi="Times New Roman" w:cs="Times New Roman"/>
          <w:sz w:val="24"/>
          <w:szCs w:val="24"/>
        </w:rPr>
        <w:br/>
        <w:t>-Requirements of preferential allotment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C Chapter 15 – Debt Market</w:t>
      </w:r>
      <w:r w:rsidRPr="00C860FD">
        <w:rPr>
          <w:rFonts w:ascii="Times New Roman" w:hAnsi="Times New Roman" w:cs="Times New Roman"/>
          <w:sz w:val="24"/>
          <w:szCs w:val="24"/>
        </w:rPr>
        <w:br/>
        <w:t>-Various types of debt market instruments</w:t>
      </w:r>
      <w:r w:rsidRPr="00C860FD">
        <w:rPr>
          <w:rFonts w:ascii="Times New Roman" w:hAnsi="Times New Roman" w:cs="Times New Roman"/>
          <w:sz w:val="24"/>
          <w:szCs w:val="24"/>
        </w:rPr>
        <w:br/>
        <w:t>-Debt market intermediaries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listing of debt securities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 Chapters 16 – 18 – International Capital Market and Investor Protection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 on FCCBs and ECBs</w:t>
      </w:r>
      <w:r w:rsidRPr="00C860FD">
        <w:rPr>
          <w:rFonts w:ascii="Times New Roman" w:hAnsi="Times New Roman" w:cs="Times New Roman"/>
          <w:sz w:val="24"/>
          <w:szCs w:val="24"/>
        </w:rPr>
        <w:br/>
        <w:t>-Short notes on Road shows</w:t>
      </w:r>
      <w:r w:rsidRPr="00C860FD">
        <w:rPr>
          <w:rFonts w:ascii="Times New Roman" w:hAnsi="Times New Roman" w:cs="Times New Roman"/>
          <w:sz w:val="24"/>
          <w:szCs w:val="24"/>
        </w:rPr>
        <w:br/>
        <w:t>-Procedure for making issue of IDRs</w:t>
      </w:r>
      <w:r w:rsidRPr="00C860FD">
        <w:rPr>
          <w:rFonts w:ascii="Times New Roman" w:hAnsi="Times New Roman" w:cs="Times New Roman"/>
          <w:sz w:val="24"/>
          <w:szCs w:val="24"/>
        </w:rPr>
        <w:br/>
        <w:t>-Legal framework for investor protection in India</w:t>
      </w:r>
      <w:r w:rsidRPr="00C860FD">
        <w:rPr>
          <w:rFonts w:ascii="Times New Roman" w:hAnsi="Times New Roman" w:cs="Times New Roman"/>
          <w:sz w:val="24"/>
          <w:szCs w:val="24"/>
        </w:rPr>
        <w:br/>
        <w:t>-Who is an Ombudsman?</w:t>
      </w:r>
      <w:r w:rsidRPr="00C860FD">
        <w:rPr>
          <w:rFonts w:ascii="Times New Roman" w:hAnsi="Times New Roman" w:cs="Times New Roman"/>
          <w:sz w:val="24"/>
          <w:szCs w:val="24"/>
        </w:rPr>
        <w:br/>
      </w:r>
      <w:r w:rsidRPr="00C860FD">
        <w:rPr>
          <w:rFonts w:ascii="Times New Roman" w:hAnsi="Times New Roman" w:cs="Times New Roman"/>
          <w:sz w:val="24"/>
          <w:szCs w:val="24"/>
        </w:rPr>
        <w:br/>
        <w:t>And for practical subject solve at least two sums for each chapter before going for examz</w:t>
      </w:r>
      <w:proofErr w:type="gramStart"/>
      <w:r w:rsidRPr="00C860FD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DE1CAC" w:rsidRDefault="00DE1CAC"/>
    <w:sectPr w:rsidR="00DE1CAC" w:rsidSect="00184FE5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60FD"/>
    <w:rsid w:val="00C860FD"/>
    <w:rsid w:val="00DE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1925</Words>
  <Characters>10979</Characters>
  <Application>Microsoft Office Word</Application>
  <DocSecurity>0</DocSecurity>
  <Lines>91</Lines>
  <Paragraphs>25</Paragraphs>
  <ScaleCrop>false</ScaleCrop>
  <Company/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Mohith</dc:creator>
  <cp:lastModifiedBy>Mohith</cp:lastModifiedBy>
  <cp:revision>1</cp:revision>
  <dcterms:created xsi:type="dcterms:W3CDTF">2013-04-24T17:45:00Z</dcterms:created>
  <dcterms:modified xsi:type="dcterms:W3CDTF">2013-04-24T17:45:00Z</dcterms:modified>
</cp:coreProperties>
</file>