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7A6" w:rsidRPr="00314514" w:rsidRDefault="00983E95" w:rsidP="00314514">
      <w:pPr>
        <w:pStyle w:val="Subtitle"/>
        <w:spacing w:line="240" w:lineRule="auto"/>
        <w:jc w:val="center"/>
        <w:rPr>
          <w:b/>
          <w:bCs/>
        </w:rPr>
      </w:pPr>
      <w:r w:rsidRPr="00314514">
        <w:rPr>
          <w:b/>
          <w:bCs/>
        </w:rPr>
        <w:t>2012</w:t>
      </w:r>
    </w:p>
    <w:p w:rsidR="00936743" w:rsidRPr="00CF3854" w:rsidRDefault="00AF7B85" w:rsidP="00936743">
      <w:pPr>
        <w:pStyle w:val="NoSpacing"/>
        <w:jc w:val="both"/>
        <w:rPr>
          <w:rFonts w:ascii="Garamond" w:hAnsi="Garamond"/>
          <w:b/>
          <w:bCs/>
          <w:i/>
          <w:iCs/>
          <w:sz w:val="24"/>
          <w:szCs w:val="24"/>
        </w:rPr>
      </w:pPr>
      <w:r>
        <w:rPr>
          <w:rFonts w:ascii="Garamond" w:hAnsi="Garamond"/>
          <w:b/>
          <w:bCs/>
          <w:i/>
          <w:iCs/>
          <w:sz w:val="24"/>
          <w:szCs w:val="24"/>
        </w:rPr>
        <w:t xml:space="preserve">1. </w:t>
      </w:r>
      <w:r w:rsidR="00936743" w:rsidRPr="00CF3854">
        <w:rPr>
          <w:rFonts w:ascii="Garamond" w:hAnsi="Garamond"/>
          <w:b/>
          <w:bCs/>
          <w:i/>
          <w:iCs/>
          <w:sz w:val="24"/>
          <w:szCs w:val="24"/>
        </w:rPr>
        <w:t>Is the assessee entitled to depreciation on value of goodwill considering it as an asset within the meaning of Explanation 3(b) to Section 32(1)?</w:t>
      </w:r>
    </w:p>
    <w:p w:rsidR="00936743" w:rsidRPr="002A290C" w:rsidRDefault="00936743" w:rsidP="00936743">
      <w:pPr>
        <w:pStyle w:val="NoSpacing"/>
        <w:jc w:val="both"/>
        <w:rPr>
          <w:rFonts w:ascii="Garamond" w:hAnsi="Garamond"/>
          <w:b/>
          <w:bCs/>
          <w:i/>
          <w:iCs/>
          <w:sz w:val="24"/>
          <w:szCs w:val="24"/>
          <w:u w:val="single"/>
        </w:rPr>
      </w:pPr>
      <w:r w:rsidRPr="002A290C">
        <w:rPr>
          <w:rFonts w:ascii="Garamond" w:hAnsi="Garamond"/>
          <w:b/>
          <w:bCs/>
          <w:i/>
          <w:iCs/>
          <w:sz w:val="24"/>
          <w:szCs w:val="24"/>
          <w:u w:val="single"/>
        </w:rPr>
        <w:t xml:space="preserve">CIT v. Smifs Securities Ltd. </w:t>
      </w:r>
      <w:r w:rsidRPr="002A290C">
        <w:rPr>
          <w:rFonts w:ascii="Garamond" w:hAnsi="Garamond"/>
          <w:b/>
          <w:bCs/>
          <w:i/>
          <w:iCs/>
          <w:sz w:val="24"/>
          <w:szCs w:val="24"/>
          <w:highlight w:val="yellow"/>
          <w:u w:val="single"/>
        </w:rPr>
        <w:t>(SC)</w:t>
      </w:r>
    </w:p>
    <w:p w:rsidR="00936743" w:rsidRDefault="00936743" w:rsidP="00D2690B">
      <w:pPr>
        <w:pStyle w:val="NoSpacing"/>
        <w:jc w:val="both"/>
        <w:rPr>
          <w:rFonts w:ascii="Garamond" w:hAnsi="Garamond"/>
          <w:sz w:val="24"/>
          <w:szCs w:val="24"/>
        </w:rPr>
      </w:pPr>
    </w:p>
    <w:p w:rsidR="002A290C" w:rsidRDefault="00CE7336" w:rsidP="00D2690B">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assessee paid an excess consideration over the value of net assets of amalgamating co acquired by it, which is treated as goodwill since extra consideration was paid towards reputation which amalgamating co was enjoying in order to retain clientele.</w:t>
      </w:r>
    </w:p>
    <w:p w:rsidR="00CE7336" w:rsidRDefault="00CE7336" w:rsidP="00D2690B">
      <w:pPr>
        <w:pStyle w:val="NoSpacing"/>
        <w:jc w:val="both"/>
        <w:rPr>
          <w:rFonts w:ascii="Garamond" w:hAnsi="Garamond"/>
          <w:sz w:val="24"/>
          <w:szCs w:val="24"/>
        </w:rPr>
      </w:pPr>
      <w:r>
        <w:rPr>
          <w:rFonts w:ascii="Garamond" w:hAnsi="Garamond"/>
          <w:b/>
          <w:bCs/>
          <w:i/>
          <w:iCs/>
          <w:sz w:val="24"/>
          <w:szCs w:val="24"/>
        </w:rPr>
        <w:t xml:space="preserve">Point of difference: </w:t>
      </w:r>
      <w:r>
        <w:rPr>
          <w:rFonts w:ascii="Garamond" w:hAnsi="Garamond"/>
          <w:sz w:val="24"/>
          <w:szCs w:val="24"/>
        </w:rPr>
        <w:t>assessee claimed depreciation on goodwill. AO contented that goodwill is not asset u/s 32(1) &amp; therefore not eligible for depreciation</w:t>
      </w:r>
    </w:p>
    <w:p w:rsidR="008D4CD6" w:rsidRDefault="00CE7336" w:rsidP="008D4CD6">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 xml:space="preserve">SC </w:t>
      </w:r>
      <w:r w:rsidR="008D4CD6">
        <w:rPr>
          <w:rFonts w:ascii="Garamond" w:hAnsi="Garamond"/>
          <w:sz w:val="24"/>
          <w:szCs w:val="24"/>
        </w:rPr>
        <w:t>observed that:</w:t>
      </w:r>
    </w:p>
    <w:p w:rsidR="008D4CD6" w:rsidRDefault="008D4CD6" w:rsidP="008D4CD6">
      <w:pPr>
        <w:pStyle w:val="NoSpacing"/>
        <w:numPr>
          <w:ilvl w:val="0"/>
          <w:numId w:val="11"/>
        </w:numPr>
        <w:jc w:val="both"/>
        <w:rPr>
          <w:rFonts w:ascii="Garamond" w:hAnsi="Garamond"/>
          <w:sz w:val="24"/>
          <w:szCs w:val="24"/>
        </w:rPr>
      </w:pPr>
      <w:r>
        <w:rPr>
          <w:rFonts w:ascii="Garamond" w:hAnsi="Garamond"/>
          <w:sz w:val="24"/>
          <w:szCs w:val="24"/>
        </w:rPr>
        <w:t xml:space="preserve">Explanation </w:t>
      </w:r>
      <w:r w:rsidRPr="008D4CD6">
        <w:rPr>
          <w:rFonts w:ascii="Garamond" w:hAnsi="Garamond"/>
          <w:sz w:val="24"/>
          <w:szCs w:val="24"/>
        </w:rPr>
        <w:t>3</w:t>
      </w:r>
      <w:r>
        <w:rPr>
          <w:rFonts w:ascii="Garamond" w:hAnsi="Garamond"/>
          <w:sz w:val="24"/>
          <w:szCs w:val="24"/>
        </w:rPr>
        <w:t xml:space="preserve"> to 32(1) states that expression </w:t>
      </w:r>
      <w:r>
        <w:rPr>
          <w:rFonts w:ascii="Garamond" w:hAnsi="Garamond"/>
          <w:i/>
          <w:iCs/>
          <w:sz w:val="24"/>
          <w:szCs w:val="24"/>
        </w:rPr>
        <w:t>asset</w:t>
      </w:r>
      <w:r>
        <w:rPr>
          <w:rFonts w:ascii="Garamond" w:hAnsi="Garamond"/>
          <w:sz w:val="24"/>
          <w:szCs w:val="24"/>
        </w:rPr>
        <w:t xml:space="preserve"> shall mean an intangible asset, being know-how, patents, copy rights, trademark, licences, franchises, or any other business or commercial rights of similar nature</w:t>
      </w:r>
    </w:p>
    <w:p w:rsidR="008D4CD6" w:rsidRPr="008D4CD6" w:rsidRDefault="008D4CD6" w:rsidP="008D4CD6">
      <w:pPr>
        <w:pStyle w:val="NoSpacing"/>
        <w:numPr>
          <w:ilvl w:val="0"/>
          <w:numId w:val="11"/>
        </w:numPr>
        <w:jc w:val="both"/>
        <w:rPr>
          <w:rFonts w:ascii="Garamond" w:hAnsi="Garamond"/>
          <w:sz w:val="24"/>
          <w:szCs w:val="24"/>
        </w:rPr>
      </w:pPr>
      <w:r>
        <w:rPr>
          <w:rFonts w:ascii="Garamond" w:hAnsi="Garamond"/>
          <w:i/>
          <w:iCs/>
          <w:sz w:val="24"/>
          <w:szCs w:val="24"/>
        </w:rPr>
        <w:t>Any other business/commercial rights of similar nature</w:t>
      </w:r>
      <w:r>
        <w:rPr>
          <w:rFonts w:ascii="Garamond" w:hAnsi="Garamond"/>
          <w:sz w:val="24"/>
          <w:szCs w:val="24"/>
        </w:rPr>
        <w:t xml:space="preserve"> in explanation </w:t>
      </w:r>
      <w:r w:rsidRPr="008D4CD6">
        <w:rPr>
          <w:rFonts w:ascii="Garamond" w:hAnsi="Garamond"/>
          <w:sz w:val="24"/>
          <w:szCs w:val="24"/>
        </w:rPr>
        <w:t>3</w:t>
      </w:r>
      <w:r>
        <w:rPr>
          <w:rFonts w:ascii="Garamond" w:hAnsi="Garamond"/>
          <w:sz w:val="24"/>
          <w:szCs w:val="24"/>
        </w:rPr>
        <w:t>(b) indicates that goodwill fall under the said expression</w:t>
      </w:r>
    </w:p>
    <w:p w:rsidR="00936743" w:rsidRDefault="008D4CD6" w:rsidP="00D2690B">
      <w:pPr>
        <w:pStyle w:val="NoSpacing"/>
        <w:jc w:val="both"/>
        <w:rPr>
          <w:rFonts w:ascii="Garamond" w:hAnsi="Garamond"/>
          <w:sz w:val="24"/>
          <w:szCs w:val="24"/>
        </w:rPr>
      </w:pPr>
      <w:r>
        <w:rPr>
          <w:rFonts w:ascii="Garamond" w:hAnsi="Garamond"/>
          <w:sz w:val="24"/>
          <w:szCs w:val="24"/>
        </w:rPr>
        <w:t xml:space="preserve">Amalgamated co acquired capital right in the form of </w:t>
      </w:r>
      <w:r w:rsidR="00A93989">
        <w:rPr>
          <w:rFonts w:ascii="Garamond" w:hAnsi="Garamond"/>
          <w:sz w:val="24"/>
          <w:szCs w:val="24"/>
        </w:rPr>
        <w:t>goodwill because of which market worth of the amalgamated co stood increase</w:t>
      </w:r>
      <w:r w:rsidR="00D76C92">
        <w:rPr>
          <w:rFonts w:ascii="Garamond" w:hAnsi="Garamond"/>
          <w:sz w:val="24"/>
          <w:szCs w:val="24"/>
        </w:rPr>
        <w:t xml:space="preserve">d. </w:t>
      </w:r>
      <w:r w:rsidR="008052A5">
        <w:rPr>
          <w:rFonts w:ascii="Garamond" w:hAnsi="Garamond"/>
          <w:sz w:val="24"/>
          <w:szCs w:val="24"/>
        </w:rPr>
        <w:t>It held that goodwill is an asset u/s 32 (1) &amp; depreciation is allowable</w:t>
      </w:r>
    </w:p>
    <w:p w:rsidR="00B35127" w:rsidRDefault="00B35127" w:rsidP="00D2690B">
      <w:pPr>
        <w:pStyle w:val="NoSpacing"/>
        <w:jc w:val="both"/>
        <w:rPr>
          <w:rFonts w:ascii="Garamond" w:hAnsi="Garamond"/>
          <w:sz w:val="24"/>
          <w:szCs w:val="24"/>
        </w:rPr>
      </w:pPr>
    </w:p>
    <w:p w:rsidR="00936743" w:rsidRPr="00CF3854" w:rsidRDefault="00AF7B85" w:rsidP="00936743">
      <w:pPr>
        <w:pStyle w:val="NoSpacing"/>
        <w:jc w:val="both"/>
        <w:rPr>
          <w:rFonts w:ascii="Garamond" w:hAnsi="Garamond"/>
          <w:b/>
          <w:bCs/>
          <w:i/>
          <w:iCs/>
          <w:sz w:val="24"/>
          <w:szCs w:val="24"/>
        </w:rPr>
      </w:pPr>
      <w:r>
        <w:rPr>
          <w:rFonts w:ascii="Garamond" w:hAnsi="Garamond"/>
          <w:b/>
          <w:bCs/>
          <w:i/>
          <w:iCs/>
          <w:sz w:val="24"/>
          <w:szCs w:val="24"/>
        </w:rPr>
        <w:t xml:space="preserve">2. </w:t>
      </w:r>
      <w:r w:rsidR="00936743" w:rsidRPr="00CF3854">
        <w:rPr>
          <w:rFonts w:ascii="Garamond" w:hAnsi="Garamond"/>
          <w:b/>
          <w:bCs/>
          <w:i/>
          <w:iCs/>
          <w:sz w:val="24"/>
          <w:szCs w:val="24"/>
        </w:rPr>
        <w:t xml:space="preserve">Where the provision for bad </w:t>
      </w:r>
      <w:r w:rsidR="0035615E">
        <w:rPr>
          <w:rFonts w:ascii="Garamond" w:hAnsi="Garamond"/>
          <w:b/>
          <w:bCs/>
          <w:i/>
          <w:iCs/>
          <w:sz w:val="24"/>
          <w:szCs w:val="24"/>
        </w:rPr>
        <w:t>and doubtful debts u/s</w:t>
      </w:r>
      <w:r w:rsidR="00936743" w:rsidRPr="00CF3854">
        <w:rPr>
          <w:rFonts w:ascii="Garamond" w:hAnsi="Garamond"/>
          <w:b/>
          <w:bCs/>
          <w:i/>
          <w:iCs/>
          <w:sz w:val="24"/>
          <w:szCs w:val="24"/>
        </w:rPr>
        <w:t xml:space="preserve"> 36(1)(viia) relates to rural advances, can deduction fo</w:t>
      </w:r>
      <w:r w:rsidR="0035615E">
        <w:rPr>
          <w:rFonts w:ascii="Garamond" w:hAnsi="Garamond"/>
          <w:b/>
          <w:bCs/>
          <w:i/>
          <w:iCs/>
          <w:sz w:val="24"/>
          <w:szCs w:val="24"/>
        </w:rPr>
        <w:t>r actual write off u/s</w:t>
      </w:r>
      <w:r w:rsidR="00936743" w:rsidRPr="00CF3854">
        <w:rPr>
          <w:rFonts w:ascii="Garamond" w:hAnsi="Garamond"/>
          <w:b/>
          <w:bCs/>
          <w:i/>
          <w:iCs/>
          <w:sz w:val="24"/>
          <w:szCs w:val="24"/>
        </w:rPr>
        <w:t xml:space="preserve"> 36(1)(vii) in respect of urban advances be restricted to the amount in excess of the credit balance in the provision f</w:t>
      </w:r>
      <w:r w:rsidR="0035615E">
        <w:rPr>
          <w:rFonts w:ascii="Garamond" w:hAnsi="Garamond"/>
          <w:b/>
          <w:bCs/>
          <w:i/>
          <w:iCs/>
          <w:sz w:val="24"/>
          <w:szCs w:val="24"/>
        </w:rPr>
        <w:t xml:space="preserve">or </w:t>
      </w:r>
      <w:r w:rsidR="00936743" w:rsidRPr="00CF3854">
        <w:rPr>
          <w:rFonts w:ascii="Garamond" w:hAnsi="Garamond"/>
          <w:b/>
          <w:bCs/>
          <w:i/>
          <w:iCs/>
          <w:sz w:val="24"/>
          <w:szCs w:val="24"/>
        </w:rPr>
        <w:t>bad and d</w:t>
      </w:r>
      <w:r w:rsidR="0035615E">
        <w:rPr>
          <w:rFonts w:ascii="Garamond" w:hAnsi="Garamond"/>
          <w:b/>
          <w:bCs/>
          <w:i/>
          <w:iCs/>
          <w:sz w:val="24"/>
          <w:szCs w:val="24"/>
        </w:rPr>
        <w:t>oubtful debts made u/s</w:t>
      </w:r>
      <w:r w:rsidR="00936743" w:rsidRPr="00CF3854">
        <w:rPr>
          <w:rFonts w:ascii="Garamond" w:hAnsi="Garamond"/>
          <w:b/>
          <w:bCs/>
          <w:i/>
          <w:iCs/>
          <w:sz w:val="24"/>
          <w:szCs w:val="24"/>
        </w:rPr>
        <w:t xml:space="preserve"> 36(1)(viia)?</w:t>
      </w:r>
    </w:p>
    <w:p w:rsidR="00936743" w:rsidRPr="006F6747" w:rsidRDefault="00936743" w:rsidP="00936743">
      <w:pPr>
        <w:pStyle w:val="NoSpacing"/>
        <w:jc w:val="both"/>
        <w:rPr>
          <w:rFonts w:ascii="Garamond" w:hAnsi="Garamond"/>
          <w:b/>
          <w:bCs/>
          <w:i/>
          <w:iCs/>
          <w:sz w:val="24"/>
          <w:szCs w:val="24"/>
          <w:u w:val="single"/>
        </w:rPr>
      </w:pPr>
      <w:r w:rsidRPr="006F6747">
        <w:rPr>
          <w:rFonts w:ascii="Garamond" w:hAnsi="Garamond"/>
          <w:b/>
          <w:bCs/>
          <w:i/>
          <w:iCs/>
          <w:sz w:val="24"/>
          <w:szCs w:val="24"/>
          <w:u w:val="single"/>
        </w:rPr>
        <w:t>Catholic Syrian Bank Ltd.</w:t>
      </w:r>
      <w:r w:rsidR="00D81779">
        <w:rPr>
          <w:rFonts w:ascii="Garamond" w:hAnsi="Garamond"/>
          <w:b/>
          <w:bCs/>
          <w:i/>
          <w:iCs/>
          <w:sz w:val="24"/>
          <w:szCs w:val="24"/>
          <w:u w:val="single"/>
        </w:rPr>
        <w:t xml:space="preserve"> </w:t>
      </w:r>
      <w:r w:rsidRPr="006F6747">
        <w:rPr>
          <w:rFonts w:ascii="Garamond" w:hAnsi="Garamond"/>
          <w:b/>
          <w:bCs/>
          <w:i/>
          <w:iCs/>
          <w:sz w:val="24"/>
          <w:szCs w:val="24"/>
          <w:u w:val="single"/>
        </w:rPr>
        <w:t xml:space="preserve">v. CIT </w:t>
      </w:r>
      <w:r w:rsidRPr="006F6747">
        <w:rPr>
          <w:rFonts w:ascii="Garamond" w:hAnsi="Garamond"/>
          <w:b/>
          <w:bCs/>
          <w:i/>
          <w:iCs/>
          <w:sz w:val="24"/>
          <w:szCs w:val="24"/>
          <w:highlight w:val="yellow"/>
          <w:u w:val="single"/>
        </w:rPr>
        <w:t>(SC)</w:t>
      </w:r>
    </w:p>
    <w:p w:rsidR="00936743" w:rsidRDefault="00936743" w:rsidP="00D2690B">
      <w:pPr>
        <w:pStyle w:val="NoSpacing"/>
        <w:jc w:val="both"/>
        <w:rPr>
          <w:rFonts w:ascii="Garamond" w:hAnsi="Garamond"/>
          <w:sz w:val="24"/>
          <w:szCs w:val="24"/>
        </w:rPr>
      </w:pPr>
    </w:p>
    <w:p w:rsidR="006F6747" w:rsidRDefault="00D71A54" w:rsidP="00D71A54">
      <w:pPr>
        <w:pStyle w:val="NoSpacing"/>
        <w:numPr>
          <w:ilvl w:val="0"/>
          <w:numId w:val="13"/>
        </w:numPr>
        <w:jc w:val="both"/>
        <w:rPr>
          <w:rFonts w:ascii="Garamond" w:hAnsi="Garamond"/>
          <w:sz w:val="24"/>
          <w:szCs w:val="24"/>
        </w:rPr>
      </w:pPr>
      <w:r>
        <w:rPr>
          <w:rFonts w:ascii="Garamond" w:hAnsi="Garamond"/>
          <w:sz w:val="24"/>
          <w:szCs w:val="24"/>
        </w:rPr>
        <w:t>36(1)(viia): scheduled bank can claim deduction i.r.o provision for bad &amp; doubtful debts i.r.o its rural advances</w:t>
      </w:r>
    </w:p>
    <w:p w:rsidR="00D71A54" w:rsidRDefault="00D71A54" w:rsidP="00D71A54">
      <w:pPr>
        <w:pStyle w:val="NoSpacing"/>
        <w:numPr>
          <w:ilvl w:val="0"/>
          <w:numId w:val="13"/>
        </w:numPr>
        <w:jc w:val="both"/>
        <w:rPr>
          <w:rFonts w:ascii="Garamond" w:hAnsi="Garamond"/>
          <w:sz w:val="24"/>
          <w:szCs w:val="24"/>
        </w:rPr>
      </w:pPr>
      <w:r>
        <w:rPr>
          <w:rFonts w:ascii="Garamond" w:hAnsi="Garamond"/>
          <w:sz w:val="24"/>
          <w:szCs w:val="24"/>
        </w:rPr>
        <w:t>36(1)(vii)</w:t>
      </w:r>
      <w:r w:rsidR="00E54852">
        <w:rPr>
          <w:rFonts w:ascii="Garamond" w:hAnsi="Garamond"/>
          <w:sz w:val="24"/>
          <w:szCs w:val="24"/>
        </w:rPr>
        <w:t xml:space="preserve">: deduction u/s 36(1)(vii) i.r.o bad &amp; doubtful debts written off shall be limited </w:t>
      </w:r>
      <w:r w:rsidR="00504CA8">
        <w:rPr>
          <w:rFonts w:ascii="Garamond" w:hAnsi="Garamond"/>
          <w:sz w:val="24"/>
          <w:szCs w:val="24"/>
        </w:rPr>
        <w:t xml:space="preserve">to </w:t>
      </w:r>
      <w:r w:rsidR="00E54852">
        <w:rPr>
          <w:rFonts w:ascii="Garamond" w:hAnsi="Garamond"/>
          <w:sz w:val="24"/>
          <w:szCs w:val="24"/>
        </w:rPr>
        <w:t xml:space="preserve">amount by which such debt or part exceeds credit balance in the provision </w:t>
      </w:r>
      <w:r w:rsidR="00504CA8">
        <w:rPr>
          <w:rFonts w:ascii="Garamond" w:hAnsi="Garamond"/>
          <w:sz w:val="24"/>
          <w:szCs w:val="24"/>
        </w:rPr>
        <w:t>for</w:t>
      </w:r>
      <w:r w:rsidR="00E54852">
        <w:rPr>
          <w:rFonts w:ascii="Garamond" w:hAnsi="Garamond"/>
          <w:sz w:val="24"/>
          <w:szCs w:val="24"/>
        </w:rPr>
        <w:t xml:space="preserve"> bad &amp; </w:t>
      </w:r>
      <w:r w:rsidR="00187D87">
        <w:rPr>
          <w:rFonts w:ascii="Garamond" w:hAnsi="Garamond"/>
          <w:sz w:val="24"/>
          <w:szCs w:val="24"/>
        </w:rPr>
        <w:t>doubtful debts created u/s 36(1)(viia)</w:t>
      </w:r>
    </w:p>
    <w:p w:rsidR="006F6747" w:rsidRDefault="004443AD" w:rsidP="00D2690B">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SC observed that: -</w:t>
      </w:r>
    </w:p>
    <w:p w:rsidR="004443AD" w:rsidRDefault="00E97B1B" w:rsidP="004443AD">
      <w:pPr>
        <w:pStyle w:val="NoSpacing"/>
        <w:numPr>
          <w:ilvl w:val="0"/>
          <w:numId w:val="14"/>
        </w:numPr>
        <w:jc w:val="both"/>
        <w:rPr>
          <w:rFonts w:ascii="Garamond" w:hAnsi="Garamond"/>
          <w:sz w:val="24"/>
          <w:szCs w:val="24"/>
        </w:rPr>
      </w:pPr>
      <w:r>
        <w:rPr>
          <w:rFonts w:ascii="Garamond" w:hAnsi="Garamond"/>
          <w:sz w:val="24"/>
          <w:szCs w:val="24"/>
        </w:rPr>
        <w:t>Deduction of provision for bad &amp; doubtful debts u/s 36(1)(viia) relating to rural advances is distinct &amp; independent of sec 36(1)(vii) where such bad debts are i.r.o urban advances</w:t>
      </w:r>
    </w:p>
    <w:p w:rsidR="000F4A93" w:rsidRDefault="000F4A93" w:rsidP="004443AD">
      <w:pPr>
        <w:pStyle w:val="NoSpacing"/>
        <w:numPr>
          <w:ilvl w:val="0"/>
          <w:numId w:val="14"/>
        </w:numPr>
        <w:jc w:val="both"/>
        <w:rPr>
          <w:rFonts w:ascii="Garamond" w:hAnsi="Garamond"/>
          <w:sz w:val="24"/>
          <w:szCs w:val="24"/>
        </w:rPr>
      </w:pPr>
      <w:r>
        <w:rPr>
          <w:rFonts w:ascii="Garamond" w:hAnsi="Garamond"/>
          <w:sz w:val="24"/>
          <w:szCs w:val="24"/>
        </w:rPr>
        <w:t>Provision u/s 36(1)(viia) is i.r.o rural advances. Write off u/s 36(1)(vii) is i.r.o urban advances</w:t>
      </w:r>
    </w:p>
    <w:p w:rsidR="006F6747" w:rsidRDefault="00F63FF0" w:rsidP="00D2690B">
      <w:pPr>
        <w:pStyle w:val="NoSpacing"/>
        <w:jc w:val="both"/>
        <w:rPr>
          <w:rFonts w:ascii="Garamond" w:hAnsi="Garamond"/>
          <w:sz w:val="24"/>
          <w:szCs w:val="24"/>
        </w:rPr>
      </w:pPr>
      <w:r>
        <w:rPr>
          <w:rFonts w:ascii="Garamond" w:hAnsi="Garamond"/>
          <w:sz w:val="24"/>
          <w:szCs w:val="24"/>
        </w:rPr>
        <w:t>SC held that benefit of deduction u/s 36(1)(vii) i.r.o urban advances will</w:t>
      </w:r>
      <w:r w:rsidR="00055BA7">
        <w:rPr>
          <w:rFonts w:ascii="Garamond" w:hAnsi="Garamond"/>
          <w:sz w:val="24"/>
          <w:szCs w:val="24"/>
        </w:rPr>
        <w:t xml:space="preserve"> be available to bank s.t.</w:t>
      </w:r>
      <w:r>
        <w:rPr>
          <w:rFonts w:ascii="Garamond" w:hAnsi="Garamond"/>
          <w:sz w:val="24"/>
          <w:szCs w:val="24"/>
        </w:rPr>
        <w:t xml:space="preserve"> 36(2) </w:t>
      </w:r>
    </w:p>
    <w:p w:rsidR="00936743" w:rsidRDefault="00936743" w:rsidP="00D2690B">
      <w:pPr>
        <w:pStyle w:val="NoSpacing"/>
        <w:jc w:val="both"/>
        <w:rPr>
          <w:rFonts w:ascii="Garamond" w:hAnsi="Garamond"/>
          <w:sz w:val="24"/>
          <w:szCs w:val="24"/>
        </w:rPr>
      </w:pPr>
    </w:p>
    <w:p w:rsidR="00936743" w:rsidRPr="008B00E9" w:rsidRDefault="00AF7B85" w:rsidP="00055BA7">
      <w:pPr>
        <w:pStyle w:val="Default"/>
        <w:jc w:val="both"/>
        <w:rPr>
          <w:rFonts w:ascii="Garamond" w:hAnsi="Garamond"/>
          <w:b/>
          <w:bCs/>
          <w:i/>
          <w:iCs/>
        </w:rPr>
      </w:pPr>
      <w:r w:rsidRPr="00AF7B85">
        <w:rPr>
          <w:rFonts w:ascii="Garamond" w:hAnsi="Garamond"/>
          <w:b/>
          <w:bCs/>
          <w:i/>
          <w:iCs/>
        </w:rPr>
        <w:t>3</w:t>
      </w:r>
      <w:r>
        <w:rPr>
          <w:rFonts w:ascii="Garamond" w:hAnsi="Garamond"/>
          <w:b/>
          <w:bCs/>
          <w:i/>
          <w:iCs/>
        </w:rPr>
        <w:t xml:space="preserve">. </w:t>
      </w:r>
      <w:r w:rsidR="00D42224">
        <w:rPr>
          <w:rFonts w:ascii="Garamond" w:hAnsi="Garamond"/>
          <w:b/>
          <w:bCs/>
          <w:i/>
          <w:iCs/>
        </w:rPr>
        <w:t>Is it permissible u/s</w:t>
      </w:r>
      <w:r w:rsidR="008B00E9" w:rsidRPr="008B00E9">
        <w:rPr>
          <w:rFonts w:ascii="Garamond" w:hAnsi="Garamond"/>
          <w:b/>
          <w:bCs/>
          <w:i/>
          <w:iCs/>
        </w:rPr>
        <w:t xml:space="preserve"> 147 to reopen the assessment of the assessee on the ground that income has escaped assessment, after a change of opinion as to a loss being a speculative loss and not a normal business loss, consequent to a mere re-look of accounts which were earlier furnished by the assessee</w:t>
      </w:r>
      <w:r w:rsidR="00055BA7">
        <w:rPr>
          <w:rFonts w:ascii="Garamond" w:hAnsi="Garamond"/>
          <w:b/>
          <w:bCs/>
          <w:i/>
          <w:iCs/>
        </w:rPr>
        <w:t xml:space="preserve"> during assessment u/s</w:t>
      </w:r>
      <w:r w:rsidR="008B00E9" w:rsidRPr="008B00E9">
        <w:rPr>
          <w:rFonts w:ascii="Garamond" w:hAnsi="Garamond"/>
          <w:b/>
          <w:bCs/>
          <w:i/>
          <w:iCs/>
        </w:rPr>
        <w:t xml:space="preserve"> 143(3)?</w:t>
      </w:r>
    </w:p>
    <w:p w:rsidR="002F51FD" w:rsidRPr="00D42224" w:rsidRDefault="002F51FD" w:rsidP="002F51FD">
      <w:pPr>
        <w:pStyle w:val="NoSpacing"/>
        <w:jc w:val="both"/>
        <w:rPr>
          <w:rFonts w:ascii="Garamond" w:hAnsi="Garamond"/>
          <w:b/>
          <w:bCs/>
          <w:i/>
          <w:iCs/>
          <w:sz w:val="24"/>
          <w:szCs w:val="24"/>
          <w:u w:val="single"/>
        </w:rPr>
      </w:pPr>
      <w:r w:rsidRPr="00D42224">
        <w:rPr>
          <w:rFonts w:ascii="Garamond" w:hAnsi="Garamond"/>
          <w:b/>
          <w:bCs/>
          <w:i/>
          <w:iCs/>
          <w:sz w:val="24"/>
          <w:szCs w:val="24"/>
          <w:u w:val="single"/>
        </w:rPr>
        <w:t xml:space="preserve">ACIT v. ICICI Securities Primary Dealership Ltd. </w:t>
      </w:r>
      <w:r w:rsidRPr="00D42224">
        <w:rPr>
          <w:rFonts w:ascii="Garamond" w:hAnsi="Garamond"/>
          <w:b/>
          <w:bCs/>
          <w:i/>
          <w:iCs/>
          <w:sz w:val="24"/>
          <w:szCs w:val="24"/>
          <w:highlight w:val="yellow"/>
          <w:u w:val="single"/>
        </w:rPr>
        <w:t>(SC)</w:t>
      </w:r>
    </w:p>
    <w:p w:rsidR="00936743" w:rsidRDefault="00936743" w:rsidP="00D2690B">
      <w:pPr>
        <w:pStyle w:val="NoSpacing"/>
        <w:jc w:val="both"/>
        <w:rPr>
          <w:rFonts w:ascii="Garamond" w:hAnsi="Garamond"/>
          <w:sz w:val="24"/>
          <w:szCs w:val="24"/>
        </w:rPr>
      </w:pPr>
    </w:p>
    <w:p w:rsidR="00CE7336" w:rsidRDefault="00C23F7F" w:rsidP="00D2690B">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 xml:space="preserve">AO completed assessment u/s 143 (3) after taking into consideration accounts furnished by assessee. After the lapse of 4yrs from the relevant AY, AO had reopened the assessment of assessee u/s 147 on the ground that after relook of accounts of relevant PY it was noticed that assessee Co had incurred a loss in trading in share which was speculative. </w:t>
      </w:r>
    </w:p>
    <w:p w:rsidR="004B16B2" w:rsidRDefault="00C23F7F" w:rsidP="00D2690B">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w:t>
      </w:r>
      <w:r w:rsidR="00AA257A">
        <w:rPr>
          <w:rFonts w:ascii="Garamond" w:hAnsi="Garamond"/>
          <w:sz w:val="24"/>
          <w:szCs w:val="24"/>
        </w:rPr>
        <w:t xml:space="preserve">SC observed that assessee has disclosed full details in return of income. There was no failure on assessee’s part to disclose material parts as mentioned in sec 147. Nothing new has come to AO’s notice. Accounts were furnished by assessee when called upon. </w:t>
      </w:r>
      <w:r w:rsidR="007F5932">
        <w:rPr>
          <w:rFonts w:ascii="Garamond" w:hAnsi="Garamond"/>
          <w:sz w:val="24"/>
          <w:szCs w:val="24"/>
        </w:rPr>
        <w:t>Reopening of assessment is clearly a change in opinion &amp; therefore order of reopening the assessment is not valid</w:t>
      </w:r>
    </w:p>
    <w:p w:rsidR="00F237A6" w:rsidRPr="00CF3854" w:rsidRDefault="00AF7B85" w:rsidP="00D2690B">
      <w:pPr>
        <w:pStyle w:val="NoSpacing"/>
        <w:jc w:val="both"/>
        <w:rPr>
          <w:rFonts w:ascii="Garamond" w:hAnsi="Garamond"/>
          <w:b/>
          <w:bCs/>
          <w:i/>
          <w:iCs/>
          <w:sz w:val="24"/>
          <w:szCs w:val="24"/>
        </w:rPr>
      </w:pPr>
      <w:r>
        <w:rPr>
          <w:rFonts w:ascii="Garamond" w:hAnsi="Garamond"/>
          <w:b/>
          <w:bCs/>
          <w:i/>
          <w:iCs/>
          <w:sz w:val="24"/>
          <w:szCs w:val="24"/>
        </w:rPr>
        <w:lastRenderedPageBreak/>
        <w:t xml:space="preserve">4. </w:t>
      </w:r>
      <w:r w:rsidR="00F237A6" w:rsidRPr="00CF3854">
        <w:rPr>
          <w:rFonts w:ascii="Garamond" w:hAnsi="Garamond"/>
          <w:b/>
          <w:bCs/>
          <w:i/>
          <w:iCs/>
          <w:sz w:val="24"/>
          <w:szCs w:val="24"/>
        </w:rPr>
        <w:t>Whether section 14A is applicable in respect of deductions, which are permissible and allowed under Chapter VI-A ?</w:t>
      </w:r>
    </w:p>
    <w:p w:rsidR="0060390A" w:rsidRPr="00B75C4D" w:rsidRDefault="0060390A" w:rsidP="00D2690B">
      <w:pPr>
        <w:pStyle w:val="NoSpacing"/>
        <w:jc w:val="both"/>
        <w:rPr>
          <w:rFonts w:ascii="Garamond" w:hAnsi="Garamond"/>
          <w:b/>
          <w:bCs/>
          <w:i/>
          <w:iCs/>
          <w:sz w:val="24"/>
          <w:szCs w:val="24"/>
          <w:u w:val="single"/>
        </w:rPr>
      </w:pPr>
      <w:r w:rsidRPr="00B75C4D">
        <w:rPr>
          <w:rFonts w:ascii="Garamond" w:hAnsi="Garamond"/>
          <w:b/>
          <w:bCs/>
          <w:i/>
          <w:iCs/>
          <w:sz w:val="24"/>
          <w:szCs w:val="24"/>
          <w:u w:val="single"/>
        </w:rPr>
        <w:t>CIT v. Kribhco</w:t>
      </w:r>
      <w:r w:rsidR="003F6C30" w:rsidRPr="00B75C4D">
        <w:rPr>
          <w:rFonts w:ascii="Garamond" w:hAnsi="Garamond"/>
          <w:b/>
          <w:bCs/>
          <w:i/>
          <w:iCs/>
          <w:sz w:val="24"/>
          <w:szCs w:val="24"/>
          <w:u w:val="single"/>
        </w:rPr>
        <w:t xml:space="preserve"> (Del)</w:t>
      </w:r>
    </w:p>
    <w:p w:rsidR="00B75C4D" w:rsidRPr="00CF3854" w:rsidRDefault="00B75C4D" w:rsidP="00D2690B">
      <w:pPr>
        <w:pStyle w:val="NoSpacing"/>
        <w:jc w:val="both"/>
        <w:rPr>
          <w:rFonts w:ascii="Garamond" w:hAnsi="Garamond"/>
          <w:b/>
          <w:bCs/>
          <w:i/>
          <w:iCs/>
          <w:sz w:val="24"/>
          <w:szCs w:val="24"/>
        </w:rPr>
      </w:pPr>
    </w:p>
    <w:p w:rsidR="00D2690B" w:rsidRPr="00B75C4D" w:rsidRDefault="00B75C4D" w:rsidP="00D2690B">
      <w:pPr>
        <w:pStyle w:val="NoSpacing"/>
        <w:jc w:val="both"/>
        <w:rPr>
          <w:rFonts w:ascii="Garamond" w:hAnsi="Garamond"/>
          <w:sz w:val="24"/>
          <w:szCs w:val="24"/>
        </w:rPr>
      </w:pPr>
      <w:r>
        <w:rPr>
          <w:rFonts w:ascii="Garamond" w:hAnsi="Garamond"/>
          <w:b/>
          <w:bCs/>
          <w:i/>
          <w:iCs/>
          <w:sz w:val="24"/>
          <w:szCs w:val="24"/>
        </w:rPr>
        <w:t>Facts:</w:t>
      </w:r>
      <w:r>
        <w:rPr>
          <w:rFonts w:ascii="Garamond" w:hAnsi="Garamond"/>
          <w:sz w:val="24"/>
          <w:szCs w:val="24"/>
        </w:rPr>
        <w:t xml:space="preserve"> assessee is cooperative society engaged in marketing fertilizers, purchase &amp; processing of seeds</w:t>
      </w:r>
      <w:r w:rsidR="00823E87">
        <w:rPr>
          <w:rFonts w:ascii="Garamond" w:hAnsi="Garamond"/>
          <w:sz w:val="24"/>
          <w:szCs w:val="24"/>
        </w:rPr>
        <w:t>. He claimed deduction u/s 80P on dividend from NAFED &amp; co-oper</w:t>
      </w:r>
      <w:r w:rsidR="000670A3">
        <w:rPr>
          <w:rFonts w:ascii="Garamond" w:hAnsi="Garamond"/>
          <w:sz w:val="24"/>
          <w:szCs w:val="24"/>
        </w:rPr>
        <w:t>at</w:t>
      </w:r>
      <w:r w:rsidR="00823E87">
        <w:rPr>
          <w:rFonts w:ascii="Garamond" w:hAnsi="Garamond"/>
          <w:sz w:val="24"/>
          <w:szCs w:val="24"/>
        </w:rPr>
        <w:t>ive bank &amp; on interest on deposit from co-operative bank</w:t>
      </w:r>
      <w:r w:rsidR="00636041">
        <w:rPr>
          <w:rFonts w:ascii="Garamond" w:hAnsi="Garamond"/>
          <w:sz w:val="24"/>
          <w:szCs w:val="24"/>
        </w:rPr>
        <w:t>s</w:t>
      </w:r>
    </w:p>
    <w:p w:rsidR="0059625E" w:rsidRDefault="00F74FD6" w:rsidP="00D2690B">
      <w:pPr>
        <w:pStyle w:val="NoSpacing"/>
        <w:jc w:val="both"/>
        <w:rPr>
          <w:rFonts w:ascii="Garamond" w:hAnsi="Garamond"/>
          <w:sz w:val="24"/>
          <w:szCs w:val="24"/>
        </w:rPr>
      </w:pPr>
      <w:r>
        <w:rPr>
          <w:rFonts w:ascii="Garamond" w:hAnsi="Garamond"/>
          <w:b/>
          <w:bCs/>
          <w:i/>
          <w:iCs/>
          <w:sz w:val="24"/>
          <w:szCs w:val="24"/>
        </w:rPr>
        <w:t>Point of difference:</w:t>
      </w:r>
      <w:r>
        <w:rPr>
          <w:rFonts w:ascii="Garamond" w:hAnsi="Garamond"/>
          <w:sz w:val="24"/>
          <w:szCs w:val="24"/>
        </w:rPr>
        <w:t xml:space="preserve"> AO contended that</w:t>
      </w:r>
      <w:r w:rsidR="0059625E">
        <w:rPr>
          <w:rFonts w:ascii="Garamond" w:hAnsi="Garamond"/>
          <w:sz w:val="24"/>
          <w:szCs w:val="24"/>
        </w:rPr>
        <w:t xml:space="preserve"> aforesaid income was not included in total income &amp; thus expenditure w.r.t it should be disallowed</w:t>
      </w:r>
      <w:r>
        <w:rPr>
          <w:rFonts w:ascii="Garamond" w:hAnsi="Garamond"/>
          <w:sz w:val="24"/>
          <w:szCs w:val="24"/>
        </w:rPr>
        <w:t xml:space="preserve"> </w:t>
      </w:r>
    </w:p>
    <w:p w:rsidR="0059625E" w:rsidRPr="0069042A" w:rsidRDefault="0069042A" w:rsidP="00D2690B">
      <w:pPr>
        <w:pStyle w:val="NoSpacing"/>
        <w:jc w:val="both"/>
        <w:rPr>
          <w:rFonts w:ascii="Garamond" w:hAnsi="Garamond"/>
          <w:sz w:val="24"/>
          <w:szCs w:val="24"/>
        </w:rPr>
      </w:pPr>
      <w:r>
        <w:rPr>
          <w:rFonts w:ascii="Garamond" w:hAnsi="Garamond"/>
          <w:b/>
          <w:bCs/>
          <w:i/>
          <w:iCs/>
          <w:sz w:val="24"/>
          <w:szCs w:val="24"/>
        </w:rPr>
        <w:t xml:space="preserve">Decision: HC </w:t>
      </w:r>
      <w:r>
        <w:rPr>
          <w:rFonts w:ascii="Garamond" w:hAnsi="Garamond"/>
          <w:sz w:val="24"/>
          <w:szCs w:val="24"/>
        </w:rPr>
        <w:t>observed that:-</w:t>
      </w:r>
    </w:p>
    <w:p w:rsidR="00CF3854" w:rsidRDefault="00F74FD6" w:rsidP="0069042A">
      <w:pPr>
        <w:pStyle w:val="NoSpacing"/>
        <w:numPr>
          <w:ilvl w:val="0"/>
          <w:numId w:val="1"/>
        </w:numPr>
        <w:jc w:val="both"/>
        <w:rPr>
          <w:rFonts w:ascii="Garamond" w:hAnsi="Garamond"/>
          <w:sz w:val="24"/>
          <w:szCs w:val="24"/>
        </w:rPr>
      </w:pPr>
      <w:r>
        <w:rPr>
          <w:rFonts w:ascii="Garamond" w:hAnsi="Garamond"/>
          <w:sz w:val="24"/>
          <w:szCs w:val="24"/>
        </w:rPr>
        <w:t>14A is NA for deductions which are permissible &amp; allowed under chapter VI A</w:t>
      </w:r>
    </w:p>
    <w:p w:rsidR="0069042A" w:rsidRDefault="0069042A" w:rsidP="0069042A">
      <w:pPr>
        <w:pStyle w:val="NoSpacing"/>
        <w:numPr>
          <w:ilvl w:val="0"/>
          <w:numId w:val="1"/>
        </w:numPr>
        <w:jc w:val="both"/>
        <w:rPr>
          <w:rFonts w:ascii="Garamond" w:hAnsi="Garamond"/>
          <w:sz w:val="24"/>
          <w:szCs w:val="24"/>
        </w:rPr>
      </w:pPr>
      <w:r>
        <w:rPr>
          <w:rFonts w:ascii="Garamond" w:hAnsi="Garamond"/>
          <w:sz w:val="24"/>
          <w:szCs w:val="24"/>
        </w:rPr>
        <w:t>14A is applicable only if income is not included in total income as per chapter III of income tax act</w:t>
      </w:r>
    </w:p>
    <w:p w:rsidR="0069042A" w:rsidRDefault="00616F40" w:rsidP="0069042A">
      <w:pPr>
        <w:pStyle w:val="NoSpacing"/>
        <w:numPr>
          <w:ilvl w:val="0"/>
          <w:numId w:val="1"/>
        </w:numPr>
        <w:jc w:val="both"/>
        <w:rPr>
          <w:rFonts w:ascii="Garamond" w:hAnsi="Garamond"/>
          <w:sz w:val="24"/>
          <w:szCs w:val="24"/>
        </w:rPr>
      </w:pPr>
      <w:r>
        <w:rPr>
          <w:rFonts w:ascii="Garamond" w:hAnsi="Garamond"/>
          <w:sz w:val="24"/>
          <w:szCs w:val="24"/>
        </w:rPr>
        <w:t>Deductions under chapter VI A are different from exclusions/exemptions under chapter III</w:t>
      </w:r>
    </w:p>
    <w:p w:rsidR="00854010" w:rsidRDefault="00854010" w:rsidP="0069042A">
      <w:pPr>
        <w:pStyle w:val="NoSpacing"/>
        <w:numPr>
          <w:ilvl w:val="0"/>
          <w:numId w:val="1"/>
        </w:numPr>
        <w:jc w:val="both"/>
        <w:rPr>
          <w:rFonts w:ascii="Garamond" w:hAnsi="Garamond"/>
          <w:sz w:val="24"/>
          <w:szCs w:val="24"/>
        </w:rPr>
      </w:pPr>
      <w:r>
        <w:rPr>
          <w:rFonts w:ascii="Garamond" w:hAnsi="Garamond"/>
          <w:sz w:val="24"/>
          <w:szCs w:val="24"/>
        </w:rPr>
        <w:t>Income qualifying foe deductions u/s 80C to 80U has to be first included in total income &amp; then allowed as deduction</w:t>
      </w:r>
    </w:p>
    <w:p w:rsidR="00854010" w:rsidRPr="00F74FD6" w:rsidRDefault="00854010" w:rsidP="0069042A">
      <w:pPr>
        <w:pStyle w:val="NoSpacing"/>
        <w:numPr>
          <w:ilvl w:val="0"/>
          <w:numId w:val="1"/>
        </w:numPr>
        <w:jc w:val="both"/>
        <w:rPr>
          <w:rFonts w:ascii="Garamond" w:hAnsi="Garamond"/>
          <w:sz w:val="24"/>
          <w:szCs w:val="24"/>
        </w:rPr>
      </w:pPr>
      <w:r>
        <w:rPr>
          <w:rFonts w:ascii="Garamond" w:hAnsi="Garamond"/>
          <w:sz w:val="24"/>
          <w:szCs w:val="24"/>
        </w:rPr>
        <w:t xml:space="preserve">Income referred to in chapter III donot form part of total income &amp; thus as per sec 14A no deduction shall be allowed i.r.o expenses incurred in relation to such income </w:t>
      </w:r>
    </w:p>
    <w:p w:rsidR="00F43703" w:rsidRPr="000D2D82" w:rsidRDefault="000D2D82" w:rsidP="00D2690B">
      <w:pPr>
        <w:pStyle w:val="NoSpacing"/>
        <w:jc w:val="both"/>
        <w:rPr>
          <w:rFonts w:ascii="Garamond" w:hAnsi="Garamond"/>
          <w:sz w:val="24"/>
          <w:szCs w:val="24"/>
        </w:rPr>
      </w:pPr>
      <w:r>
        <w:rPr>
          <w:rFonts w:ascii="Garamond" w:hAnsi="Garamond"/>
          <w:b/>
          <w:bCs/>
          <w:sz w:val="24"/>
          <w:szCs w:val="24"/>
        </w:rPr>
        <w:t>HC</w:t>
      </w:r>
      <w:r>
        <w:rPr>
          <w:rFonts w:ascii="Garamond" w:hAnsi="Garamond"/>
          <w:sz w:val="24"/>
          <w:szCs w:val="24"/>
        </w:rPr>
        <w:t xml:space="preserve"> </w:t>
      </w:r>
      <w:r w:rsidRPr="000D2D82">
        <w:rPr>
          <w:rFonts w:ascii="Garamond" w:hAnsi="Garamond"/>
          <w:b/>
          <w:bCs/>
          <w:sz w:val="24"/>
          <w:szCs w:val="24"/>
        </w:rPr>
        <w:t>held</w:t>
      </w:r>
      <w:r>
        <w:rPr>
          <w:rFonts w:ascii="Garamond" w:hAnsi="Garamond"/>
          <w:sz w:val="24"/>
          <w:szCs w:val="24"/>
        </w:rPr>
        <w:t xml:space="preserve"> no disallowance can be made u/s 14A i.r.o income included in total income</w:t>
      </w:r>
      <w:r w:rsidR="008C1DBF">
        <w:rPr>
          <w:rFonts w:ascii="Garamond" w:hAnsi="Garamond"/>
          <w:sz w:val="24"/>
          <w:szCs w:val="24"/>
        </w:rPr>
        <w:t xml:space="preserve"> i.r.o</w:t>
      </w:r>
      <w:r>
        <w:rPr>
          <w:rFonts w:ascii="Garamond" w:hAnsi="Garamond"/>
          <w:sz w:val="24"/>
          <w:szCs w:val="24"/>
        </w:rPr>
        <w:t xml:space="preserve"> which </w:t>
      </w:r>
      <w:r w:rsidR="008C1DBF">
        <w:rPr>
          <w:rFonts w:ascii="Garamond" w:hAnsi="Garamond"/>
          <w:sz w:val="24"/>
          <w:szCs w:val="24"/>
        </w:rPr>
        <w:t xml:space="preserve">deduction </w:t>
      </w:r>
      <w:r>
        <w:rPr>
          <w:rFonts w:ascii="Garamond" w:hAnsi="Garamond"/>
          <w:sz w:val="24"/>
          <w:szCs w:val="24"/>
        </w:rPr>
        <w:t xml:space="preserve">is </w:t>
      </w:r>
      <w:r w:rsidR="008C1DBF">
        <w:rPr>
          <w:rFonts w:ascii="Garamond" w:hAnsi="Garamond"/>
          <w:sz w:val="24"/>
          <w:szCs w:val="24"/>
        </w:rPr>
        <w:t>allowable</w:t>
      </w:r>
      <w:r>
        <w:rPr>
          <w:rFonts w:ascii="Garamond" w:hAnsi="Garamond"/>
          <w:sz w:val="24"/>
          <w:szCs w:val="24"/>
        </w:rPr>
        <w:t xml:space="preserve"> u/s 80C to 80U</w:t>
      </w:r>
    </w:p>
    <w:p w:rsidR="00F43703" w:rsidRDefault="00F43703" w:rsidP="00F43703">
      <w:pPr>
        <w:pStyle w:val="NoSpacing"/>
        <w:jc w:val="both"/>
        <w:rPr>
          <w:rFonts w:ascii="Garamond" w:hAnsi="Garamond"/>
          <w:sz w:val="24"/>
          <w:szCs w:val="24"/>
        </w:rPr>
      </w:pPr>
    </w:p>
    <w:p w:rsidR="00F43703" w:rsidRPr="00CF3854" w:rsidRDefault="00AF7B85" w:rsidP="00F43703">
      <w:pPr>
        <w:pStyle w:val="NoSpacing"/>
        <w:jc w:val="both"/>
        <w:rPr>
          <w:rFonts w:ascii="Garamond" w:hAnsi="Garamond"/>
          <w:b/>
          <w:bCs/>
          <w:i/>
          <w:iCs/>
          <w:sz w:val="24"/>
          <w:szCs w:val="24"/>
        </w:rPr>
      </w:pPr>
      <w:r>
        <w:rPr>
          <w:rFonts w:ascii="Garamond" w:hAnsi="Garamond"/>
          <w:b/>
          <w:bCs/>
          <w:i/>
          <w:iCs/>
          <w:sz w:val="24"/>
          <w:szCs w:val="24"/>
        </w:rPr>
        <w:t xml:space="preserve">5. </w:t>
      </w:r>
      <w:r w:rsidR="00F43703" w:rsidRPr="00CF3854">
        <w:rPr>
          <w:rFonts w:ascii="Garamond" w:hAnsi="Garamond"/>
          <w:b/>
          <w:bCs/>
          <w:i/>
          <w:iCs/>
          <w:sz w:val="24"/>
          <w:szCs w:val="24"/>
        </w:rPr>
        <w:t>Can business contracts, business information, etc., acquired by the assessee as part of the slump sale be described as 'goodwill', be classified as an intangible asset to be entitled for depreciation under section 32(1)00?</w:t>
      </w:r>
    </w:p>
    <w:p w:rsidR="00F43703" w:rsidRPr="00AC1E35" w:rsidRDefault="00F43703" w:rsidP="00F43703">
      <w:pPr>
        <w:pStyle w:val="NoSpacing"/>
        <w:jc w:val="both"/>
        <w:rPr>
          <w:rFonts w:ascii="Garamond" w:hAnsi="Garamond"/>
          <w:b/>
          <w:bCs/>
          <w:i/>
          <w:iCs/>
          <w:sz w:val="24"/>
          <w:szCs w:val="24"/>
          <w:u w:val="single"/>
        </w:rPr>
      </w:pPr>
      <w:r w:rsidRPr="00AC1E35">
        <w:rPr>
          <w:rFonts w:ascii="Garamond" w:hAnsi="Garamond"/>
          <w:b/>
          <w:bCs/>
          <w:i/>
          <w:iCs/>
          <w:sz w:val="24"/>
          <w:szCs w:val="24"/>
          <w:u w:val="single"/>
        </w:rPr>
        <w:t>Areva T and D India Ltd.</w:t>
      </w:r>
      <w:r w:rsidR="005946A4">
        <w:rPr>
          <w:rFonts w:ascii="Garamond" w:hAnsi="Garamond"/>
          <w:b/>
          <w:bCs/>
          <w:i/>
          <w:iCs/>
          <w:sz w:val="24"/>
          <w:szCs w:val="24"/>
          <w:u w:val="single"/>
        </w:rPr>
        <w:t xml:space="preserve"> v</w:t>
      </w:r>
      <w:r w:rsidRPr="00AC1E35">
        <w:rPr>
          <w:rFonts w:ascii="Garamond" w:hAnsi="Garamond"/>
          <w:b/>
          <w:bCs/>
          <w:i/>
          <w:iCs/>
          <w:sz w:val="24"/>
          <w:szCs w:val="24"/>
          <w:u w:val="single"/>
        </w:rPr>
        <w:t xml:space="preserve"> DCIT (Del)</w:t>
      </w:r>
    </w:p>
    <w:p w:rsidR="00F43703" w:rsidRDefault="00F43703" w:rsidP="00F43703">
      <w:pPr>
        <w:pStyle w:val="NoSpacing"/>
        <w:jc w:val="both"/>
        <w:rPr>
          <w:rFonts w:ascii="Garamond" w:hAnsi="Garamond"/>
          <w:sz w:val="24"/>
          <w:szCs w:val="24"/>
        </w:rPr>
      </w:pPr>
    </w:p>
    <w:p w:rsidR="00F43703" w:rsidRPr="00057173" w:rsidRDefault="00057173" w:rsidP="00F43703">
      <w:pPr>
        <w:pStyle w:val="NoSpacing"/>
        <w:jc w:val="both"/>
        <w:rPr>
          <w:rFonts w:ascii="Garamond" w:hAnsi="Garamond"/>
          <w:sz w:val="24"/>
          <w:szCs w:val="24"/>
        </w:rPr>
      </w:pPr>
      <w:r>
        <w:rPr>
          <w:rFonts w:ascii="Garamond" w:hAnsi="Garamond"/>
          <w:b/>
          <w:bCs/>
          <w:i/>
          <w:iCs/>
          <w:sz w:val="24"/>
          <w:szCs w:val="24"/>
        </w:rPr>
        <w:t xml:space="preserve">Point of difference: </w:t>
      </w:r>
      <w:r>
        <w:rPr>
          <w:rFonts w:ascii="Garamond" w:hAnsi="Garamond"/>
          <w:sz w:val="24"/>
          <w:szCs w:val="24"/>
        </w:rPr>
        <w:t xml:space="preserve"> AO accepted the allocation of slump sale between tangible &amp; intangible assets (goodwill). But he claimed that depreciation is not allowable on goodwill. He contended that assessee has failed to prove that such payment can be categorised under </w:t>
      </w:r>
      <w:r>
        <w:rPr>
          <w:rFonts w:ascii="Garamond" w:hAnsi="Garamond"/>
          <w:i/>
          <w:iCs/>
          <w:sz w:val="24"/>
          <w:szCs w:val="24"/>
        </w:rPr>
        <w:t>business/commercial right of similar nature</w:t>
      </w:r>
      <w:r w:rsidR="00F34FFF">
        <w:rPr>
          <w:rFonts w:ascii="Garamond" w:hAnsi="Garamond"/>
          <w:sz w:val="24"/>
          <w:szCs w:val="24"/>
        </w:rPr>
        <w:t xml:space="preserve"> to qualify for depreciation.</w:t>
      </w:r>
    </w:p>
    <w:p w:rsidR="00F43703" w:rsidRDefault="00F34FFF" w:rsidP="00F43703">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 xml:space="preserve">HC observed that </w:t>
      </w:r>
    </w:p>
    <w:p w:rsidR="00362A9A" w:rsidRDefault="00F34FFF" w:rsidP="00F34FFF">
      <w:pPr>
        <w:pStyle w:val="NoSpacing"/>
        <w:numPr>
          <w:ilvl w:val="0"/>
          <w:numId w:val="7"/>
        </w:numPr>
        <w:jc w:val="both"/>
        <w:rPr>
          <w:rFonts w:ascii="Garamond" w:hAnsi="Garamond"/>
          <w:sz w:val="24"/>
          <w:szCs w:val="24"/>
        </w:rPr>
      </w:pPr>
      <w:r>
        <w:rPr>
          <w:rFonts w:ascii="Garamond" w:hAnsi="Garamond"/>
          <w:sz w:val="24"/>
          <w:szCs w:val="24"/>
        </w:rPr>
        <w:t xml:space="preserve">Principle of </w:t>
      </w:r>
      <w:r w:rsidRPr="00F34FFF">
        <w:rPr>
          <w:rFonts w:ascii="Garamond" w:hAnsi="Garamond"/>
          <w:i/>
          <w:iCs/>
          <w:sz w:val="24"/>
          <w:szCs w:val="24"/>
        </w:rPr>
        <w:t>ejusdem generis</w:t>
      </w:r>
      <w:r>
        <w:rPr>
          <w:rFonts w:ascii="Garamond" w:hAnsi="Garamond"/>
          <w:sz w:val="24"/>
          <w:szCs w:val="24"/>
        </w:rPr>
        <w:t xml:space="preserve"> provides that where there are general words following particular </w:t>
      </w:r>
      <w:r w:rsidR="00362A9A">
        <w:rPr>
          <w:rFonts w:ascii="Garamond" w:hAnsi="Garamond"/>
          <w:sz w:val="24"/>
          <w:szCs w:val="24"/>
        </w:rPr>
        <w:t>&amp; specific words, meaning of latter words shall be confined to things of the same kind</w:t>
      </w:r>
    </w:p>
    <w:p w:rsidR="00362A9A" w:rsidRDefault="00362A9A" w:rsidP="00F34FFF">
      <w:pPr>
        <w:pStyle w:val="NoSpacing"/>
        <w:numPr>
          <w:ilvl w:val="0"/>
          <w:numId w:val="7"/>
        </w:numPr>
        <w:jc w:val="both"/>
        <w:rPr>
          <w:rFonts w:ascii="Garamond" w:hAnsi="Garamond"/>
          <w:sz w:val="24"/>
          <w:szCs w:val="24"/>
        </w:rPr>
      </w:pPr>
      <w:r>
        <w:rPr>
          <w:rFonts w:ascii="Garamond" w:hAnsi="Garamond"/>
          <w:sz w:val="24"/>
          <w:szCs w:val="24"/>
        </w:rPr>
        <w:t xml:space="preserve">In interpreting </w:t>
      </w:r>
      <w:r>
        <w:rPr>
          <w:rFonts w:ascii="Garamond" w:hAnsi="Garamond"/>
          <w:i/>
          <w:iCs/>
          <w:sz w:val="24"/>
          <w:szCs w:val="24"/>
        </w:rPr>
        <w:t>business/commercial rights of similar nature</w:t>
      </w:r>
      <w:r>
        <w:rPr>
          <w:rFonts w:ascii="Garamond" w:hAnsi="Garamond"/>
          <w:sz w:val="24"/>
          <w:szCs w:val="24"/>
        </w:rPr>
        <w:t>, such rights need not be same as description of “know-how, patents, trademarks, licenses, or franchises” but must be similar nature as the specified assets</w:t>
      </w:r>
    </w:p>
    <w:p w:rsidR="00362A9A" w:rsidRDefault="00362A9A" w:rsidP="00F34FFF">
      <w:pPr>
        <w:pStyle w:val="NoSpacing"/>
        <w:numPr>
          <w:ilvl w:val="0"/>
          <w:numId w:val="7"/>
        </w:numPr>
        <w:jc w:val="both"/>
        <w:rPr>
          <w:rFonts w:ascii="Garamond" w:hAnsi="Garamond"/>
          <w:sz w:val="24"/>
          <w:szCs w:val="24"/>
        </w:rPr>
      </w:pPr>
      <w:r>
        <w:rPr>
          <w:rFonts w:ascii="Garamond" w:hAnsi="Garamond"/>
          <w:sz w:val="24"/>
          <w:szCs w:val="24"/>
        </w:rPr>
        <w:t>Above mentioned intangible assets are invaluable assets, which are required for carrying on business acquired by assessee</w:t>
      </w:r>
    </w:p>
    <w:p w:rsidR="00362A9A" w:rsidRDefault="00362A9A" w:rsidP="00F34FFF">
      <w:pPr>
        <w:pStyle w:val="NoSpacing"/>
        <w:numPr>
          <w:ilvl w:val="0"/>
          <w:numId w:val="7"/>
        </w:numPr>
        <w:jc w:val="both"/>
        <w:rPr>
          <w:rFonts w:ascii="Garamond" w:hAnsi="Garamond"/>
          <w:sz w:val="24"/>
          <w:szCs w:val="24"/>
        </w:rPr>
      </w:pPr>
      <w:r>
        <w:rPr>
          <w:rFonts w:ascii="Garamond" w:hAnsi="Garamond"/>
          <w:sz w:val="24"/>
          <w:szCs w:val="24"/>
        </w:rPr>
        <w:t>It the absence of it assessee would have to commence business from scratch</w:t>
      </w:r>
    </w:p>
    <w:p w:rsidR="00362A9A" w:rsidRDefault="00362A9A" w:rsidP="00F34FFF">
      <w:pPr>
        <w:pStyle w:val="NoSpacing"/>
        <w:numPr>
          <w:ilvl w:val="0"/>
          <w:numId w:val="7"/>
        </w:numPr>
        <w:jc w:val="both"/>
        <w:rPr>
          <w:rFonts w:ascii="Garamond" w:hAnsi="Garamond"/>
          <w:sz w:val="24"/>
          <w:szCs w:val="24"/>
        </w:rPr>
      </w:pPr>
      <w:r>
        <w:rPr>
          <w:rFonts w:ascii="Garamond" w:hAnsi="Garamond"/>
          <w:sz w:val="24"/>
          <w:szCs w:val="24"/>
        </w:rPr>
        <w:t>The aforesaid intangible assets are comparable to a license to carry on existing business of the transferor</w:t>
      </w:r>
    </w:p>
    <w:p w:rsidR="00F34FFF" w:rsidRDefault="00362A9A" w:rsidP="00362A9A">
      <w:pPr>
        <w:pStyle w:val="NoSpacing"/>
        <w:jc w:val="both"/>
        <w:rPr>
          <w:rFonts w:ascii="Garamond" w:hAnsi="Garamond"/>
          <w:sz w:val="24"/>
          <w:szCs w:val="24"/>
        </w:rPr>
      </w:pPr>
      <w:r>
        <w:rPr>
          <w:rFonts w:ascii="Garamond" w:hAnsi="Garamond"/>
          <w:sz w:val="24"/>
          <w:szCs w:val="24"/>
        </w:rPr>
        <w:t xml:space="preserve">HC held that specified intangible asset acquired under slump sale agreement by assessee are in the nature of intangible asset under the category </w:t>
      </w:r>
      <w:r>
        <w:rPr>
          <w:rFonts w:ascii="Garamond" w:hAnsi="Garamond"/>
          <w:i/>
          <w:iCs/>
          <w:sz w:val="24"/>
          <w:szCs w:val="24"/>
        </w:rPr>
        <w:t>other business/commercial rights of similar nature</w:t>
      </w:r>
      <w:r w:rsidR="00984888">
        <w:rPr>
          <w:rFonts w:ascii="Garamond" w:hAnsi="Garamond"/>
          <w:sz w:val="24"/>
          <w:szCs w:val="24"/>
        </w:rPr>
        <w:t xml:space="preserve"> &amp; are accordingly eligible for depreciation</w:t>
      </w:r>
      <w:r w:rsidR="00F34FFF">
        <w:rPr>
          <w:rFonts w:ascii="Garamond" w:hAnsi="Garamond"/>
          <w:sz w:val="24"/>
          <w:szCs w:val="24"/>
        </w:rPr>
        <w:t xml:space="preserve"> </w:t>
      </w:r>
    </w:p>
    <w:p w:rsidR="00F43703" w:rsidRDefault="00F43703" w:rsidP="00F43703">
      <w:pPr>
        <w:pStyle w:val="NoSpacing"/>
        <w:jc w:val="both"/>
        <w:rPr>
          <w:rFonts w:ascii="Garamond" w:hAnsi="Garamond"/>
          <w:sz w:val="24"/>
          <w:szCs w:val="24"/>
        </w:rPr>
      </w:pPr>
    </w:p>
    <w:p w:rsidR="004B16B2" w:rsidRDefault="004B16B2" w:rsidP="00F43703">
      <w:pPr>
        <w:pStyle w:val="NoSpacing"/>
        <w:jc w:val="both"/>
        <w:rPr>
          <w:rFonts w:ascii="Garamond" w:hAnsi="Garamond"/>
          <w:b/>
          <w:bCs/>
          <w:i/>
          <w:iCs/>
          <w:sz w:val="24"/>
          <w:szCs w:val="24"/>
        </w:rPr>
      </w:pPr>
    </w:p>
    <w:p w:rsidR="00C83733" w:rsidRDefault="00C83733" w:rsidP="00F43703">
      <w:pPr>
        <w:pStyle w:val="NoSpacing"/>
        <w:jc w:val="both"/>
        <w:rPr>
          <w:rFonts w:ascii="Garamond" w:hAnsi="Garamond"/>
          <w:b/>
          <w:bCs/>
          <w:i/>
          <w:iCs/>
          <w:sz w:val="24"/>
          <w:szCs w:val="24"/>
        </w:rPr>
      </w:pPr>
    </w:p>
    <w:p w:rsidR="00C83733" w:rsidRDefault="00C83733" w:rsidP="00F43703">
      <w:pPr>
        <w:pStyle w:val="NoSpacing"/>
        <w:jc w:val="both"/>
        <w:rPr>
          <w:rFonts w:ascii="Garamond" w:hAnsi="Garamond"/>
          <w:b/>
          <w:bCs/>
          <w:i/>
          <w:iCs/>
          <w:sz w:val="24"/>
          <w:szCs w:val="24"/>
        </w:rPr>
      </w:pPr>
    </w:p>
    <w:p w:rsidR="00C83733" w:rsidRDefault="00C83733" w:rsidP="00F43703">
      <w:pPr>
        <w:pStyle w:val="NoSpacing"/>
        <w:jc w:val="both"/>
        <w:rPr>
          <w:rFonts w:ascii="Garamond" w:hAnsi="Garamond"/>
          <w:b/>
          <w:bCs/>
          <w:i/>
          <w:iCs/>
          <w:sz w:val="24"/>
          <w:szCs w:val="24"/>
        </w:rPr>
      </w:pPr>
    </w:p>
    <w:p w:rsidR="004B16B2" w:rsidRDefault="004B16B2" w:rsidP="00F43703">
      <w:pPr>
        <w:pStyle w:val="NoSpacing"/>
        <w:jc w:val="both"/>
        <w:rPr>
          <w:rFonts w:ascii="Garamond" w:hAnsi="Garamond"/>
          <w:b/>
          <w:bCs/>
          <w:i/>
          <w:iCs/>
          <w:sz w:val="24"/>
          <w:szCs w:val="24"/>
        </w:rPr>
      </w:pPr>
    </w:p>
    <w:p w:rsidR="00F43703" w:rsidRPr="00CF3854" w:rsidRDefault="00AF7B85" w:rsidP="00F43703">
      <w:pPr>
        <w:pStyle w:val="NoSpacing"/>
        <w:jc w:val="both"/>
        <w:rPr>
          <w:rFonts w:ascii="Garamond" w:hAnsi="Garamond"/>
          <w:b/>
          <w:bCs/>
          <w:i/>
          <w:iCs/>
          <w:sz w:val="24"/>
          <w:szCs w:val="24"/>
        </w:rPr>
      </w:pPr>
      <w:r>
        <w:rPr>
          <w:rFonts w:ascii="Garamond" w:hAnsi="Garamond"/>
          <w:b/>
          <w:bCs/>
          <w:i/>
          <w:iCs/>
          <w:sz w:val="24"/>
          <w:szCs w:val="24"/>
        </w:rPr>
        <w:lastRenderedPageBreak/>
        <w:t xml:space="preserve">6. </w:t>
      </w:r>
      <w:r w:rsidR="00F43703" w:rsidRPr="00CF3854">
        <w:rPr>
          <w:rFonts w:ascii="Garamond" w:hAnsi="Garamond"/>
          <w:b/>
          <w:bCs/>
          <w:i/>
          <w:iCs/>
          <w:sz w:val="24"/>
          <w:szCs w:val="24"/>
        </w:rPr>
        <w:t>What would be the nature of expenditure incurred by the assessee by way of severance cost paid to the employees in respect of suspension of one of the activities, in a case where he continues to carry on other business activities</w:t>
      </w:r>
      <w:r w:rsidR="008008C8">
        <w:rPr>
          <w:rFonts w:ascii="Garamond" w:hAnsi="Garamond"/>
          <w:b/>
          <w:bCs/>
          <w:i/>
          <w:iCs/>
          <w:sz w:val="24"/>
          <w:szCs w:val="24"/>
        </w:rPr>
        <w:t xml:space="preserve"> – capital or revenue</w:t>
      </w:r>
      <w:r w:rsidR="00F43703" w:rsidRPr="00CF3854">
        <w:rPr>
          <w:rFonts w:ascii="Garamond" w:hAnsi="Garamond"/>
          <w:b/>
          <w:bCs/>
          <w:i/>
          <w:iCs/>
          <w:sz w:val="24"/>
          <w:szCs w:val="24"/>
        </w:rPr>
        <w:t>?</w:t>
      </w:r>
    </w:p>
    <w:p w:rsidR="00F43703" w:rsidRPr="008A0183" w:rsidRDefault="00F43703" w:rsidP="00F43703">
      <w:pPr>
        <w:pStyle w:val="NoSpacing"/>
        <w:jc w:val="both"/>
        <w:rPr>
          <w:rFonts w:ascii="Garamond" w:hAnsi="Garamond"/>
          <w:b/>
          <w:bCs/>
          <w:i/>
          <w:iCs/>
          <w:sz w:val="24"/>
          <w:szCs w:val="24"/>
          <w:u w:val="single"/>
        </w:rPr>
      </w:pPr>
      <w:r w:rsidRPr="008A0183">
        <w:rPr>
          <w:rFonts w:ascii="Garamond" w:hAnsi="Garamond"/>
          <w:b/>
          <w:bCs/>
          <w:i/>
          <w:iCs/>
          <w:sz w:val="24"/>
          <w:szCs w:val="24"/>
          <w:u w:val="single"/>
        </w:rPr>
        <w:t>CIT v. KJS India P. Ltd. (Del)</w:t>
      </w:r>
    </w:p>
    <w:p w:rsidR="00F43703" w:rsidRDefault="0055701B" w:rsidP="00F43703">
      <w:pPr>
        <w:pStyle w:val="NoSpacing"/>
        <w:jc w:val="both"/>
        <w:rPr>
          <w:rFonts w:ascii="Garamond" w:hAnsi="Garamond"/>
          <w:sz w:val="24"/>
          <w:szCs w:val="24"/>
        </w:rPr>
      </w:pPr>
      <w:r>
        <w:rPr>
          <w:rFonts w:ascii="Garamond" w:hAnsi="Garamond"/>
          <w:b/>
          <w:bCs/>
          <w:i/>
          <w:iCs/>
          <w:sz w:val="24"/>
          <w:szCs w:val="24"/>
        </w:rPr>
        <w:t xml:space="preserve">Point of difference: </w:t>
      </w:r>
      <w:r w:rsidRPr="0055701B">
        <w:rPr>
          <w:rFonts w:ascii="Garamond" w:hAnsi="Garamond"/>
          <w:sz w:val="24"/>
          <w:szCs w:val="24"/>
        </w:rPr>
        <w:t>A</w:t>
      </w:r>
      <w:r>
        <w:rPr>
          <w:rFonts w:ascii="Garamond" w:hAnsi="Garamond"/>
          <w:sz w:val="24"/>
          <w:szCs w:val="24"/>
        </w:rPr>
        <w:t>ssessee claimed severance cost paid to employees as revenue expenditure. AO disallowed treating it as capital expenditure arguing it was incurred as a result of closure of business of assessee</w:t>
      </w:r>
    </w:p>
    <w:p w:rsidR="008A0183" w:rsidRDefault="0055701B" w:rsidP="00F43703">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 xml:space="preserve">HC held that though one of the </w:t>
      </w:r>
      <w:r w:rsidR="00860838">
        <w:rPr>
          <w:rFonts w:ascii="Garamond" w:hAnsi="Garamond"/>
          <w:sz w:val="24"/>
          <w:szCs w:val="24"/>
        </w:rPr>
        <w:t xml:space="preserve">business </w:t>
      </w:r>
      <w:r>
        <w:rPr>
          <w:rFonts w:ascii="Garamond" w:hAnsi="Garamond"/>
          <w:sz w:val="24"/>
          <w:szCs w:val="24"/>
        </w:rPr>
        <w:t xml:space="preserve">activities was suspended, it cannot be construed </w:t>
      </w:r>
      <w:r w:rsidR="00860838">
        <w:rPr>
          <w:rFonts w:ascii="Garamond" w:hAnsi="Garamond"/>
          <w:sz w:val="24"/>
          <w:szCs w:val="24"/>
        </w:rPr>
        <w:t>that assessee has closed down its entire business. Assessee still continues its trade in soft drinks. The said expenditure will be allowed as revenue expenditure though it was related to manufacturing activity which was suspended</w:t>
      </w:r>
      <w:r w:rsidR="00AC3F70">
        <w:rPr>
          <w:rFonts w:ascii="Garamond" w:hAnsi="Garamond"/>
          <w:sz w:val="24"/>
          <w:szCs w:val="24"/>
        </w:rPr>
        <w:t>.</w:t>
      </w:r>
    </w:p>
    <w:p w:rsidR="00F43703" w:rsidRDefault="00F43703" w:rsidP="00F43703">
      <w:pPr>
        <w:pStyle w:val="NoSpacing"/>
        <w:jc w:val="both"/>
        <w:rPr>
          <w:rFonts w:ascii="Garamond" w:hAnsi="Garamond"/>
          <w:sz w:val="24"/>
          <w:szCs w:val="24"/>
        </w:rPr>
      </w:pPr>
    </w:p>
    <w:p w:rsidR="008A0183" w:rsidRDefault="00AF7B85" w:rsidP="00F43703">
      <w:pPr>
        <w:pStyle w:val="NoSpacing"/>
        <w:jc w:val="both"/>
        <w:rPr>
          <w:rFonts w:ascii="Garamond" w:hAnsi="Garamond"/>
          <w:b/>
          <w:bCs/>
          <w:i/>
          <w:iCs/>
          <w:sz w:val="24"/>
          <w:szCs w:val="24"/>
        </w:rPr>
      </w:pPr>
      <w:r>
        <w:rPr>
          <w:rFonts w:ascii="Garamond" w:hAnsi="Garamond"/>
          <w:b/>
          <w:bCs/>
          <w:i/>
          <w:iCs/>
          <w:sz w:val="24"/>
          <w:szCs w:val="24"/>
        </w:rPr>
        <w:t xml:space="preserve">7. </w:t>
      </w:r>
      <w:r w:rsidR="00F43703" w:rsidRPr="00CF3854">
        <w:rPr>
          <w:rFonts w:ascii="Garamond" w:hAnsi="Garamond"/>
          <w:b/>
          <w:bCs/>
          <w:i/>
          <w:iCs/>
          <w:sz w:val="24"/>
          <w:szCs w:val="24"/>
        </w:rPr>
        <w:t>In case of a house property registered in joint names, whet</w:t>
      </w:r>
      <w:r w:rsidR="00933F74">
        <w:rPr>
          <w:rFonts w:ascii="Garamond" w:hAnsi="Garamond"/>
          <w:b/>
          <w:bCs/>
          <w:i/>
          <w:iCs/>
          <w:sz w:val="24"/>
          <w:szCs w:val="24"/>
        </w:rPr>
        <w:t xml:space="preserve">her the exemption u/s </w:t>
      </w:r>
      <w:r w:rsidR="00F43703" w:rsidRPr="00CF3854">
        <w:rPr>
          <w:rFonts w:ascii="Garamond" w:hAnsi="Garamond"/>
          <w:b/>
          <w:bCs/>
          <w:i/>
          <w:iCs/>
          <w:sz w:val="24"/>
          <w:szCs w:val="24"/>
        </w:rPr>
        <w:t>54F can be allowed fully to the co-owner who has paid whole of the purchase consideration of the house property or will it be restricted to his share in the house property</w:t>
      </w:r>
    </w:p>
    <w:p w:rsidR="00F43703" w:rsidRPr="008A0183" w:rsidRDefault="00F43703" w:rsidP="00F43703">
      <w:pPr>
        <w:pStyle w:val="NoSpacing"/>
        <w:jc w:val="both"/>
        <w:rPr>
          <w:rFonts w:ascii="Garamond" w:hAnsi="Garamond"/>
          <w:b/>
          <w:bCs/>
          <w:i/>
          <w:iCs/>
          <w:sz w:val="24"/>
          <w:szCs w:val="24"/>
          <w:u w:val="single"/>
        </w:rPr>
      </w:pPr>
      <w:r w:rsidRPr="008A0183">
        <w:rPr>
          <w:rFonts w:ascii="Garamond" w:hAnsi="Garamond"/>
          <w:b/>
          <w:bCs/>
          <w:i/>
          <w:iCs/>
          <w:sz w:val="24"/>
          <w:szCs w:val="24"/>
          <w:u w:val="single"/>
        </w:rPr>
        <w:t>CIT v. Ravinder Kumar Arora (Del)</w:t>
      </w:r>
    </w:p>
    <w:p w:rsidR="00F43703" w:rsidRDefault="00F43703" w:rsidP="00F43703">
      <w:pPr>
        <w:pStyle w:val="NoSpacing"/>
        <w:jc w:val="both"/>
        <w:rPr>
          <w:rFonts w:ascii="Garamond" w:hAnsi="Garamond"/>
          <w:sz w:val="24"/>
          <w:szCs w:val="24"/>
        </w:rPr>
      </w:pPr>
    </w:p>
    <w:p w:rsidR="00F43703" w:rsidRDefault="00010921" w:rsidP="00F43703">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Assessee claimed exemption u/s 54F from LTCG on sale of land by taking whole of purchase price of residential property</w:t>
      </w:r>
    </w:p>
    <w:p w:rsidR="00010921" w:rsidRDefault="00010921" w:rsidP="00F43703">
      <w:pPr>
        <w:pStyle w:val="NoSpacing"/>
        <w:jc w:val="both"/>
        <w:rPr>
          <w:rFonts w:ascii="Garamond" w:hAnsi="Garamond"/>
          <w:sz w:val="24"/>
          <w:szCs w:val="24"/>
        </w:rPr>
      </w:pPr>
      <w:r>
        <w:rPr>
          <w:rFonts w:ascii="Garamond" w:hAnsi="Garamond"/>
          <w:sz w:val="24"/>
          <w:szCs w:val="24"/>
        </w:rPr>
        <w:t xml:space="preserve">AO allowed only 50% exemption </w:t>
      </w:r>
      <w:r w:rsidR="008A2D18">
        <w:rPr>
          <w:rFonts w:ascii="Garamond" w:hAnsi="Garamond"/>
          <w:sz w:val="24"/>
          <w:szCs w:val="24"/>
        </w:rPr>
        <w:t xml:space="preserve">being his share in it </w:t>
      </w:r>
      <w:r>
        <w:rPr>
          <w:rFonts w:ascii="Garamond" w:hAnsi="Garamond"/>
          <w:sz w:val="24"/>
          <w:szCs w:val="24"/>
        </w:rPr>
        <w:t>as house property was purchased in joint names.</w:t>
      </w:r>
    </w:p>
    <w:p w:rsidR="008A0183" w:rsidRPr="003904E8" w:rsidRDefault="003904E8" w:rsidP="00F43703">
      <w:pPr>
        <w:pStyle w:val="NoSpacing"/>
        <w:jc w:val="both"/>
        <w:rPr>
          <w:rFonts w:ascii="Garamond" w:hAnsi="Garamond"/>
          <w:sz w:val="24"/>
          <w:szCs w:val="24"/>
        </w:rPr>
      </w:pPr>
      <w:r>
        <w:rPr>
          <w:rFonts w:ascii="Garamond" w:hAnsi="Garamond"/>
          <w:b/>
          <w:bCs/>
          <w:i/>
          <w:iCs/>
          <w:sz w:val="24"/>
          <w:szCs w:val="24"/>
        </w:rPr>
        <w:t>Point of difference:</w:t>
      </w:r>
      <w:r>
        <w:rPr>
          <w:rFonts w:ascii="Garamond" w:hAnsi="Garamond"/>
          <w:sz w:val="24"/>
          <w:szCs w:val="24"/>
        </w:rPr>
        <w:t xml:space="preserve"> Assessee explained that full amount was contributed by him &amp; wife’s name was only included to avoid any litigation after his death. </w:t>
      </w:r>
      <w:r w:rsidR="00A50D40">
        <w:rPr>
          <w:rFonts w:ascii="Garamond" w:hAnsi="Garamond"/>
          <w:sz w:val="24"/>
          <w:szCs w:val="24"/>
        </w:rPr>
        <w:t xml:space="preserve">AO opined that exemption u/s 54F shall be allowed only to the </w:t>
      </w:r>
      <w:r w:rsidR="007E311B">
        <w:rPr>
          <w:rFonts w:ascii="Garamond" w:hAnsi="Garamond"/>
          <w:sz w:val="24"/>
          <w:szCs w:val="24"/>
        </w:rPr>
        <w:t>extent</w:t>
      </w:r>
      <w:r w:rsidR="00A50D40">
        <w:rPr>
          <w:rFonts w:ascii="Garamond" w:hAnsi="Garamond"/>
          <w:sz w:val="24"/>
          <w:szCs w:val="24"/>
        </w:rPr>
        <w:t xml:space="preserve"> of assessee’s right in new house property, i.e. 50%</w:t>
      </w:r>
    </w:p>
    <w:p w:rsidR="008A0183" w:rsidRDefault="00E22D60" w:rsidP="00F43703">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HC held that:</w:t>
      </w:r>
    </w:p>
    <w:p w:rsidR="00E22D60" w:rsidRDefault="00E22D60" w:rsidP="00E22D60">
      <w:pPr>
        <w:pStyle w:val="NoSpacing"/>
        <w:numPr>
          <w:ilvl w:val="0"/>
          <w:numId w:val="17"/>
        </w:numPr>
        <w:jc w:val="both"/>
        <w:rPr>
          <w:rFonts w:ascii="Garamond" w:hAnsi="Garamond"/>
          <w:sz w:val="24"/>
          <w:szCs w:val="24"/>
        </w:rPr>
      </w:pPr>
      <w:r>
        <w:rPr>
          <w:rFonts w:ascii="Garamond" w:hAnsi="Garamond"/>
          <w:sz w:val="24"/>
          <w:szCs w:val="24"/>
        </w:rPr>
        <w:t>Assessee was the real owner of residential house in question, mere inclusion of wife’s name in sales deed will not make any difference</w:t>
      </w:r>
    </w:p>
    <w:p w:rsidR="00E22D60" w:rsidRPr="00E22D60" w:rsidRDefault="00C67F72" w:rsidP="00E22D60">
      <w:pPr>
        <w:pStyle w:val="NoSpacing"/>
        <w:numPr>
          <w:ilvl w:val="0"/>
          <w:numId w:val="17"/>
        </w:numPr>
        <w:jc w:val="both"/>
        <w:rPr>
          <w:rFonts w:ascii="Garamond" w:hAnsi="Garamond"/>
          <w:sz w:val="24"/>
          <w:szCs w:val="24"/>
        </w:rPr>
      </w:pPr>
      <w:r>
        <w:rPr>
          <w:rFonts w:ascii="Garamond" w:hAnsi="Garamond"/>
          <w:sz w:val="24"/>
          <w:szCs w:val="24"/>
        </w:rPr>
        <w:t>54F mandates that house should be purchased by assessee. It does not stipulate house should be purchased only in assessee’s name</w:t>
      </w:r>
    </w:p>
    <w:p w:rsidR="008A0183" w:rsidRDefault="0058643A" w:rsidP="00F43703">
      <w:pPr>
        <w:pStyle w:val="NoSpacing"/>
        <w:jc w:val="both"/>
        <w:rPr>
          <w:rFonts w:ascii="Garamond" w:hAnsi="Garamond"/>
          <w:sz w:val="24"/>
          <w:szCs w:val="24"/>
        </w:rPr>
      </w:pPr>
      <w:r>
        <w:rPr>
          <w:rFonts w:ascii="Garamond" w:hAnsi="Garamond"/>
          <w:sz w:val="24"/>
          <w:szCs w:val="24"/>
        </w:rPr>
        <w:t>Conditions u/s 54F are fulfilled &amp; entire exemption claimed i.r.o purchase price of house property shall be allowed to assessee</w:t>
      </w:r>
    </w:p>
    <w:p w:rsidR="00333133" w:rsidRDefault="00333133" w:rsidP="00F43703">
      <w:pPr>
        <w:pStyle w:val="NoSpacing"/>
        <w:jc w:val="both"/>
        <w:rPr>
          <w:rFonts w:ascii="Garamond" w:hAnsi="Garamond"/>
          <w:sz w:val="24"/>
          <w:szCs w:val="24"/>
        </w:rPr>
      </w:pPr>
      <w:r>
        <w:rPr>
          <w:rFonts w:ascii="Garamond" w:hAnsi="Garamond"/>
          <w:sz w:val="24"/>
          <w:szCs w:val="24"/>
        </w:rPr>
        <w:t>A similar decision was taken by Karnataka HC in DIT (IT) v Mrs. Jennifer Bhide (2011), where it allowed 100% exemption of LTCG u/s 54 &amp; 54EC since consideration for acquisition flows entirely from assessee’</w:t>
      </w:r>
      <w:r w:rsidR="00663EAF">
        <w:rPr>
          <w:rFonts w:ascii="Garamond" w:hAnsi="Garamond"/>
          <w:sz w:val="24"/>
          <w:szCs w:val="24"/>
        </w:rPr>
        <w:t xml:space="preserve">s funds </w:t>
      </w:r>
    </w:p>
    <w:p w:rsidR="00F43703" w:rsidRDefault="00F43703" w:rsidP="00F43703">
      <w:pPr>
        <w:pStyle w:val="NoSpacing"/>
        <w:jc w:val="both"/>
        <w:rPr>
          <w:rFonts w:ascii="Garamond" w:hAnsi="Garamond"/>
          <w:sz w:val="24"/>
          <w:szCs w:val="24"/>
        </w:rPr>
      </w:pPr>
    </w:p>
    <w:p w:rsidR="00F43703" w:rsidRPr="00CF3854" w:rsidRDefault="00AF7B85" w:rsidP="00F43703">
      <w:pPr>
        <w:pStyle w:val="NoSpacing"/>
        <w:jc w:val="both"/>
        <w:rPr>
          <w:rFonts w:ascii="Garamond" w:hAnsi="Garamond"/>
          <w:b/>
          <w:bCs/>
          <w:i/>
          <w:iCs/>
          <w:sz w:val="24"/>
          <w:szCs w:val="24"/>
        </w:rPr>
      </w:pPr>
      <w:r>
        <w:rPr>
          <w:rFonts w:ascii="Garamond" w:hAnsi="Garamond"/>
          <w:b/>
          <w:bCs/>
          <w:i/>
          <w:iCs/>
          <w:sz w:val="24"/>
          <w:szCs w:val="24"/>
        </w:rPr>
        <w:t xml:space="preserve">8. </w:t>
      </w:r>
      <w:r w:rsidR="00F43703" w:rsidRPr="00CF3854">
        <w:rPr>
          <w:rFonts w:ascii="Garamond" w:hAnsi="Garamond"/>
          <w:b/>
          <w:bCs/>
          <w:i/>
          <w:iCs/>
          <w:sz w:val="24"/>
          <w:szCs w:val="24"/>
        </w:rPr>
        <w:t>Can the scheme of ar</w:t>
      </w:r>
      <w:r w:rsidR="004C2365">
        <w:rPr>
          <w:rFonts w:ascii="Garamond" w:hAnsi="Garamond"/>
          <w:b/>
          <w:bCs/>
          <w:i/>
          <w:iCs/>
          <w:sz w:val="24"/>
          <w:szCs w:val="24"/>
        </w:rPr>
        <w:t>rangement approved u/s</w:t>
      </w:r>
      <w:r w:rsidR="00F43703" w:rsidRPr="00CF3854">
        <w:rPr>
          <w:rFonts w:ascii="Garamond" w:hAnsi="Garamond"/>
          <w:b/>
          <w:bCs/>
          <w:i/>
          <w:iCs/>
          <w:sz w:val="24"/>
          <w:szCs w:val="24"/>
        </w:rPr>
        <w:t xml:space="preserve"> 391 to 394 of Companies Act, 1956 be treated as slump sale to attract capital gains </w:t>
      </w:r>
      <w:r w:rsidR="00933F74" w:rsidRPr="00CF3854">
        <w:rPr>
          <w:rFonts w:ascii="Garamond" w:hAnsi="Garamond"/>
          <w:b/>
          <w:bCs/>
          <w:i/>
          <w:iCs/>
          <w:sz w:val="24"/>
          <w:szCs w:val="24"/>
        </w:rPr>
        <w:t>provisions?</w:t>
      </w:r>
    </w:p>
    <w:p w:rsidR="00F43703" w:rsidRPr="00663EAF" w:rsidRDefault="00F43703" w:rsidP="00F43703">
      <w:pPr>
        <w:pStyle w:val="NoSpacing"/>
        <w:jc w:val="both"/>
        <w:rPr>
          <w:rFonts w:ascii="Garamond" w:hAnsi="Garamond"/>
          <w:b/>
          <w:bCs/>
          <w:i/>
          <w:iCs/>
          <w:sz w:val="24"/>
          <w:szCs w:val="24"/>
          <w:u w:val="single"/>
        </w:rPr>
      </w:pPr>
      <w:r w:rsidRPr="00663EAF">
        <w:rPr>
          <w:rFonts w:ascii="Garamond" w:hAnsi="Garamond"/>
          <w:b/>
          <w:bCs/>
          <w:i/>
          <w:iCs/>
          <w:sz w:val="24"/>
          <w:szCs w:val="24"/>
          <w:u w:val="single"/>
        </w:rPr>
        <w:t xml:space="preserve">SREI </w:t>
      </w:r>
      <w:r w:rsidR="00146F6B" w:rsidRPr="00663EAF">
        <w:rPr>
          <w:rFonts w:ascii="Garamond" w:hAnsi="Garamond"/>
          <w:b/>
          <w:bCs/>
          <w:i/>
          <w:iCs/>
          <w:sz w:val="24"/>
          <w:szCs w:val="24"/>
          <w:u w:val="single"/>
        </w:rPr>
        <w:t>Infrastructure</w:t>
      </w:r>
      <w:r w:rsidRPr="00663EAF">
        <w:rPr>
          <w:rFonts w:ascii="Garamond" w:hAnsi="Garamond"/>
          <w:b/>
          <w:bCs/>
          <w:i/>
          <w:iCs/>
          <w:sz w:val="24"/>
          <w:szCs w:val="24"/>
          <w:u w:val="single"/>
        </w:rPr>
        <w:t xml:space="preserve"> Finance Ltd.</w:t>
      </w:r>
      <w:r w:rsidR="00671AF6" w:rsidRPr="00663EAF">
        <w:rPr>
          <w:rFonts w:ascii="Garamond" w:hAnsi="Garamond"/>
          <w:b/>
          <w:bCs/>
          <w:i/>
          <w:iCs/>
          <w:sz w:val="24"/>
          <w:szCs w:val="24"/>
          <w:u w:val="single"/>
        </w:rPr>
        <w:t xml:space="preserve"> </w:t>
      </w:r>
      <w:r w:rsidRPr="00663EAF">
        <w:rPr>
          <w:rFonts w:ascii="Garamond" w:hAnsi="Garamond"/>
          <w:b/>
          <w:bCs/>
          <w:i/>
          <w:iCs/>
          <w:sz w:val="24"/>
          <w:szCs w:val="24"/>
          <w:u w:val="single"/>
        </w:rPr>
        <w:t>v. Income-tax Settlement Commission (Del)</w:t>
      </w:r>
    </w:p>
    <w:p w:rsidR="00F43703" w:rsidRDefault="00F43703" w:rsidP="00F43703">
      <w:pPr>
        <w:pStyle w:val="NoSpacing"/>
        <w:jc w:val="both"/>
        <w:rPr>
          <w:rFonts w:ascii="Garamond" w:hAnsi="Garamond"/>
          <w:sz w:val="24"/>
          <w:szCs w:val="24"/>
        </w:rPr>
      </w:pPr>
    </w:p>
    <w:p w:rsidR="00146F6B" w:rsidRPr="00804D18" w:rsidRDefault="00804D18" w:rsidP="00F43703">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 xml:space="preserve">Assessee received an amount from its subsidiary which was sanctioned by HC u/s 391 to </w:t>
      </w:r>
      <w:r w:rsidRPr="00804D18">
        <w:rPr>
          <w:rFonts w:ascii="Garamond" w:hAnsi="Garamond"/>
          <w:sz w:val="24"/>
          <w:szCs w:val="24"/>
        </w:rPr>
        <w:t>3</w:t>
      </w:r>
      <w:r>
        <w:rPr>
          <w:rFonts w:ascii="Garamond" w:hAnsi="Garamond"/>
          <w:sz w:val="24"/>
          <w:szCs w:val="24"/>
        </w:rPr>
        <w:t>94 (arrangement) of companies act.</w:t>
      </w:r>
      <w:r w:rsidR="009E0665">
        <w:rPr>
          <w:rFonts w:ascii="Garamond" w:hAnsi="Garamond"/>
          <w:sz w:val="24"/>
          <w:szCs w:val="24"/>
        </w:rPr>
        <w:t xml:space="preserve"> Settlement commission treated such amount as slump sale u/s </w:t>
      </w:r>
      <w:r w:rsidR="00B43F0C">
        <w:rPr>
          <w:rFonts w:ascii="Garamond" w:hAnsi="Garamond"/>
          <w:sz w:val="24"/>
          <w:szCs w:val="24"/>
        </w:rPr>
        <w:t>50</w:t>
      </w:r>
      <w:r w:rsidR="009E0665">
        <w:rPr>
          <w:rFonts w:ascii="Garamond" w:hAnsi="Garamond"/>
          <w:sz w:val="24"/>
          <w:szCs w:val="24"/>
        </w:rPr>
        <w:t>B &amp; brought such amount to tax</w:t>
      </w:r>
    </w:p>
    <w:p w:rsidR="00F43703" w:rsidRDefault="008C6127" w:rsidP="00F43703">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w:t>
      </w:r>
      <w:r w:rsidR="00AC08E4">
        <w:rPr>
          <w:rFonts w:ascii="Garamond" w:hAnsi="Garamond"/>
          <w:sz w:val="24"/>
          <w:szCs w:val="24"/>
        </w:rPr>
        <w:t>HC held that: -</w:t>
      </w:r>
    </w:p>
    <w:p w:rsidR="00AC08E4" w:rsidRDefault="00AC08E4" w:rsidP="00AC08E4">
      <w:pPr>
        <w:pStyle w:val="NoSpacing"/>
        <w:numPr>
          <w:ilvl w:val="0"/>
          <w:numId w:val="18"/>
        </w:numPr>
        <w:jc w:val="both"/>
        <w:rPr>
          <w:rFonts w:ascii="Garamond" w:hAnsi="Garamond"/>
          <w:sz w:val="24"/>
          <w:szCs w:val="24"/>
        </w:rPr>
      </w:pPr>
      <w:r>
        <w:rPr>
          <w:rFonts w:ascii="Garamond" w:hAnsi="Garamond"/>
          <w:sz w:val="24"/>
          <w:szCs w:val="24"/>
        </w:rPr>
        <w:t>It would be wrong to infer that 50B is applicable only when actual sale of assets takes place</w:t>
      </w:r>
    </w:p>
    <w:p w:rsidR="00AC08E4" w:rsidRDefault="00AC08E4" w:rsidP="00AC08E4">
      <w:pPr>
        <w:pStyle w:val="NoSpacing"/>
        <w:numPr>
          <w:ilvl w:val="0"/>
          <w:numId w:val="18"/>
        </w:numPr>
        <w:jc w:val="both"/>
        <w:rPr>
          <w:rFonts w:ascii="Garamond" w:hAnsi="Garamond"/>
          <w:sz w:val="24"/>
          <w:szCs w:val="24"/>
        </w:rPr>
      </w:pPr>
      <w:r>
        <w:rPr>
          <w:rFonts w:ascii="Garamond" w:hAnsi="Garamond"/>
          <w:sz w:val="24"/>
          <w:szCs w:val="24"/>
        </w:rPr>
        <w:t xml:space="preserve">It apply in case of all types of </w:t>
      </w:r>
      <w:r>
        <w:rPr>
          <w:rFonts w:ascii="Garamond" w:hAnsi="Garamond"/>
          <w:i/>
          <w:iCs/>
          <w:sz w:val="24"/>
          <w:szCs w:val="24"/>
        </w:rPr>
        <w:t>transfer</w:t>
      </w:r>
      <w:r>
        <w:rPr>
          <w:rFonts w:ascii="Garamond" w:hAnsi="Garamond"/>
          <w:sz w:val="24"/>
          <w:szCs w:val="24"/>
        </w:rPr>
        <w:t xml:space="preserve"> mentioned u/s </w:t>
      </w:r>
      <w:r w:rsidR="00C811A0">
        <w:rPr>
          <w:rFonts w:ascii="Garamond" w:hAnsi="Garamond"/>
          <w:sz w:val="24"/>
          <w:szCs w:val="24"/>
        </w:rPr>
        <w:t>2</w:t>
      </w:r>
      <w:r>
        <w:rPr>
          <w:rFonts w:ascii="Garamond" w:hAnsi="Garamond"/>
          <w:sz w:val="24"/>
          <w:szCs w:val="24"/>
        </w:rPr>
        <w:t>(47)</w:t>
      </w:r>
    </w:p>
    <w:p w:rsidR="00C811A0" w:rsidRDefault="00C811A0" w:rsidP="00AC08E4">
      <w:pPr>
        <w:pStyle w:val="NoSpacing"/>
        <w:numPr>
          <w:ilvl w:val="0"/>
          <w:numId w:val="18"/>
        </w:numPr>
        <w:jc w:val="both"/>
        <w:rPr>
          <w:rFonts w:ascii="Garamond" w:hAnsi="Garamond"/>
          <w:sz w:val="24"/>
          <w:szCs w:val="24"/>
        </w:rPr>
      </w:pPr>
      <w:r>
        <w:rPr>
          <w:rFonts w:ascii="Garamond" w:hAnsi="Garamond"/>
          <w:sz w:val="24"/>
          <w:szCs w:val="24"/>
        </w:rPr>
        <w:t xml:space="preserve">When Court sanctioned a scheme of agreement, it is treated as a binding statutory scheme because scheme has to be implemented &amp; enforced. It cannot be a ground for assessee to escape tax on </w:t>
      </w:r>
      <w:r>
        <w:rPr>
          <w:rFonts w:ascii="Garamond" w:hAnsi="Garamond"/>
          <w:i/>
          <w:iCs/>
          <w:sz w:val="24"/>
          <w:szCs w:val="24"/>
        </w:rPr>
        <w:t>transfer</w:t>
      </w:r>
      <w:r>
        <w:rPr>
          <w:rFonts w:ascii="Garamond" w:hAnsi="Garamond"/>
          <w:sz w:val="24"/>
          <w:szCs w:val="24"/>
        </w:rPr>
        <w:t xml:space="preserve"> of capital asset under income tax act</w:t>
      </w:r>
    </w:p>
    <w:p w:rsidR="00C811A0" w:rsidRPr="008C6127" w:rsidRDefault="00C811A0" w:rsidP="00AC08E4">
      <w:pPr>
        <w:pStyle w:val="NoSpacing"/>
        <w:numPr>
          <w:ilvl w:val="0"/>
          <w:numId w:val="18"/>
        </w:numPr>
        <w:jc w:val="both"/>
        <w:rPr>
          <w:rFonts w:ascii="Garamond" w:hAnsi="Garamond"/>
          <w:sz w:val="24"/>
          <w:szCs w:val="24"/>
        </w:rPr>
      </w:pPr>
      <w:r>
        <w:rPr>
          <w:rFonts w:ascii="Garamond" w:hAnsi="Garamond"/>
          <w:sz w:val="24"/>
          <w:szCs w:val="24"/>
        </w:rPr>
        <w:t>Taxability of it is to be decided under provisions of income tax Act 1961</w:t>
      </w:r>
    </w:p>
    <w:p w:rsidR="004B16B2" w:rsidRDefault="008468DD" w:rsidP="00F43703">
      <w:pPr>
        <w:pStyle w:val="NoSpacing"/>
        <w:jc w:val="both"/>
        <w:rPr>
          <w:rFonts w:ascii="Garamond" w:hAnsi="Garamond"/>
          <w:sz w:val="24"/>
          <w:szCs w:val="24"/>
        </w:rPr>
      </w:pPr>
      <w:r>
        <w:rPr>
          <w:rFonts w:ascii="Garamond" w:hAnsi="Garamond"/>
          <w:sz w:val="24"/>
          <w:szCs w:val="24"/>
        </w:rPr>
        <w:t>Aforesaid scheme is treated as slump sale &amp; capital gain provisions would be attracted. Cost of acquisition shall be determined as per 50B</w:t>
      </w:r>
    </w:p>
    <w:p w:rsidR="00F43703" w:rsidRPr="00CF3854" w:rsidRDefault="00AF7B85" w:rsidP="00F43703">
      <w:pPr>
        <w:pStyle w:val="NoSpacing"/>
        <w:jc w:val="both"/>
        <w:rPr>
          <w:rFonts w:ascii="Garamond" w:hAnsi="Garamond"/>
          <w:b/>
          <w:bCs/>
          <w:i/>
          <w:iCs/>
          <w:sz w:val="24"/>
          <w:szCs w:val="24"/>
        </w:rPr>
      </w:pPr>
      <w:r>
        <w:rPr>
          <w:rFonts w:ascii="Garamond" w:hAnsi="Garamond"/>
          <w:b/>
          <w:bCs/>
          <w:i/>
          <w:iCs/>
          <w:sz w:val="24"/>
          <w:szCs w:val="24"/>
        </w:rPr>
        <w:lastRenderedPageBreak/>
        <w:t xml:space="preserve">9. </w:t>
      </w:r>
      <w:r w:rsidR="00F43703" w:rsidRPr="00CF3854">
        <w:rPr>
          <w:rFonts w:ascii="Garamond" w:hAnsi="Garamond"/>
          <w:b/>
          <w:bCs/>
          <w:i/>
          <w:iCs/>
          <w:sz w:val="24"/>
          <w:szCs w:val="24"/>
        </w:rPr>
        <w:t>Can advance given to employees and security deposit paid to the landlord by the amalgamating company, which became irrecoverable, be allowed as a business loss in the hands of the amalgamated company?</w:t>
      </w:r>
    </w:p>
    <w:p w:rsidR="00F43703" w:rsidRPr="00E83C8A" w:rsidRDefault="00F43703" w:rsidP="00F43703">
      <w:pPr>
        <w:pStyle w:val="NoSpacing"/>
        <w:jc w:val="both"/>
        <w:rPr>
          <w:rFonts w:ascii="Garamond" w:hAnsi="Garamond"/>
          <w:b/>
          <w:bCs/>
          <w:i/>
          <w:iCs/>
          <w:sz w:val="24"/>
          <w:szCs w:val="24"/>
          <w:u w:val="single"/>
        </w:rPr>
      </w:pPr>
      <w:r w:rsidRPr="00E83C8A">
        <w:rPr>
          <w:rFonts w:ascii="Garamond" w:hAnsi="Garamond"/>
          <w:b/>
          <w:bCs/>
          <w:i/>
          <w:iCs/>
          <w:sz w:val="24"/>
          <w:szCs w:val="24"/>
          <w:u w:val="single"/>
        </w:rPr>
        <w:t>CIT v. Triveni Engg. &amp; Industries Ltd. (Del)</w:t>
      </w:r>
    </w:p>
    <w:p w:rsidR="00F43703" w:rsidRDefault="00F43703" w:rsidP="00F43703">
      <w:pPr>
        <w:pStyle w:val="NoSpacing"/>
        <w:jc w:val="both"/>
        <w:rPr>
          <w:rFonts w:ascii="Garamond" w:hAnsi="Garamond"/>
          <w:sz w:val="24"/>
          <w:szCs w:val="24"/>
        </w:rPr>
      </w:pPr>
    </w:p>
    <w:p w:rsidR="00F43703" w:rsidRPr="00D8527B" w:rsidRDefault="00D8527B" w:rsidP="00F43703">
      <w:pPr>
        <w:pStyle w:val="NoSpacing"/>
        <w:jc w:val="both"/>
        <w:rPr>
          <w:rFonts w:ascii="Garamond" w:hAnsi="Garamond"/>
          <w:sz w:val="24"/>
          <w:szCs w:val="24"/>
        </w:rPr>
      </w:pPr>
      <w:r>
        <w:rPr>
          <w:rFonts w:ascii="Garamond" w:hAnsi="Garamond"/>
          <w:b/>
          <w:bCs/>
          <w:i/>
          <w:iCs/>
          <w:sz w:val="24"/>
          <w:szCs w:val="24"/>
        </w:rPr>
        <w:t>Point of difference</w:t>
      </w:r>
      <w:r>
        <w:rPr>
          <w:rFonts w:ascii="Garamond" w:hAnsi="Garamond"/>
          <w:sz w:val="24"/>
          <w:szCs w:val="24"/>
        </w:rPr>
        <w:t xml:space="preserve">: assessee – amalgamated Co written off the aforesaid items in its books of accounts as it was irrecoverable. AO disallowed it saying it is not directly related to carrying on business of </w:t>
      </w:r>
      <w:r w:rsidR="0066521F">
        <w:rPr>
          <w:rFonts w:ascii="Garamond" w:hAnsi="Garamond"/>
          <w:sz w:val="24"/>
          <w:szCs w:val="24"/>
        </w:rPr>
        <w:t>assessee (amalgamated Co) nor is it incidental to same</w:t>
      </w:r>
    </w:p>
    <w:p w:rsidR="00E83C8A" w:rsidRDefault="00306E02" w:rsidP="00F43703">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w:t>
      </w:r>
      <w:r w:rsidR="00B9575E">
        <w:rPr>
          <w:rFonts w:ascii="Garamond" w:hAnsi="Garamond"/>
          <w:sz w:val="24"/>
          <w:szCs w:val="24"/>
        </w:rPr>
        <w:t xml:space="preserve">HC held that </w:t>
      </w:r>
    </w:p>
    <w:p w:rsidR="00306E02" w:rsidRDefault="00B9575E" w:rsidP="00306E02">
      <w:pPr>
        <w:pStyle w:val="NoSpacing"/>
        <w:numPr>
          <w:ilvl w:val="0"/>
          <w:numId w:val="9"/>
        </w:numPr>
        <w:jc w:val="both"/>
        <w:rPr>
          <w:rFonts w:ascii="Garamond" w:hAnsi="Garamond"/>
          <w:sz w:val="24"/>
          <w:szCs w:val="24"/>
        </w:rPr>
      </w:pPr>
      <w:r>
        <w:rPr>
          <w:rFonts w:ascii="Garamond" w:hAnsi="Garamond"/>
          <w:sz w:val="24"/>
          <w:szCs w:val="24"/>
        </w:rPr>
        <w:t xml:space="preserve">Advances to employees were given in the ordinary course of business by way of temporary financial accommodation to be recovered out of salary paid to employees. Such advance given to persons employed by assessee Co which has become irrecoverable would be treated as </w:t>
      </w:r>
      <w:r>
        <w:rPr>
          <w:rFonts w:ascii="Garamond" w:hAnsi="Garamond"/>
          <w:i/>
          <w:iCs/>
          <w:sz w:val="24"/>
          <w:szCs w:val="24"/>
        </w:rPr>
        <w:t>business loss</w:t>
      </w:r>
    </w:p>
    <w:p w:rsidR="009A0442" w:rsidRPr="00306E02" w:rsidRDefault="009A0442" w:rsidP="00306E02">
      <w:pPr>
        <w:pStyle w:val="NoSpacing"/>
        <w:numPr>
          <w:ilvl w:val="0"/>
          <w:numId w:val="9"/>
        </w:numPr>
        <w:jc w:val="both"/>
        <w:rPr>
          <w:rFonts w:ascii="Garamond" w:hAnsi="Garamond"/>
          <w:sz w:val="24"/>
          <w:szCs w:val="24"/>
        </w:rPr>
      </w:pPr>
      <w:r>
        <w:rPr>
          <w:rFonts w:ascii="Garamond" w:hAnsi="Garamond"/>
          <w:sz w:val="24"/>
          <w:szCs w:val="24"/>
        </w:rPr>
        <w:t xml:space="preserve">Security deposits were refundable &amp; not in the form of rent. Assessee obtained right to use property, i.e. tenancy right, which is a capital asset. Therefore it is </w:t>
      </w:r>
      <w:r w:rsidRPr="009A0442">
        <w:rPr>
          <w:rFonts w:ascii="Garamond" w:hAnsi="Garamond"/>
          <w:i/>
          <w:iCs/>
          <w:sz w:val="24"/>
          <w:szCs w:val="24"/>
        </w:rPr>
        <w:t>not allowable as business loss</w:t>
      </w:r>
    </w:p>
    <w:p w:rsidR="00F961D4" w:rsidRDefault="00F961D4" w:rsidP="00D2690B">
      <w:pPr>
        <w:pStyle w:val="NoSpacing"/>
        <w:jc w:val="both"/>
        <w:rPr>
          <w:rFonts w:ascii="Garamond" w:hAnsi="Garamond"/>
          <w:b/>
          <w:bCs/>
          <w:i/>
          <w:iCs/>
          <w:sz w:val="24"/>
          <w:szCs w:val="24"/>
        </w:rPr>
      </w:pPr>
    </w:p>
    <w:p w:rsidR="00E30A60" w:rsidRPr="00CF3854" w:rsidRDefault="00AF7B85" w:rsidP="00D2690B">
      <w:pPr>
        <w:pStyle w:val="NoSpacing"/>
        <w:jc w:val="both"/>
        <w:rPr>
          <w:rFonts w:ascii="Garamond" w:hAnsi="Garamond"/>
          <w:b/>
          <w:bCs/>
          <w:i/>
          <w:iCs/>
          <w:sz w:val="24"/>
          <w:szCs w:val="24"/>
        </w:rPr>
      </w:pPr>
      <w:r>
        <w:rPr>
          <w:rFonts w:ascii="Garamond" w:hAnsi="Garamond"/>
          <w:b/>
          <w:bCs/>
          <w:i/>
          <w:iCs/>
          <w:sz w:val="24"/>
          <w:szCs w:val="24"/>
        </w:rPr>
        <w:t xml:space="preserve">10. </w:t>
      </w:r>
      <w:r w:rsidR="00846200">
        <w:rPr>
          <w:rFonts w:ascii="Garamond" w:hAnsi="Garamond"/>
          <w:b/>
          <w:bCs/>
          <w:i/>
          <w:iCs/>
          <w:sz w:val="24"/>
          <w:szCs w:val="24"/>
        </w:rPr>
        <w:t>C</w:t>
      </w:r>
      <w:r w:rsidR="00E30A60" w:rsidRPr="00CF3854">
        <w:rPr>
          <w:rFonts w:ascii="Garamond" w:hAnsi="Garamond"/>
          <w:b/>
          <w:bCs/>
          <w:i/>
          <w:iCs/>
          <w:sz w:val="24"/>
          <w:szCs w:val="24"/>
        </w:rPr>
        <w:t>an Explanation to section 11(2) be applied in respect of the accumulation up to 15% referred to in section 11(1)(a), to treat the donation made to another charitable trust from the permissible accumulation upto 15% as income of the trust?</w:t>
      </w:r>
    </w:p>
    <w:p w:rsidR="0060390A" w:rsidRPr="00AA49EC" w:rsidRDefault="0060390A" w:rsidP="00D2690B">
      <w:pPr>
        <w:pStyle w:val="NoSpacing"/>
        <w:jc w:val="both"/>
        <w:rPr>
          <w:rFonts w:ascii="Garamond" w:hAnsi="Garamond"/>
          <w:b/>
          <w:bCs/>
          <w:i/>
          <w:iCs/>
          <w:sz w:val="24"/>
          <w:szCs w:val="24"/>
          <w:u w:val="single"/>
        </w:rPr>
      </w:pPr>
      <w:r w:rsidRPr="00AA49EC">
        <w:rPr>
          <w:rFonts w:ascii="Garamond" w:hAnsi="Garamond"/>
          <w:b/>
          <w:bCs/>
          <w:i/>
          <w:iCs/>
          <w:sz w:val="24"/>
          <w:szCs w:val="24"/>
          <w:u w:val="single"/>
        </w:rPr>
        <w:t>DIT</w:t>
      </w:r>
      <w:r w:rsidR="00DA0348" w:rsidRPr="00AA49EC">
        <w:rPr>
          <w:rFonts w:ascii="Garamond" w:hAnsi="Garamond"/>
          <w:b/>
          <w:bCs/>
          <w:i/>
          <w:iCs/>
          <w:sz w:val="24"/>
          <w:szCs w:val="24"/>
          <w:u w:val="single"/>
        </w:rPr>
        <w:t xml:space="preserve"> </w:t>
      </w:r>
      <w:r w:rsidRPr="00AA49EC">
        <w:rPr>
          <w:rFonts w:ascii="Garamond" w:hAnsi="Garamond"/>
          <w:b/>
          <w:bCs/>
          <w:i/>
          <w:iCs/>
          <w:sz w:val="24"/>
          <w:szCs w:val="24"/>
          <w:u w:val="single"/>
        </w:rPr>
        <w:t>(Exemption) v. Bagri Foundation</w:t>
      </w:r>
      <w:r w:rsidR="003F6C30" w:rsidRPr="00AA49EC">
        <w:rPr>
          <w:rFonts w:ascii="Garamond" w:hAnsi="Garamond"/>
          <w:b/>
          <w:bCs/>
          <w:i/>
          <w:iCs/>
          <w:sz w:val="24"/>
          <w:szCs w:val="24"/>
          <w:u w:val="single"/>
        </w:rPr>
        <w:t xml:space="preserve"> (Del)</w:t>
      </w:r>
    </w:p>
    <w:p w:rsidR="00F961D4" w:rsidRDefault="00F961D4" w:rsidP="00D2690B">
      <w:pPr>
        <w:pStyle w:val="NoSpacing"/>
        <w:jc w:val="both"/>
        <w:rPr>
          <w:rFonts w:ascii="Garamond" w:hAnsi="Garamond"/>
          <w:b/>
          <w:bCs/>
          <w:i/>
          <w:iCs/>
          <w:sz w:val="24"/>
          <w:szCs w:val="24"/>
        </w:rPr>
      </w:pPr>
    </w:p>
    <w:p w:rsidR="00E30A60" w:rsidRDefault="00150226" w:rsidP="00D2690B">
      <w:pPr>
        <w:pStyle w:val="NoSpacing"/>
        <w:jc w:val="both"/>
        <w:rPr>
          <w:rFonts w:ascii="Garamond" w:hAnsi="Garamond"/>
          <w:sz w:val="24"/>
          <w:szCs w:val="24"/>
        </w:rPr>
      </w:pPr>
      <w:r>
        <w:rPr>
          <w:rFonts w:ascii="Garamond" w:hAnsi="Garamond"/>
          <w:b/>
          <w:bCs/>
          <w:i/>
          <w:iCs/>
          <w:sz w:val="24"/>
          <w:szCs w:val="24"/>
        </w:rPr>
        <w:t>Facts:</w:t>
      </w:r>
      <w:r>
        <w:rPr>
          <w:rFonts w:ascii="Garamond" w:hAnsi="Garamond"/>
          <w:sz w:val="24"/>
          <w:szCs w:val="24"/>
        </w:rPr>
        <w:t xml:space="preserve"> assessee is a registered charitable trust recognised u/s 80G. Donations were made to corpus of another trust which was higher than gross total income declared in return of income. Source of donation was accumulation of income of past made u/s 11(1)(a) (out of permissible accumulation upto 15%)</w:t>
      </w:r>
    </w:p>
    <w:p w:rsidR="00150226" w:rsidRDefault="008D439F" w:rsidP="00D2690B">
      <w:pPr>
        <w:pStyle w:val="NoSpacing"/>
        <w:jc w:val="both"/>
        <w:rPr>
          <w:rFonts w:ascii="Garamond" w:hAnsi="Garamond"/>
          <w:sz w:val="24"/>
          <w:szCs w:val="24"/>
        </w:rPr>
      </w:pPr>
      <w:r>
        <w:rPr>
          <w:rFonts w:ascii="Garamond" w:hAnsi="Garamond"/>
          <w:b/>
          <w:bCs/>
          <w:i/>
          <w:iCs/>
          <w:sz w:val="24"/>
          <w:szCs w:val="24"/>
        </w:rPr>
        <w:t xml:space="preserve">Point of difference: </w:t>
      </w:r>
      <w:r>
        <w:rPr>
          <w:rFonts w:ascii="Garamond" w:hAnsi="Garamond"/>
          <w:sz w:val="24"/>
          <w:szCs w:val="24"/>
        </w:rPr>
        <w:t>AO added such donation &amp; computed taxable income</w:t>
      </w:r>
    </w:p>
    <w:p w:rsidR="00D00DA3" w:rsidRDefault="00D00DA3" w:rsidP="00D2690B">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HC held that</w:t>
      </w:r>
    </w:p>
    <w:p w:rsidR="00D00DA3" w:rsidRDefault="00D00DA3" w:rsidP="00D00DA3">
      <w:pPr>
        <w:pStyle w:val="NoSpacing"/>
        <w:numPr>
          <w:ilvl w:val="0"/>
          <w:numId w:val="2"/>
        </w:numPr>
        <w:jc w:val="both"/>
        <w:rPr>
          <w:rFonts w:ascii="Garamond" w:hAnsi="Garamond"/>
          <w:sz w:val="24"/>
          <w:szCs w:val="24"/>
        </w:rPr>
      </w:pPr>
      <w:r>
        <w:rPr>
          <w:rFonts w:ascii="Garamond" w:hAnsi="Garamond"/>
          <w:sz w:val="24"/>
          <w:szCs w:val="24"/>
        </w:rPr>
        <w:t>As per section 11(1)(a) accumulations upto 15% is permitted without any conditions</w:t>
      </w:r>
    </w:p>
    <w:p w:rsidR="00D00DA3" w:rsidRDefault="00D00DA3" w:rsidP="00AA49EC">
      <w:pPr>
        <w:pStyle w:val="NoSpacing"/>
        <w:numPr>
          <w:ilvl w:val="0"/>
          <w:numId w:val="2"/>
        </w:numPr>
        <w:jc w:val="both"/>
        <w:rPr>
          <w:rFonts w:ascii="Garamond" w:hAnsi="Garamond"/>
          <w:sz w:val="24"/>
          <w:szCs w:val="24"/>
        </w:rPr>
      </w:pPr>
      <w:r>
        <w:rPr>
          <w:rFonts w:ascii="Garamond" w:hAnsi="Garamond"/>
          <w:sz w:val="24"/>
          <w:szCs w:val="24"/>
        </w:rPr>
        <w:t>As per section 11(2) accumulations in excess of 15% is permitted subject to conditions [i.e. excess of 15% cannot be donated to another trust]</w:t>
      </w:r>
    </w:p>
    <w:p w:rsidR="00AA49EC" w:rsidRPr="00D00DA3" w:rsidRDefault="00D00DA3" w:rsidP="0043708D">
      <w:pPr>
        <w:pStyle w:val="NoSpacing"/>
        <w:ind w:left="180"/>
        <w:jc w:val="both"/>
        <w:rPr>
          <w:rFonts w:ascii="Garamond" w:hAnsi="Garamond"/>
          <w:sz w:val="24"/>
          <w:szCs w:val="24"/>
        </w:rPr>
      </w:pPr>
      <w:r w:rsidRPr="00D00DA3">
        <w:rPr>
          <w:rFonts w:ascii="Garamond" w:hAnsi="Garamond"/>
          <w:sz w:val="24"/>
          <w:szCs w:val="24"/>
        </w:rPr>
        <w:t>E</w:t>
      </w:r>
      <w:r w:rsidR="00AA49EC" w:rsidRPr="00D00DA3">
        <w:rPr>
          <w:rFonts w:ascii="Garamond" w:hAnsi="Garamond"/>
          <w:sz w:val="24"/>
          <w:szCs w:val="24"/>
        </w:rPr>
        <w:t>ven if donations</w:t>
      </w:r>
      <w:r w:rsidR="00D93332">
        <w:rPr>
          <w:rFonts w:ascii="Garamond" w:hAnsi="Garamond"/>
          <w:sz w:val="24"/>
          <w:szCs w:val="24"/>
        </w:rPr>
        <w:t xml:space="preserve"> by assessee</w:t>
      </w:r>
      <w:r w:rsidR="00AA49EC" w:rsidRPr="00D00DA3">
        <w:rPr>
          <w:rFonts w:ascii="Garamond" w:hAnsi="Garamond"/>
          <w:sz w:val="24"/>
          <w:szCs w:val="24"/>
        </w:rPr>
        <w:t xml:space="preserve"> to another charitable trust were out of past accumulations u/s 11(1)(a) i.e. upto 15%, the same would not be liable to be included in total income</w:t>
      </w:r>
    </w:p>
    <w:p w:rsidR="00B94276" w:rsidRDefault="00B94276" w:rsidP="00B94276">
      <w:pPr>
        <w:pStyle w:val="NoSpacing"/>
        <w:jc w:val="both"/>
        <w:rPr>
          <w:rFonts w:ascii="Garamond" w:hAnsi="Garamond"/>
          <w:sz w:val="24"/>
          <w:szCs w:val="24"/>
        </w:rPr>
      </w:pPr>
    </w:p>
    <w:p w:rsidR="00B94276" w:rsidRPr="00B94276" w:rsidRDefault="00AF7B85" w:rsidP="00B94276">
      <w:pPr>
        <w:pStyle w:val="Default"/>
        <w:jc w:val="both"/>
        <w:rPr>
          <w:rFonts w:ascii="Garamond" w:hAnsi="Garamond"/>
          <w:b/>
          <w:bCs/>
          <w:i/>
          <w:iCs/>
        </w:rPr>
      </w:pPr>
      <w:r>
        <w:rPr>
          <w:rFonts w:ascii="Garamond" w:hAnsi="Garamond"/>
          <w:b/>
          <w:bCs/>
          <w:i/>
          <w:iCs/>
        </w:rPr>
        <w:t xml:space="preserve">11. </w:t>
      </w:r>
      <w:r w:rsidR="00B94276" w:rsidRPr="00B94276">
        <w:rPr>
          <w:rFonts w:ascii="Garamond" w:hAnsi="Garamond"/>
          <w:b/>
          <w:bCs/>
          <w:i/>
          <w:iCs/>
        </w:rPr>
        <w:t xml:space="preserve">Would an asset which is sold the very </w:t>
      </w:r>
      <w:r w:rsidR="00701259">
        <w:rPr>
          <w:rFonts w:ascii="Garamond" w:hAnsi="Garamond"/>
          <w:b/>
          <w:bCs/>
          <w:i/>
          <w:iCs/>
        </w:rPr>
        <w:t>next day after the period of 12/</w:t>
      </w:r>
      <w:r w:rsidR="00B94276" w:rsidRPr="00B94276">
        <w:rPr>
          <w:rFonts w:ascii="Garamond" w:hAnsi="Garamond"/>
          <w:b/>
          <w:bCs/>
          <w:i/>
          <w:iCs/>
        </w:rPr>
        <w:t>36 months is over, be treated as long-term capital asset by including both the date on which the asset is acquired and the date on which the asset is transferred for computing period of holding?</w:t>
      </w:r>
    </w:p>
    <w:p w:rsidR="00B94276" w:rsidRPr="00B94276" w:rsidRDefault="00B94276" w:rsidP="00B94276">
      <w:pPr>
        <w:pStyle w:val="NoSpacing"/>
        <w:jc w:val="both"/>
        <w:rPr>
          <w:rFonts w:ascii="Garamond" w:hAnsi="Garamond"/>
          <w:b/>
          <w:bCs/>
          <w:i/>
          <w:iCs/>
          <w:sz w:val="24"/>
          <w:szCs w:val="24"/>
          <w:u w:val="single"/>
        </w:rPr>
      </w:pPr>
      <w:r w:rsidRPr="00B94276">
        <w:rPr>
          <w:rFonts w:ascii="Garamond" w:hAnsi="Garamond"/>
          <w:b/>
          <w:bCs/>
          <w:i/>
          <w:iCs/>
          <w:sz w:val="24"/>
          <w:szCs w:val="24"/>
          <w:u w:val="single"/>
        </w:rPr>
        <w:t>Bharti Gupta Ramola v. CIT (Del)</w:t>
      </w:r>
    </w:p>
    <w:p w:rsidR="00B94276" w:rsidRDefault="00B94276" w:rsidP="00B94276">
      <w:pPr>
        <w:pStyle w:val="NoSpacing"/>
        <w:jc w:val="both"/>
        <w:rPr>
          <w:rFonts w:ascii="Garamond" w:hAnsi="Garamond"/>
          <w:sz w:val="24"/>
          <w:szCs w:val="24"/>
        </w:rPr>
      </w:pPr>
    </w:p>
    <w:p w:rsidR="00B94276" w:rsidRDefault="00950024" w:rsidP="00B94276">
      <w:pPr>
        <w:pStyle w:val="NoSpacing"/>
        <w:jc w:val="both"/>
        <w:rPr>
          <w:rFonts w:ascii="Garamond" w:hAnsi="Garamond"/>
          <w:sz w:val="24"/>
          <w:szCs w:val="24"/>
        </w:rPr>
      </w:pPr>
      <w:r>
        <w:rPr>
          <w:rFonts w:ascii="Garamond" w:hAnsi="Garamond"/>
          <w:sz w:val="24"/>
          <w:szCs w:val="24"/>
        </w:rPr>
        <w:t xml:space="preserve">Sec 2(42A) stipulates that if asset is held for 36/12 months or less, it will be a STCA. </w:t>
      </w:r>
      <w:r w:rsidR="00631CB5">
        <w:rPr>
          <w:rFonts w:ascii="Garamond" w:hAnsi="Garamond"/>
          <w:sz w:val="24"/>
          <w:szCs w:val="24"/>
        </w:rPr>
        <w:t>For computing period of 36/12months, neither date on which asset is acquired nor date of sale/transfer is to be excluded</w:t>
      </w:r>
      <w:r w:rsidR="00BB44F5">
        <w:rPr>
          <w:rFonts w:ascii="Garamond" w:hAnsi="Garamond"/>
          <w:sz w:val="24"/>
          <w:szCs w:val="24"/>
        </w:rPr>
        <w:t>. If asset is held for 12/36months &amp; is sold the very next day after the period of 12/36 months is over, asset would be treated as LTCA</w:t>
      </w:r>
    </w:p>
    <w:p w:rsidR="00B94276" w:rsidRDefault="00B94276" w:rsidP="00B94276">
      <w:pPr>
        <w:pStyle w:val="NoSpacing"/>
        <w:jc w:val="both"/>
        <w:rPr>
          <w:rFonts w:ascii="Garamond" w:hAnsi="Garamond"/>
          <w:sz w:val="24"/>
          <w:szCs w:val="24"/>
        </w:rPr>
      </w:pPr>
    </w:p>
    <w:p w:rsidR="00CB6AAC" w:rsidRPr="00CB6AAC" w:rsidRDefault="00AF7B85" w:rsidP="00CB6AAC">
      <w:pPr>
        <w:pStyle w:val="Default"/>
        <w:jc w:val="both"/>
        <w:rPr>
          <w:rFonts w:ascii="Garamond" w:hAnsi="Garamond"/>
          <w:b/>
          <w:bCs/>
          <w:i/>
          <w:iCs/>
        </w:rPr>
      </w:pPr>
      <w:r>
        <w:rPr>
          <w:rFonts w:ascii="Garamond" w:hAnsi="Garamond"/>
          <w:b/>
          <w:bCs/>
          <w:i/>
          <w:iCs/>
        </w:rPr>
        <w:t xml:space="preserve">12. </w:t>
      </w:r>
      <w:r w:rsidR="00CB6AAC" w:rsidRPr="00CB6AAC">
        <w:rPr>
          <w:rFonts w:ascii="Garamond" w:hAnsi="Garamond"/>
          <w:b/>
          <w:bCs/>
          <w:i/>
          <w:iCs/>
        </w:rPr>
        <w:t>Does standing charges paid by the client for failure to purchase the minimum agreed quantity, qualify for deduction under section 80-IC?</w:t>
      </w:r>
    </w:p>
    <w:p w:rsidR="00B94276" w:rsidRPr="00CB6AAC" w:rsidRDefault="00B94276" w:rsidP="00B94276">
      <w:pPr>
        <w:pStyle w:val="NoSpacing"/>
        <w:jc w:val="both"/>
        <w:rPr>
          <w:rFonts w:ascii="Garamond" w:hAnsi="Garamond"/>
          <w:b/>
          <w:bCs/>
          <w:i/>
          <w:iCs/>
          <w:sz w:val="24"/>
          <w:szCs w:val="24"/>
          <w:u w:val="single"/>
        </w:rPr>
      </w:pPr>
      <w:r w:rsidRPr="00CB6AAC">
        <w:rPr>
          <w:rFonts w:ascii="Garamond" w:hAnsi="Garamond"/>
          <w:b/>
          <w:bCs/>
          <w:i/>
          <w:iCs/>
          <w:sz w:val="24"/>
          <w:szCs w:val="24"/>
          <w:u w:val="single"/>
        </w:rPr>
        <w:t>Pine Packaging (P.) Ltd.</w:t>
      </w:r>
      <w:r w:rsidR="00CA6FBC">
        <w:rPr>
          <w:rFonts w:ascii="Garamond" w:hAnsi="Garamond"/>
          <w:b/>
          <w:bCs/>
          <w:i/>
          <w:iCs/>
          <w:sz w:val="24"/>
          <w:szCs w:val="24"/>
          <w:u w:val="single"/>
        </w:rPr>
        <w:t xml:space="preserve"> </w:t>
      </w:r>
      <w:r w:rsidRPr="00CB6AAC">
        <w:rPr>
          <w:rFonts w:ascii="Garamond" w:hAnsi="Garamond"/>
          <w:b/>
          <w:bCs/>
          <w:i/>
          <w:iCs/>
          <w:sz w:val="24"/>
          <w:szCs w:val="24"/>
          <w:u w:val="single"/>
        </w:rPr>
        <w:t>v.</w:t>
      </w:r>
      <w:r w:rsidR="00CA6FBC">
        <w:rPr>
          <w:rFonts w:ascii="Garamond" w:hAnsi="Garamond"/>
          <w:b/>
          <w:bCs/>
          <w:i/>
          <w:iCs/>
          <w:sz w:val="24"/>
          <w:szCs w:val="24"/>
          <w:u w:val="single"/>
        </w:rPr>
        <w:t xml:space="preserve"> </w:t>
      </w:r>
      <w:r w:rsidRPr="00CB6AAC">
        <w:rPr>
          <w:rFonts w:ascii="Garamond" w:hAnsi="Garamond"/>
          <w:b/>
          <w:bCs/>
          <w:i/>
          <w:iCs/>
          <w:sz w:val="24"/>
          <w:szCs w:val="24"/>
          <w:u w:val="single"/>
        </w:rPr>
        <w:t>CIT (Del)</w:t>
      </w:r>
    </w:p>
    <w:p w:rsidR="00B94276" w:rsidRDefault="00B94276" w:rsidP="00D2690B">
      <w:pPr>
        <w:pStyle w:val="NoSpacing"/>
        <w:jc w:val="both"/>
        <w:rPr>
          <w:rFonts w:ascii="Garamond" w:hAnsi="Garamond"/>
          <w:sz w:val="24"/>
          <w:szCs w:val="24"/>
        </w:rPr>
      </w:pPr>
    </w:p>
    <w:p w:rsidR="008A2792" w:rsidRDefault="00F324EB" w:rsidP="00D2690B">
      <w:pPr>
        <w:pStyle w:val="NoSpacing"/>
        <w:jc w:val="both"/>
        <w:rPr>
          <w:rFonts w:ascii="Garamond" w:hAnsi="Garamond"/>
          <w:sz w:val="24"/>
          <w:szCs w:val="24"/>
        </w:rPr>
      </w:pPr>
      <w:r>
        <w:rPr>
          <w:rFonts w:ascii="Garamond" w:hAnsi="Garamond"/>
          <w:sz w:val="24"/>
          <w:szCs w:val="24"/>
        </w:rPr>
        <w:t>HC held that it cannot be held as profit/gain derived by an eligible enterprise from its manufacturing or production activities.</w:t>
      </w:r>
      <w:r w:rsidR="001B1FFA">
        <w:rPr>
          <w:rFonts w:ascii="Garamond" w:hAnsi="Garamond"/>
          <w:sz w:val="24"/>
          <w:szCs w:val="24"/>
        </w:rPr>
        <w:t xml:space="preserve"> Said standing charges are in the nature of compensation for non-utilisation of plant &amp; machinery due to lack of orders. </w:t>
      </w:r>
      <w:r w:rsidR="008A2792">
        <w:rPr>
          <w:rFonts w:ascii="Garamond" w:hAnsi="Garamond"/>
          <w:sz w:val="24"/>
          <w:szCs w:val="24"/>
        </w:rPr>
        <w:t>The said charges were paid to compensate assessee for failure to produce &amp; market its products.</w:t>
      </w:r>
    </w:p>
    <w:p w:rsidR="008A2792" w:rsidRDefault="008A2792" w:rsidP="00D2690B">
      <w:pPr>
        <w:pStyle w:val="NoSpacing"/>
        <w:jc w:val="both"/>
        <w:rPr>
          <w:rFonts w:ascii="Garamond" w:hAnsi="Garamond"/>
          <w:sz w:val="24"/>
          <w:szCs w:val="24"/>
        </w:rPr>
      </w:pPr>
      <w:r>
        <w:rPr>
          <w:rFonts w:ascii="Garamond" w:hAnsi="Garamond"/>
          <w:sz w:val="24"/>
          <w:szCs w:val="24"/>
        </w:rPr>
        <w:t>Such standing charges are not eligible for deduction u/s 80-IC</w:t>
      </w:r>
    </w:p>
    <w:p w:rsidR="00AA49EC" w:rsidRDefault="00AA49EC" w:rsidP="00D2690B">
      <w:pPr>
        <w:pStyle w:val="NoSpacing"/>
        <w:jc w:val="both"/>
        <w:rPr>
          <w:rFonts w:ascii="Garamond" w:hAnsi="Garamond"/>
          <w:sz w:val="24"/>
          <w:szCs w:val="24"/>
        </w:rPr>
      </w:pPr>
    </w:p>
    <w:p w:rsidR="00CA1549" w:rsidRPr="00CF3854" w:rsidRDefault="000514B7" w:rsidP="00D2690B">
      <w:pPr>
        <w:pStyle w:val="NoSpacing"/>
        <w:jc w:val="both"/>
        <w:rPr>
          <w:rFonts w:ascii="Garamond" w:hAnsi="Garamond"/>
          <w:b/>
          <w:bCs/>
          <w:i/>
          <w:iCs/>
          <w:sz w:val="24"/>
          <w:szCs w:val="24"/>
        </w:rPr>
      </w:pPr>
      <w:r>
        <w:rPr>
          <w:rFonts w:ascii="Garamond" w:hAnsi="Garamond"/>
          <w:b/>
          <w:bCs/>
          <w:i/>
          <w:iCs/>
          <w:sz w:val="24"/>
          <w:szCs w:val="24"/>
        </w:rPr>
        <w:lastRenderedPageBreak/>
        <w:t xml:space="preserve">13. </w:t>
      </w:r>
      <w:r w:rsidR="00CA1549" w:rsidRPr="00CF3854">
        <w:rPr>
          <w:rFonts w:ascii="Garamond" w:hAnsi="Garamond"/>
          <w:b/>
          <w:bCs/>
          <w:i/>
          <w:iCs/>
          <w:sz w:val="24"/>
          <w:szCs w:val="24"/>
        </w:rPr>
        <w:t>Is the income or expense of an asset management company liable to be assessed on the basis of the maximum limit mentioned in the SEBI regulations or should the assessment be made on the basis of the actual income or expenses charged</w:t>
      </w:r>
      <w:r w:rsidR="001F2C5C">
        <w:rPr>
          <w:rFonts w:ascii="Garamond" w:hAnsi="Garamond"/>
          <w:b/>
          <w:bCs/>
          <w:i/>
          <w:iCs/>
          <w:sz w:val="24"/>
          <w:szCs w:val="24"/>
        </w:rPr>
        <w:t>?</w:t>
      </w:r>
    </w:p>
    <w:p w:rsidR="0097794C" w:rsidRPr="00AC3F70" w:rsidRDefault="0097794C" w:rsidP="00D2690B">
      <w:pPr>
        <w:pStyle w:val="NoSpacing"/>
        <w:jc w:val="both"/>
        <w:rPr>
          <w:rFonts w:ascii="Garamond" w:hAnsi="Garamond"/>
          <w:b/>
          <w:bCs/>
          <w:i/>
          <w:iCs/>
          <w:sz w:val="24"/>
          <w:szCs w:val="24"/>
          <w:u w:val="single"/>
        </w:rPr>
      </w:pPr>
      <w:r w:rsidRPr="00AC3F70">
        <w:rPr>
          <w:rFonts w:ascii="Garamond" w:hAnsi="Garamond"/>
          <w:b/>
          <w:bCs/>
          <w:i/>
          <w:iCs/>
          <w:sz w:val="24"/>
          <w:szCs w:val="24"/>
          <w:u w:val="single"/>
        </w:rPr>
        <w:t>CIT v. Templeton Asset Management (India) P. Ltd.</w:t>
      </w:r>
      <w:r w:rsidR="003F6C30" w:rsidRPr="00AC3F70">
        <w:rPr>
          <w:rFonts w:ascii="Garamond" w:hAnsi="Garamond"/>
          <w:b/>
          <w:bCs/>
          <w:i/>
          <w:iCs/>
          <w:sz w:val="24"/>
          <w:szCs w:val="24"/>
          <w:u w:val="single"/>
        </w:rPr>
        <w:t xml:space="preserve"> (Bom)</w:t>
      </w:r>
    </w:p>
    <w:p w:rsidR="00CA1549" w:rsidRDefault="00CA1549" w:rsidP="00D2690B">
      <w:pPr>
        <w:pStyle w:val="NoSpacing"/>
        <w:jc w:val="both"/>
        <w:rPr>
          <w:rFonts w:ascii="Garamond" w:hAnsi="Garamond"/>
          <w:sz w:val="24"/>
          <w:szCs w:val="24"/>
        </w:rPr>
      </w:pPr>
    </w:p>
    <w:p w:rsidR="00CF3854" w:rsidRDefault="00BE080E" w:rsidP="00D2690B">
      <w:pPr>
        <w:pStyle w:val="NoSpacing"/>
        <w:jc w:val="both"/>
        <w:rPr>
          <w:rFonts w:ascii="Garamond" w:hAnsi="Garamond"/>
          <w:sz w:val="24"/>
          <w:szCs w:val="24"/>
        </w:rPr>
      </w:pPr>
      <w:r>
        <w:rPr>
          <w:rFonts w:ascii="Garamond" w:hAnsi="Garamond"/>
          <w:sz w:val="24"/>
          <w:szCs w:val="24"/>
        </w:rPr>
        <w:t>HC held that:</w:t>
      </w:r>
    </w:p>
    <w:p w:rsidR="00BE080E" w:rsidRDefault="00BE080E" w:rsidP="00BE080E">
      <w:pPr>
        <w:pStyle w:val="NoSpacing"/>
        <w:numPr>
          <w:ilvl w:val="0"/>
          <w:numId w:val="8"/>
        </w:numPr>
        <w:jc w:val="both"/>
        <w:rPr>
          <w:rFonts w:ascii="Garamond" w:hAnsi="Garamond"/>
          <w:sz w:val="24"/>
          <w:szCs w:val="24"/>
        </w:rPr>
      </w:pPr>
      <w:r>
        <w:rPr>
          <w:rFonts w:ascii="Garamond" w:hAnsi="Garamond"/>
          <w:sz w:val="24"/>
          <w:szCs w:val="24"/>
        </w:rPr>
        <w:t xml:space="preserve">Relevant SEBI regulation provides for maximum limit towards fees that could be charged by AMC from mutual funds. </w:t>
      </w:r>
    </w:p>
    <w:p w:rsidR="00BE080E" w:rsidRDefault="00BE080E" w:rsidP="00BE080E">
      <w:pPr>
        <w:pStyle w:val="NoSpacing"/>
        <w:numPr>
          <w:ilvl w:val="0"/>
          <w:numId w:val="8"/>
        </w:numPr>
        <w:jc w:val="both"/>
        <w:rPr>
          <w:rFonts w:ascii="Garamond" w:hAnsi="Garamond"/>
          <w:sz w:val="24"/>
          <w:szCs w:val="24"/>
        </w:rPr>
      </w:pPr>
      <w:r>
        <w:rPr>
          <w:rFonts w:ascii="Garamond" w:hAnsi="Garamond"/>
          <w:sz w:val="24"/>
          <w:szCs w:val="24"/>
        </w:rPr>
        <w:t>If AMC collects lesser fee than ceiling prescribed, it is not open to AO to make additions on notional basis &amp; assess the assessee at maximum amount prescribed under SEBI regulation</w:t>
      </w:r>
    </w:p>
    <w:p w:rsidR="00207D14" w:rsidRDefault="00207D14" w:rsidP="00BE080E">
      <w:pPr>
        <w:pStyle w:val="NoSpacing"/>
        <w:numPr>
          <w:ilvl w:val="0"/>
          <w:numId w:val="8"/>
        </w:numPr>
        <w:jc w:val="both"/>
        <w:rPr>
          <w:rFonts w:ascii="Garamond" w:hAnsi="Garamond"/>
          <w:sz w:val="24"/>
          <w:szCs w:val="24"/>
        </w:rPr>
      </w:pPr>
      <w:r>
        <w:rPr>
          <w:rFonts w:ascii="Garamond" w:hAnsi="Garamond"/>
          <w:sz w:val="24"/>
          <w:szCs w:val="24"/>
        </w:rPr>
        <w:t xml:space="preserve">It is a bonafide decision of assessee to claim part of expense/claim </w:t>
      </w:r>
      <w:r w:rsidR="007C753F">
        <w:rPr>
          <w:rFonts w:ascii="Garamond" w:hAnsi="Garamond"/>
          <w:sz w:val="24"/>
          <w:szCs w:val="24"/>
        </w:rPr>
        <w:t xml:space="preserve">no expense from the mutual fund, &amp; no part of such expense can be disallowed unless </w:t>
      </w:r>
      <w:r w:rsidR="00A60F6E">
        <w:rPr>
          <w:rFonts w:ascii="Garamond" w:hAnsi="Garamond"/>
          <w:sz w:val="24"/>
          <w:szCs w:val="24"/>
        </w:rPr>
        <w:t>it is established that there were no business exigencies or claim was not genuine</w:t>
      </w:r>
    </w:p>
    <w:p w:rsidR="001C6674" w:rsidRDefault="007C753F" w:rsidP="00BE080E">
      <w:pPr>
        <w:pStyle w:val="NoSpacing"/>
        <w:numPr>
          <w:ilvl w:val="0"/>
          <w:numId w:val="8"/>
        </w:numPr>
        <w:jc w:val="both"/>
        <w:rPr>
          <w:rFonts w:ascii="Garamond" w:hAnsi="Garamond"/>
          <w:sz w:val="24"/>
          <w:szCs w:val="24"/>
        </w:rPr>
      </w:pPr>
      <w:r>
        <w:rPr>
          <w:rFonts w:ascii="Garamond" w:hAnsi="Garamond"/>
          <w:sz w:val="24"/>
          <w:szCs w:val="24"/>
        </w:rPr>
        <w:t>SEBI regulations are to ensure mutual funds are not overcharged</w:t>
      </w:r>
    </w:p>
    <w:p w:rsidR="007A2477" w:rsidRDefault="00A60F6E" w:rsidP="007A2477">
      <w:pPr>
        <w:pStyle w:val="NoSpacing"/>
        <w:jc w:val="both"/>
        <w:rPr>
          <w:rFonts w:ascii="Garamond" w:hAnsi="Garamond"/>
          <w:sz w:val="24"/>
          <w:szCs w:val="24"/>
        </w:rPr>
      </w:pPr>
      <w:r>
        <w:rPr>
          <w:rFonts w:ascii="Garamond" w:hAnsi="Garamond"/>
          <w:sz w:val="24"/>
          <w:szCs w:val="24"/>
        </w:rPr>
        <w:t>Disallowance made by AO is not justified as transaction was genuine in nature</w:t>
      </w:r>
    </w:p>
    <w:p w:rsidR="007A2477" w:rsidRDefault="007A2477" w:rsidP="007A2477">
      <w:pPr>
        <w:pStyle w:val="NoSpacing"/>
        <w:jc w:val="both"/>
        <w:rPr>
          <w:rFonts w:ascii="Garamond" w:hAnsi="Garamond"/>
          <w:sz w:val="24"/>
          <w:szCs w:val="24"/>
        </w:rPr>
      </w:pPr>
    </w:p>
    <w:p w:rsidR="007A2477" w:rsidRPr="00CF3854" w:rsidRDefault="009A5C70" w:rsidP="007A2477">
      <w:pPr>
        <w:pStyle w:val="NoSpacing"/>
        <w:jc w:val="both"/>
        <w:rPr>
          <w:rFonts w:ascii="Garamond" w:hAnsi="Garamond"/>
          <w:b/>
          <w:bCs/>
          <w:i/>
          <w:iCs/>
          <w:sz w:val="24"/>
          <w:szCs w:val="24"/>
        </w:rPr>
      </w:pPr>
      <w:r>
        <w:rPr>
          <w:rFonts w:ascii="Garamond" w:hAnsi="Garamond"/>
          <w:b/>
          <w:bCs/>
          <w:i/>
          <w:iCs/>
          <w:sz w:val="24"/>
          <w:szCs w:val="24"/>
        </w:rPr>
        <w:t xml:space="preserve">14. </w:t>
      </w:r>
      <w:r w:rsidR="007A2477" w:rsidRPr="00CF3854">
        <w:rPr>
          <w:rFonts w:ascii="Garamond" w:hAnsi="Garamond"/>
          <w:b/>
          <w:bCs/>
          <w:i/>
          <w:iCs/>
          <w:sz w:val="24"/>
          <w:szCs w:val="24"/>
        </w:rPr>
        <w:t>Can non-cumulative preference shares carrying a fixed rate of dividend with a fixed holding period be said to be equated with bonds or debentures so as to deny the indexation benefit while computing capital gain on its transfer, applying the third proviso to section 48?</w:t>
      </w:r>
    </w:p>
    <w:p w:rsidR="007A2477" w:rsidRPr="006115C2" w:rsidRDefault="007A2477" w:rsidP="007A2477">
      <w:pPr>
        <w:pStyle w:val="NoSpacing"/>
        <w:jc w:val="both"/>
        <w:rPr>
          <w:rFonts w:ascii="Garamond" w:hAnsi="Garamond"/>
          <w:b/>
          <w:bCs/>
          <w:i/>
          <w:iCs/>
          <w:sz w:val="24"/>
          <w:szCs w:val="24"/>
          <w:u w:val="single"/>
        </w:rPr>
      </w:pPr>
      <w:r w:rsidRPr="006115C2">
        <w:rPr>
          <w:rFonts w:ascii="Garamond" w:hAnsi="Garamond"/>
          <w:b/>
          <w:bCs/>
          <w:i/>
          <w:iCs/>
          <w:sz w:val="24"/>
          <w:szCs w:val="24"/>
          <w:u w:val="single"/>
        </w:rPr>
        <w:t>CIT v. Enam Securities P. Ltd. (Bom)</w:t>
      </w:r>
    </w:p>
    <w:p w:rsidR="007A2477" w:rsidRDefault="007A2477" w:rsidP="007A2477">
      <w:pPr>
        <w:pStyle w:val="NoSpacing"/>
        <w:jc w:val="both"/>
        <w:rPr>
          <w:rFonts w:ascii="Garamond" w:hAnsi="Garamond"/>
          <w:sz w:val="24"/>
          <w:szCs w:val="24"/>
        </w:rPr>
      </w:pPr>
    </w:p>
    <w:p w:rsidR="007A2477" w:rsidRDefault="00430BF5" w:rsidP="00430BF5">
      <w:pPr>
        <w:pStyle w:val="NoSpacing"/>
        <w:numPr>
          <w:ilvl w:val="0"/>
          <w:numId w:val="15"/>
        </w:numPr>
        <w:jc w:val="both"/>
        <w:rPr>
          <w:rFonts w:ascii="Garamond" w:hAnsi="Garamond"/>
          <w:sz w:val="24"/>
          <w:szCs w:val="24"/>
        </w:rPr>
      </w:pPr>
      <w:r>
        <w:rPr>
          <w:rFonts w:ascii="Garamond" w:hAnsi="Garamond"/>
          <w:sz w:val="24"/>
          <w:szCs w:val="24"/>
        </w:rPr>
        <w:t>48(3) – indexation benefit is not available on transfer of LTCA being bond or debenture other than capital indexed bonds issued by Gov</w:t>
      </w:r>
    </w:p>
    <w:p w:rsidR="00866F03" w:rsidRDefault="00866F03" w:rsidP="00866F03">
      <w:pPr>
        <w:pStyle w:val="NoSpacing"/>
        <w:jc w:val="both"/>
        <w:rPr>
          <w:rFonts w:ascii="Garamond" w:hAnsi="Garamond"/>
          <w:sz w:val="24"/>
          <w:szCs w:val="24"/>
        </w:rPr>
      </w:pPr>
      <w:r>
        <w:rPr>
          <w:rFonts w:ascii="Garamond" w:hAnsi="Garamond"/>
          <w:b/>
          <w:bCs/>
          <w:i/>
          <w:iCs/>
          <w:sz w:val="24"/>
          <w:szCs w:val="24"/>
        </w:rPr>
        <w:t xml:space="preserve">Point of difference: </w:t>
      </w:r>
      <w:r>
        <w:rPr>
          <w:rFonts w:ascii="Garamond" w:hAnsi="Garamond"/>
          <w:sz w:val="24"/>
          <w:szCs w:val="24"/>
        </w:rPr>
        <w:t>assessee computed capital loss after claiming benefit of indexation, on redemption of 4%</w:t>
      </w:r>
      <w:r w:rsidR="007F17A8">
        <w:rPr>
          <w:rFonts w:ascii="Garamond" w:hAnsi="Garamond"/>
          <w:sz w:val="24"/>
          <w:szCs w:val="24"/>
        </w:rPr>
        <w:t xml:space="preserve"> </w:t>
      </w:r>
      <w:r>
        <w:rPr>
          <w:rFonts w:ascii="Garamond" w:hAnsi="Garamond"/>
          <w:sz w:val="24"/>
          <w:szCs w:val="24"/>
        </w:rPr>
        <w:t>non cumulative preference shares</w:t>
      </w:r>
      <w:r w:rsidR="006C7DA9">
        <w:rPr>
          <w:rFonts w:ascii="Garamond" w:hAnsi="Garamond"/>
          <w:sz w:val="24"/>
          <w:szCs w:val="24"/>
        </w:rPr>
        <w:t xml:space="preserve"> at par on expiry of 10years</w:t>
      </w:r>
    </w:p>
    <w:p w:rsidR="00334D0D" w:rsidRDefault="00334D0D" w:rsidP="00866F03">
      <w:pPr>
        <w:pStyle w:val="NoSpacing"/>
        <w:jc w:val="both"/>
        <w:rPr>
          <w:rFonts w:ascii="Garamond" w:hAnsi="Garamond"/>
          <w:sz w:val="24"/>
          <w:szCs w:val="24"/>
        </w:rPr>
      </w:pPr>
      <w:r>
        <w:rPr>
          <w:rFonts w:ascii="Garamond" w:hAnsi="Garamond"/>
          <w:sz w:val="24"/>
          <w:szCs w:val="24"/>
        </w:rPr>
        <w:t>AO denied the benefit claiming it has the principal characteristics of bonds – fixed holding period &amp; fixed rate of return</w:t>
      </w:r>
    </w:p>
    <w:p w:rsidR="004F1F80" w:rsidRDefault="004F1F80" w:rsidP="00866F03">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w:t>
      </w:r>
      <w:r w:rsidR="00E32B3C">
        <w:rPr>
          <w:rFonts w:ascii="Garamond" w:hAnsi="Garamond"/>
          <w:sz w:val="24"/>
          <w:szCs w:val="24"/>
        </w:rPr>
        <w:t xml:space="preserve">HC observed that redemption of preference shares by a Co amounts to transfer &amp; attract capital gain tax. </w:t>
      </w:r>
      <w:r w:rsidR="00DA0BBD">
        <w:rPr>
          <w:rFonts w:ascii="Garamond" w:hAnsi="Garamond"/>
          <w:sz w:val="24"/>
          <w:szCs w:val="24"/>
        </w:rPr>
        <w:t>HC held that</w:t>
      </w:r>
    </w:p>
    <w:p w:rsidR="00DA0BBD" w:rsidRDefault="00DA0BBD" w:rsidP="00DA0BBD">
      <w:pPr>
        <w:pStyle w:val="NoSpacing"/>
        <w:numPr>
          <w:ilvl w:val="0"/>
          <w:numId w:val="16"/>
        </w:numPr>
        <w:jc w:val="both"/>
        <w:rPr>
          <w:rFonts w:ascii="Garamond" w:hAnsi="Garamond"/>
          <w:sz w:val="24"/>
          <w:szCs w:val="24"/>
        </w:rPr>
      </w:pPr>
      <w:r>
        <w:rPr>
          <w:rFonts w:ascii="Garamond" w:hAnsi="Garamond"/>
          <w:sz w:val="24"/>
          <w:szCs w:val="24"/>
        </w:rPr>
        <w:t>Since shares, debentures, &amp; bonds are not defined in income tax Act 1961, terms have to be understood from the meaning in Companies Act1956</w:t>
      </w:r>
    </w:p>
    <w:p w:rsidR="00DA0BBD" w:rsidRDefault="00DA0BBD" w:rsidP="00DA0BBD">
      <w:pPr>
        <w:pStyle w:val="NoSpacing"/>
        <w:numPr>
          <w:ilvl w:val="0"/>
          <w:numId w:val="16"/>
        </w:numPr>
        <w:jc w:val="both"/>
        <w:rPr>
          <w:rFonts w:ascii="Garamond" w:hAnsi="Garamond"/>
          <w:sz w:val="24"/>
          <w:szCs w:val="24"/>
        </w:rPr>
      </w:pPr>
      <w:r>
        <w:rPr>
          <w:rFonts w:ascii="Garamond" w:hAnsi="Garamond"/>
          <w:sz w:val="24"/>
          <w:szCs w:val="24"/>
        </w:rPr>
        <w:t>As per Companies act, share capital of a co limited by shares can be of 2 kinds only – equity &amp; preference. Debenture includes debenture stock, bonds or any other security of the company</w:t>
      </w:r>
    </w:p>
    <w:p w:rsidR="00DA0BBD" w:rsidRPr="004F1F80" w:rsidRDefault="00DA0BBD" w:rsidP="00DA0BBD">
      <w:pPr>
        <w:pStyle w:val="NoSpacing"/>
        <w:numPr>
          <w:ilvl w:val="0"/>
          <w:numId w:val="16"/>
        </w:numPr>
        <w:jc w:val="both"/>
        <w:rPr>
          <w:rFonts w:ascii="Garamond" w:hAnsi="Garamond"/>
          <w:sz w:val="24"/>
          <w:szCs w:val="24"/>
        </w:rPr>
      </w:pPr>
      <w:r>
        <w:rPr>
          <w:rFonts w:ascii="Garamond" w:hAnsi="Garamond"/>
          <w:sz w:val="24"/>
          <w:szCs w:val="24"/>
        </w:rPr>
        <w:t>Debenture is a certificate of loan and not share capital</w:t>
      </w:r>
    </w:p>
    <w:p w:rsidR="006115C2" w:rsidRDefault="0099414D" w:rsidP="00D2690B">
      <w:pPr>
        <w:pStyle w:val="NoSpacing"/>
        <w:jc w:val="both"/>
        <w:rPr>
          <w:rFonts w:ascii="Garamond" w:hAnsi="Garamond"/>
          <w:sz w:val="24"/>
          <w:szCs w:val="24"/>
        </w:rPr>
      </w:pPr>
      <w:r>
        <w:rPr>
          <w:rFonts w:ascii="Garamond" w:hAnsi="Garamond"/>
          <w:sz w:val="24"/>
          <w:szCs w:val="24"/>
        </w:rPr>
        <w:t xml:space="preserve">Hence non cumulative preference shares cannot be said to be in the nature of bonds or debentures. </w:t>
      </w:r>
      <w:r w:rsidR="00B1029B">
        <w:rPr>
          <w:rFonts w:ascii="Garamond" w:hAnsi="Garamond"/>
          <w:sz w:val="24"/>
          <w:szCs w:val="24"/>
        </w:rPr>
        <w:t>Indexation benefit on transfer of LTCA being non cumulative preference shares cannot be denied applying 48(3)</w:t>
      </w:r>
    </w:p>
    <w:p w:rsidR="00606396" w:rsidRDefault="00606396" w:rsidP="00765CE0">
      <w:pPr>
        <w:pStyle w:val="NoSpacing"/>
        <w:jc w:val="both"/>
        <w:rPr>
          <w:rFonts w:ascii="Garamond" w:eastAsia="Times New Roman" w:hAnsi="Garamond" w:cs="Arial"/>
          <w:sz w:val="24"/>
          <w:szCs w:val="24"/>
        </w:rPr>
      </w:pPr>
    </w:p>
    <w:p w:rsidR="00606396" w:rsidRPr="00606396" w:rsidRDefault="009A5C70" w:rsidP="00606396">
      <w:pPr>
        <w:pStyle w:val="Default"/>
        <w:jc w:val="both"/>
        <w:rPr>
          <w:rFonts w:ascii="Garamond" w:hAnsi="Garamond"/>
          <w:b/>
          <w:bCs/>
          <w:i/>
          <w:iCs/>
        </w:rPr>
      </w:pPr>
      <w:r>
        <w:rPr>
          <w:rFonts w:ascii="Garamond" w:hAnsi="Garamond"/>
          <w:b/>
          <w:bCs/>
          <w:i/>
          <w:iCs/>
        </w:rPr>
        <w:t xml:space="preserve">15. </w:t>
      </w:r>
      <w:r w:rsidR="00606396" w:rsidRPr="00606396">
        <w:rPr>
          <w:rFonts w:ascii="Garamond" w:hAnsi="Garamond"/>
          <w:b/>
          <w:bCs/>
          <w:i/>
          <w:iCs/>
        </w:rPr>
        <w:t>Can an assessee be deprived of claiming exemption under section 54EC, if bonds of assessee's choice are not available or are available only for a broken period within the period of six months after the date of transfer of capital asset and the bonds are purchased shortly after it became available next time after the expiry of the said six months?</w:t>
      </w:r>
    </w:p>
    <w:p w:rsidR="00765CE0" w:rsidRPr="00606396" w:rsidRDefault="00765CE0" w:rsidP="00765CE0">
      <w:pPr>
        <w:pStyle w:val="NoSpacing"/>
        <w:jc w:val="both"/>
        <w:rPr>
          <w:rFonts w:ascii="Garamond" w:eastAsia="Times New Roman" w:hAnsi="Garamond" w:cs="Arial"/>
          <w:b/>
          <w:bCs/>
          <w:i/>
          <w:iCs/>
          <w:sz w:val="24"/>
          <w:szCs w:val="24"/>
          <w:u w:val="single"/>
        </w:rPr>
      </w:pPr>
      <w:r w:rsidRPr="00606396">
        <w:rPr>
          <w:rFonts w:ascii="Garamond" w:eastAsia="Times New Roman" w:hAnsi="Garamond" w:cs="Arial"/>
          <w:b/>
          <w:bCs/>
          <w:i/>
          <w:iCs/>
          <w:sz w:val="24"/>
          <w:szCs w:val="24"/>
          <w:u w:val="single"/>
        </w:rPr>
        <w:t xml:space="preserve">CIT V. Cello Plast (Bom) </w:t>
      </w:r>
    </w:p>
    <w:p w:rsidR="00606396" w:rsidRDefault="00606396" w:rsidP="00765CE0">
      <w:pPr>
        <w:pStyle w:val="NoSpacing"/>
        <w:jc w:val="both"/>
        <w:rPr>
          <w:rFonts w:ascii="Garamond" w:hAnsi="Garamond"/>
          <w:sz w:val="24"/>
          <w:szCs w:val="24"/>
        </w:rPr>
      </w:pPr>
    </w:p>
    <w:p w:rsidR="00606396" w:rsidRDefault="0072446C" w:rsidP="00765CE0">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assessee sold its building on 22.3.2006. REC bonds were available onl</w:t>
      </w:r>
      <w:r w:rsidR="00D32287">
        <w:rPr>
          <w:rFonts w:ascii="Garamond" w:hAnsi="Garamond"/>
          <w:sz w:val="24"/>
          <w:szCs w:val="24"/>
        </w:rPr>
        <w:t>y between 1.7.2006 to 3</w:t>
      </w:r>
      <w:r>
        <w:rPr>
          <w:rFonts w:ascii="Garamond" w:hAnsi="Garamond"/>
          <w:sz w:val="24"/>
          <w:szCs w:val="24"/>
        </w:rPr>
        <w:t>.8.2006 there after it became available only on 22.1.2007</w:t>
      </w:r>
      <w:r w:rsidR="00D32287">
        <w:rPr>
          <w:rFonts w:ascii="Garamond" w:hAnsi="Garamond"/>
          <w:sz w:val="24"/>
          <w:szCs w:val="24"/>
        </w:rPr>
        <w:t xml:space="preserve"> </w:t>
      </w:r>
      <w:r>
        <w:rPr>
          <w:rFonts w:ascii="Garamond" w:hAnsi="Garamond"/>
          <w:sz w:val="24"/>
          <w:szCs w:val="24"/>
        </w:rPr>
        <w:t>to</w:t>
      </w:r>
      <w:r w:rsidR="00D32287">
        <w:rPr>
          <w:rFonts w:ascii="Garamond" w:hAnsi="Garamond"/>
          <w:sz w:val="24"/>
          <w:szCs w:val="24"/>
        </w:rPr>
        <w:t xml:space="preserve"> </w:t>
      </w:r>
      <w:r>
        <w:rPr>
          <w:rFonts w:ascii="Garamond" w:hAnsi="Garamond"/>
          <w:sz w:val="24"/>
          <w:szCs w:val="24"/>
        </w:rPr>
        <w:t>31.1.2007. Assessee purchased REC bonds on 31.1.2007 &amp; claimed exemption u/s 54EC</w:t>
      </w:r>
    </w:p>
    <w:p w:rsidR="00476042" w:rsidRDefault="00476042" w:rsidP="00765CE0">
      <w:pPr>
        <w:pStyle w:val="NoSpacing"/>
        <w:jc w:val="both"/>
        <w:rPr>
          <w:rFonts w:ascii="Garamond" w:hAnsi="Garamond"/>
          <w:sz w:val="24"/>
          <w:szCs w:val="24"/>
        </w:rPr>
      </w:pPr>
      <w:r>
        <w:rPr>
          <w:rFonts w:ascii="Garamond" w:hAnsi="Garamond"/>
          <w:b/>
          <w:bCs/>
          <w:i/>
          <w:iCs/>
          <w:sz w:val="24"/>
          <w:szCs w:val="24"/>
        </w:rPr>
        <w:t xml:space="preserve">Point of dispute: </w:t>
      </w:r>
      <w:r>
        <w:rPr>
          <w:rFonts w:ascii="Garamond" w:hAnsi="Garamond"/>
          <w:sz w:val="24"/>
          <w:szCs w:val="24"/>
        </w:rPr>
        <w:t>AO disallowed benefit of 54EC &amp; taxed entire capital gain as bonds were purchased beyond the period of 6months from the date of transfer, &amp; argued that if REC bonds were not available, assessee could have purchased NHA bonds</w:t>
      </w:r>
    </w:p>
    <w:p w:rsidR="001D0794" w:rsidRDefault="001D0794" w:rsidP="00765CE0">
      <w:pPr>
        <w:pStyle w:val="NoSpacing"/>
        <w:jc w:val="both"/>
        <w:rPr>
          <w:rFonts w:ascii="Garamond" w:hAnsi="Garamond"/>
          <w:sz w:val="24"/>
          <w:szCs w:val="24"/>
        </w:rPr>
      </w:pPr>
      <w:r>
        <w:rPr>
          <w:rFonts w:ascii="Garamond" w:hAnsi="Garamond"/>
          <w:b/>
          <w:bCs/>
          <w:i/>
          <w:iCs/>
          <w:sz w:val="24"/>
          <w:szCs w:val="24"/>
        </w:rPr>
        <w:lastRenderedPageBreak/>
        <w:t>Decision:</w:t>
      </w:r>
      <w:r>
        <w:rPr>
          <w:rFonts w:ascii="Garamond" w:hAnsi="Garamond"/>
          <w:sz w:val="24"/>
          <w:szCs w:val="24"/>
        </w:rPr>
        <w:t xml:space="preserve"> HC observed that assessee had time till 21.9.2006 to invest to avail benefit u/s 54EC.  Availability of bond cannot restrict assessee’s right to exercise the same upto last date. AO can’t argue that since bonds were available upto </w:t>
      </w:r>
      <w:r w:rsidRPr="001D0794">
        <w:rPr>
          <w:rFonts w:ascii="Garamond" w:hAnsi="Garamond"/>
          <w:sz w:val="24"/>
          <w:szCs w:val="24"/>
        </w:rPr>
        <w:t>3</w:t>
      </w:r>
      <w:r>
        <w:rPr>
          <w:rFonts w:ascii="Garamond" w:hAnsi="Garamond"/>
          <w:sz w:val="24"/>
          <w:szCs w:val="24"/>
        </w:rPr>
        <w:t xml:space="preserve">.8.2006 assessee should have purchased before this date. Reasonable extension ought to be granted after the bonds </w:t>
      </w:r>
      <w:r w:rsidR="005367E0">
        <w:rPr>
          <w:rFonts w:ascii="Garamond" w:hAnsi="Garamond"/>
          <w:sz w:val="24"/>
          <w:szCs w:val="24"/>
        </w:rPr>
        <w:t xml:space="preserve">are made available, at least to the extent of number of days between 4.8.2006 &amp; 21.9.2006. </w:t>
      </w:r>
    </w:p>
    <w:p w:rsidR="00B65A2A" w:rsidRDefault="00B65A2A" w:rsidP="00765CE0">
      <w:pPr>
        <w:pStyle w:val="NoSpacing"/>
        <w:jc w:val="both"/>
        <w:rPr>
          <w:rFonts w:ascii="Garamond" w:hAnsi="Garamond"/>
          <w:sz w:val="24"/>
          <w:szCs w:val="24"/>
        </w:rPr>
      </w:pPr>
      <w:r>
        <w:rPr>
          <w:rFonts w:ascii="Garamond" w:hAnsi="Garamond"/>
          <w:sz w:val="24"/>
          <w:szCs w:val="24"/>
        </w:rPr>
        <w:t>HC held that since assessee invested within 9days of their being available once again from 22.1.2007, he cannot be deprived of exemption u/s 54EC.</w:t>
      </w:r>
    </w:p>
    <w:p w:rsidR="00606396" w:rsidRDefault="00A644D4" w:rsidP="00765CE0">
      <w:pPr>
        <w:pStyle w:val="NoSpacing"/>
        <w:jc w:val="both"/>
        <w:rPr>
          <w:rFonts w:ascii="Garamond" w:hAnsi="Garamond"/>
          <w:sz w:val="24"/>
          <w:szCs w:val="24"/>
        </w:rPr>
      </w:pPr>
      <w:r>
        <w:rPr>
          <w:rFonts w:ascii="Garamond" w:hAnsi="Garamond"/>
          <w:sz w:val="24"/>
          <w:szCs w:val="24"/>
        </w:rPr>
        <w:t>It also held that 54EC gives assessee a choice to invest in REC or NHA bonds. In case bonds of assessee’s choice is not available, time to invest in bonds get automatically extended till the bonds are available in the market</w:t>
      </w:r>
    </w:p>
    <w:p w:rsidR="00606396" w:rsidRDefault="00606396" w:rsidP="00765CE0">
      <w:pPr>
        <w:pStyle w:val="NoSpacing"/>
        <w:jc w:val="both"/>
        <w:rPr>
          <w:rFonts w:ascii="Garamond" w:hAnsi="Garamond"/>
          <w:sz w:val="24"/>
          <w:szCs w:val="24"/>
        </w:rPr>
      </w:pPr>
    </w:p>
    <w:p w:rsidR="00606396" w:rsidRPr="00606396" w:rsidRDefault="009A5C70" w:rsidP="00606396">
      <w:pPr>
        <w:pStyle w:val="Default"/>
        <w:jc w:val="both"/>
        <w:rPr>
          <w:rFonts w:ascii="Garamond" w:hAnsi="Garamond"/>
          <w:b/>
          <w:bCs/>
          <w:i/>
          <w:iCs/>
        </w:rPr>
      </w:pPr>
      <w:r>
        <w:rPr>
          <w:rFonts w:ascii="Garamond" w:hAnsi="Garamond"/>
          <w:b/>
          <w:bCs/>
          <w:i/>
          <w:iCs/>
        </w:rPr>
        <w:t xml:space="preserve">16. </w:t>
      </w:r>
      <w:r w:rsidR="00606396" w:rsidRPr="00606396">
        <w:rPr>
          <w:rFonts w:ascii="Garamond" w:hAnsi="Garamond"/>
          <w:b/>
          <w:bCs/>
          <w:i/>
          <w:iCs/>
        </w:rPr>
        <w:t>In order to determine whether Explanation to section 73 is applicable in a particular case, is it necessary to first determine the gross total income of the assessee computed as per normal provisions of the Act?</w:t>
      </w:r>
    </w:p>
    <w:p w:rsidR="00765CE0" w:rsidRPr="00606396" w:rsidRDefault="00765CE0" w:rsidP="00765CE0">
      <w:pPr>
        <w:pStyle w:val="NoSpacing"/>
        <w:jc w:val="both"/>
        <w:rPr>
          <w:rFonts w:ascii="Garamond" w:hAnsi="Garamond"/>
          <w:b/>
          <w:bCs/>
          <w:i/>
          <w:iCs/>
          <w:sz w:val="24"/>
          <w:szCs w:val="24"/>
          <w:u w:val="single"/>
        </w:rPr>
      </w:pPr>
      <w:r w:rsidRPr="00606396">
        <w:rPr>
          <w:rFonts w:ascii="Garamond" w:hAnsi="Garamond"/>
          <w:b/>
          <w:bCs/>
          <w:i/>
          <w:iCs/>
          <w:sz w:val="24"/>
          <w:szCs w:val="24"/>
          <w:u w:val="single"/>
        </w:rPr>
        <w:t>CIT v. Darshan Securities (P.) Ltd. (Bom)</w:t>
      </w:r>
    </w:p>
    <w:p w:rsidR="00606396" w:rsidRDefault="00606396" w:rsidP="00765CE0">
      <w:pPr>
        <w:pStyle w:val="NoSpacing"/>
        <w:jc w:val="both"/>
        <w:rPr>
          <w:rFonts w:ascii="Garamond" w:hAnsi="Garamond"/>
          <w:sz w:val="24"/>
          <w:szCs w:val="24"/>
        </w:rPr>
      </w:pPr>
    </w:p>
    <w:p w:rsidR="00606396" w:rsidRDefault="005E35CD" w:rsidP="00765CE0">
      <w:pPr>
        <w:pStyle w:val="NoSpacing"/>
        <w:jc w:val="both"/>
        <w:rPr>
          <w:rFonts w:ascii="Garamond" w:hAnsi="Garamond"/>
          <w:sz w:val="24"/>
          <w:szCs w:val="24"/>
        </w:rPr>
      </w:pPr>
      <w:r>
        <w:rPr>
          <w:rFonts w:ascii="Garamond" w:hAnsi="Garamond"/>
          <w:sz w:val="24"/>
          <w:szCs w:val="24"/>
        </w:rPr>
        <w:t>HC observed that in order to apply exemption in explanation to sec 73, GTI of Co is to be 1</w:t>
      </w:r>
      <w:r w:rsidRPr="005E35CD">
        <w:rPr>
          <w:rFonts w:ascii="Garamond" w:hAnsi="Garamond"/>
          <w:sz w:val="24"/>
          <w:szCs w:val="24"/>
          <w:vertAlign w:val="superscript"/>
        </w:rPr>
        <w:t>st</w:t>
      </w:r>
      <w:r>
        <w:rPr>
          <w:rFonts w:ascii="Garamond" w:hAnsi="Garamond"/>
          <w:sz w:val="24"/>
          <w:szCs w:val="24"/>
        </w:rPr>
        <w:t xml:space="preserve"> computed &amp; thereafter it needs to be determined whether GTI of assessee consists of </w:t>
      </w:r>
      <w:r>
        <w:rPr>
          <w:rFonts w:ascii="Garamond" w:hAnsi="Garamond"/>
          <w:b/>
          <w:bCs/>
          <w:sz w:val="24"/>
          <w:szCs w:val="24"/>
        </w:rPr>
        <w:t xml:space="preserve">mainly </w:t>
      </w:r>
      <w:r>
        <w:rPr>
          <w:rFonts w:ascii="Garamond" w:hAnsi="Garamond"/>
          <w:sz w:val="24"/>
          <w:szCs w:val="24"/>
        </w:rPr>
        <w:t xml:space="preserve">income under the head interest on securities, income from house property, capital gain, &amp; income from other sources. </w:t>
      </w:r>
    </w:p>
    <w:p w:rsidR="005E35CD" w:rsidRDefault="005E35CD" w:rsidP="00765CE0">
      <w:pPr>
        <w:pStyle w:val="NoSpacing"/>
        <w:jc w:val="both"/>
        <w:rPr>
          <w:rFonts w:ascii="Garamond" w:hAnsi="Garamond"/>
          <w:sz w:val="24"/>
          <w:szCs w:val="24"/>
        </w:rPr>
      </w:pPr>
      <w:r>
        <w:rPr>
          <w:rFonts w:ascii="Garamond" w:hAnsi="Garamond"/>
          <w:sz w:val="24"/>
          <w:szCs w:val="24"/>
        </w:rPr>
        <w:t xml:space="preserve">In case GTI consists of loss in share trading &amp; service </w:t>
      </w:r>
      <w:r w:rsidR="0077282C">
        <w:rPr>
          <w:rFonts w:ascii="Garamond" w:hAnsi="Garamond"/>
          <w:sz w:val="24"/>
          <w:szCs w:val="24"/>
        </w:rPr>
        <w:t>charges taxable under PGBP then such loss would be 1</w:t>
      </w:r>
      <w:r w:rsidR="0077282C" w:rsidRPr="0077282C">
        <w:rPr>
          <w:rFonts w:ascii="Garamond" w:hAnsi="Garamond"/>
          <w:sz w:val="24"/>
          <w:szCs w:val="24"/>
          <w:vertAlign w:val="superscript"/>
        </w:rPr>
        <w:t>st</w:t>
      </w:r>
      <w:r w:rsidR="0077282C">
        <w:rPr>
          <w:rFonts w:ascii="Garamond" w:hAnsi="Garamond"/>
          <w:sz w:val="24"/>
          <w:szCs w:val="24"/>
        </w:rPr>
        <w:t xml:space="preserve"> set off against such income in sec 70 &amp; then composition of GTI has to be determined. </w:t>
      </w:r>
    </w:p>
    <w:p w:rsidR="00606396" w:rsidRDefault="0077282C" w:rsidP="00765CE0">
      <w:pPr>
        <w:pStyle w:val="NoSpacing"/>
        <w:jc w:val="both"/>
        <w:rPr>
          <w:rFonts w:ascii="Garamond" w:hAnsi="Garamond"/>
          <w:sz w:val="24"/>
          <w:szCs w:val="24"/>
        </w:rPr>
      </w:pPr>
      <w:r>
        <w:rPr>
          <w:rFonts w:ascii="Garamond" w:hAnsi="Garamond"/>
          <w:sz w:val="24"/>
          <w:szCs w:val="24"/>
        </w:rPr>
        <w:t xml:space="preserve">In case such loss is completely set off against the income, &amp; assessee has income predominantly under heads mention in exemption under </w:t>
      </w:r>
      <w:r w:rsidRPr="0077282C">
        <w:rPr>
          <w:rFonts w:ascii="Garamond" w:hAnsi="Garamond"/>
          <w:i/>
          <w:iCs/>
          <w:sz w:val="24"/>
          <w:szCs w:val="24"/>
        </w:rPr>
        <w:t>Explanation</w:t>
      </w:r>
      <w:r>
        <w:rPr>
          <w:rFonts w:ascii="Garamond" w:hAnsi="Garamond"/>
          <w:sz w:val="24"/>
          <w:szCs w:val="24"/>
        </w:rPr>
        <w:t>, such loss will not be treated as speculation loss for the applicability of sec 73 (1)</w:t>
      </w:r>
    </w:p>
    <w:p w:rsidR="00606396" w:rsidRDefault="00606396" w:rsidP="00765CE0">
      <w:pPr>
        <w:pStyle w:val="NoSpacing"/>
        <w:jc w:val="both"/>
        <w:rPr>
          <w:rFonts w:ascii="Garamond" w:hAnsi="Garamond"/>
          <w:sz w:val="24"/>
          <w:szCs w:val="24"/>
        </w:rPr>
      </w:pPr>
    </w:p>
    <w:p w:rsidR="00606396" w:rsidRPr="00606396" w:rsidRDefault="009A5C70" w:rsidP="00606396">
      <w:pPr>
        <w:pStyle w:val="Default"/>
        <w:jc w:val="both"/>
        <w:rPr>
          <w:rFonts w:ascii="Garamond" w:hAnsi="Garamond"/>
          <w:b/>
          <w:bCs/>
          <w:i/>
          <w:iCs/>
        </w:rPr>
      </w:pPr>
      <w:r>
        <w:rPr>
          <w:rFonts w:ascii="Garamond" w:hAnsi="Garamond"/>
          <w:b/>
          <w:bCs/>
          <w:i/>
          <w:iCs/>
        </w:rPr>
        <w:t xml:space="preserve">17. </w:t>
      </w:r>
      <w:r w:rsidR="00606396" w:rsidRPr="00606396">
        <w:rPr>
          <w:rFonts w:ascii="Garamond" w:hAnsi="Garamond"/>
          <w:b/>
          <w:bCs/>
          <w:i/>
          <w:iCs/>
        </w:rPr>
        <w:t>Where an additional building was constructed on a plot of land and approval for the same is obtained in the year 2</w:t>
      </w:r>
      <w:r w:rsidR="009076D2">
        <w:rPr>
          <w:rFonts w:ascii="Garamond" w:hAnsi="Garamond"/>
          <w:b/>
          <w:bCs/>
          <w:i/>
          <w:iCs/>
        </w:rPr>
        <w:t>002, can deduction u/s</w:t>
      </w:r>
      <w:r w:rsidR="00606396" w:rsidRPr="00606396">
        <w:rPr>
          <w:rFonts w:ascii="Garamond" w:hAnsi="Garamond"/>
          <w:b/>
          <w:bCs/>
          <w:i/>
          <w:iCs/>
        </w:rPr>
        <w:t xml:space="preserve"> </w:t>
      </w:r>
      <w:r w:rsidR="00ED12DB">
        <w:rPr>
          <w:rFonts w:ascii="Garamond" w:hAnsi="Garamond"/>
          <w:b/>
          <w:bCs/>
          <w:i/>
          <w:iCs/>
        </w:rPr>
        <w:t>80</w:t>
      </w:r>
      <w:r w:rsidR="0030089A">
        <w:rPr>
          <w:rFonts w:ascii="Garamond" w:hAnsi="Garamond"/>
          <w:b/>
          <w:bCs/>
          <w:i/>
          <w:iCs/>
        </w:rPr>
        <w:t>-</w:t>
      </w:r>
      <w:r w:rsidR="00ED12DB">
        <w:rPr>
          <w:rFonts w:ascii="Garamond" w:hAnsi="Garamond"/>
          <w:b/>
          <w:bCs/>
          <w:i/>
          <w:iCs/>
        </w:rPr>
        <w:t>IB</w:t>
      </w:r>
      <w:r w:rsidR="00606396" w:rsidRPr="00606396">
        <w:rPr>
          <w:rFonts w:ascii="Garamond" w:hAnsi="Garamond"/>
          <w:b/>
          <w:bCs/>
          <w:i/>
          <w:iCs/>
        </w:rPr>
        <w:t>(10) be denied in respect of the said building on the contention that it was an extension of an earlier project for construction of four buildings, in respect of which approval was obtained before 1.10.98?</w:t>
      </w:r>
    </w:p>
    <w:p w:rsidR="00765CE0" w:rsidRPr="00606396" w:rsidRDefault="00765CE0" w:rsidP="00765CE0">
      <w:pPr>
        <w:pStyle w:val="NoSpacing"/>
        <w:jc w:val="both"/>
        <w:rPr>
          <w:rFonts w:ascii="Garamond" w:hAnsi="Garamond"/>
          <w:b/>
          <w:bCs/>
          <w:i/>
          <w:iCs/>
          <w:sz w:val="24"/>
          <w:szCs w:val="24"/>
          <w:u w:val="single"/>
        </w:rPr>
      </w:pPr>
      <w:r w:rsidRPr="00606396">
        <w:rPr>
          <w:rFonts w:ascii="Garamond" w:hAnsi="Garamond"/>
          <w:b/>
          <w:bCs/>
          <w:i/>
          <w:iCs/>
          <w:sz w:val="24"/>
          <w:szCs w:val="24"/>
          <w:u w:val="single"/>
        </w:rPr>
        <w:t>CIT v. Vandana Properties (Bom)</w:t>
      </w:r>
    </w:p>
    <w:p w:rsidR="00606396" w:rsidRDefault="00606396" w:rsidP="00765CE0">
      <w:pPr>
        <w:pStyle w:val="NoSpacing"/>
        <w:jc w:val="both"/>
        <w:rPr>
          <w:rFonts w:ascii="Garamond" w:hAnsi="Garamond"/>
          <w:sz w:val="24"/>
          <w:szCs w:val="24"/>
        </w:rPr>
      </w:pPr>
    </w:p>
    <w:p w:rsidR="00606396" w:rsidRDefault="00733E16" w:rsidP="00787EC9">
      <w:pPr>
        <w:pStyle w:val="NoSpacing"/>
        <w:numPr>
          <w:ilvl w:val="0"/>
          <w:numId w:val="21"/>
        </w:numPr>
        <w:jc w:val="both"/>
        <w:rPr>
          <w:rFonts w:ascii="Garamond" w:hAnsi="Garamond"/>
          <w:sz w:val="24"/>
          <w:szCs w:val="24"/>
        </w:rPr>
      </w:pPr>
      <w:r>
        <w:rPr>
          <w:rFonts w:ascii="Garamond" w:hAnsi="Garamond"/>
          <w:sz w:val="24"/>
          <w:szCs w:val="24"/>
        </w:rPr>
        <w:t>HC observed that construction of building ‘E’ constitute an independent housing project &amp; the date prior to 1.10.98 applicable to other buildings in housing project could not be applied to building ‘E’</w:t>
      </w:r>
      <w:r w:rsidR="00C16E31">
        <w:rPr>
          <w:rFonts w:ascii="Garamond" w:hAnsi="Garamond"/>
          <w:sz w:val="24"/>
          <w:szCs w:val="24"/>
        </w:rPr>
        <w:t xml:space="preserve">. </w:t>
      </w:r>
    </w:p>
    <w:p w:rsidR="00C16E31" w:rsidRDefault="00C16E31" w:rsidP="00787EC9">
      <w:pPr>
        <w:pStyle w:val="NoSpacing"/>
        <w:numPr>
          <w:ilvl w:val="0"/>
          <w:numId w:val="21"/>
        </w:numPr>
        <w:jc w:val="both"/>
        <w:rPr>
          <w:rFonts w:ascii="Garamond" w:hAnsi="Garamond"/>
          <w:sz w:val="24"/>
          <w:szCs w:val="24"/>
        </w:rPr>
      </w:pPr>
      <w:r>
        <w:rPr>
          <w:rFonts w:ascii="Garamond" w:hAnsi="Garamond"/>
          <w:sz w:val="24"/>
          <w:szCs w:val="24"/>
        </w:rPr>
        <w:t>Sec 80</w:t>
      </w:r>
      <w:r w:rsidR="00787EC9">
        <w:rPr>
          <w:rFonts w:ascii="Garamond" w:hAnsi="Garamond"/>
          <w:sz w:val="24"/>
          <w:szCs w:val="24"/>
        </w:rPr>
        <w:t>-</w:t>
      </w:r>
      <w:r>
        <w:rPr>
          <w:rFonts w:ascii="Garamond" w:hAnsi="Garamond"/>
          <w:sz w:val="24"/>
          <w:szCs w:val="24"/>
        </w:rPr>
        <w:t xml:space="preserve">IB(10) specifies size of plot of land of minimum acres &amp; not size of housing project. </w:t>
      </w:r>
    </w:p>
    <w:p w:rsidR="00A718FA" w:rsidRDefault="00A718FA" w:rsidP="00787EC9">
      <w:pPr>
        <w:pStyle w:val="NoSpacing"/>
        <w:numPr>
          <w:ilvl w:val="0"/>
          <w:numId w:val="21"/>
        </w:numPr>
        <w:jc w:val="both"/>
        <w:rPr>
          <w:rFonts w:ascii="Garamond" w:hAnsi="Garamond"/>
          <w:sz w:val="24"/>
          <w:szCs w:val="24"/>
        </w:rPr>
      </w:pPr>
      <w:r>
        <w:rPr>
          <w:rFonts w:ascii="Garamond" w:hAnsi="Garamond"/>
          <w:sz w:val="24"/>
          <w:szCs w:val="24"/>
        </w:rPr>
        <w:t xml:space="preserve">It is immaterial whether any other housing projects are existing on the said plot of land/not.  </w:t>
      </w:r>
    </w:p>
    <w:p w:rsidR="00606396" w:rsidRDefault="00A718FA" w:rsidP="00765CE0">
      <w:pPr>
        <w:pStyle w:val="NoSpacing"/>
        <w:jc w:val="both"/>
        <w:rPr>
          <w:rFonts w:ascii="Garamond" w:hAnsi="Garamond"/>
          <w:sz w:val="24"/>
          <w:szCs w:val="24"/>
        </w:rPr>
      </w:pPr>
      <w:r>
        <w:rPr>
          <w:rFonts w:ascii="Garamond" w:hAnsi="Garamond"/>
          <w:sz w:val="24"/>
          <w:szCs w:val="24"/>
        </w:rPr>
        <w:t>HC held that assessee was entitled to deduction</w:t>
      </w:r>
    </w:p>
    <w:p w:rsidR="004C6458" w:rsidRDefault="004C6458" w:rsidP="00765CE0">
      <w:pPr>
        <w:pStyle w:val="NoSpacing"/>
        <w:jc w:val="both"/>
        <w:rPr>
          <w:rFonts w:ascii="Garamond" w:hAnsi="Garamond"/>
          <w:sz w:val="24"/>
          <w:szCs w:val="24"/>
        </w:rPr>
      </w:pPr>
    </w:p>
    <w:p w:rsidR="004C6458" w:rsidRPr="004C6458" w:rsidRDefault="009A5C70" w:rsidP="004C6458">
      <w:pPr>
        <w:pStyle w:val="Default"/>
        <w:jc w:val="both"/>
        <w:rPr>
          <w:rFonts w:ascii="Garamond" w:hAnsi="Garamond"/>
          <w:b/>
          <w:bCs/>
          <w:i/>
          <w:iCs/>
        </w:rPr>
      </w:pPr>
      <w:r>
        <w:rPr>
          <w:rFonts w:ascii="Garamond" w:hAnsi="Garamond"/>
          <w:b/>
          <w:bCs/>
          <w:i/>
          <w:iCs/>
        </w:rPr>
        <w:t xml:space="preserve">18. </w:t>
      </w:r>
      <w:r w:rsidR="004C6458" w:rsidRPr="004C6458">
        <w:rPr>
          <w:rFonts w:ascii="Garamond" w:hAnsi="Garamond"/>
          <w:b/>
          <w:bCs/>
          <w:i/>
          <w:iCs/>
        </w:rPr>
        <w:t>Would the period of limitation f</w:t>
      </w:r>
      <w:r w:rsidR="009F1D68">
        <w:rPr>
          <w:rFonts w:ascii="Garamond" w:hAnsi="Garamond"/>
          <w:b/>
          <w:bCs/>
          <w:i/>
          <w:iCs/>
        </w:rPr>
        <w:t>or an order passed u/s</w:t>
      </w:r>
      <w:r w:rsidR="004C6458" w:rsidRPr="004C6458">
        <w:rPr>
          <w:rFonts w:ascii="Garamond" w:hAnsi="Garamond"/>
          <w:b/>
          <w:bCs/>
          <w:i/>
          <w:iCs/>
        </w:rPr>
        <w:t xml:space="preserve"> 263 be reckoned from the original order</w:t>
      </w:r>
      <w:r w:rsidR="009F1D68">
        <w:rPr>
          <w:rFonts w:ascii="Garamond" w:hAnsi="Garamond"/>
          <w:b/>
          <w:bCs/>
          <w:i/>
          <w:iCs/>
        </w:rPr>
        <w:t xml:space="preserve"> passed by the AO u/s</w:t>
      </w:r>
      <w:r w:rsidR="004C6458" w:rsidRPr="004C6458">
        <w:rPr>
          <w:rFonts w:ascii="Garamond" w:hAnsi="Garamond"/>
          <w:b/>
          <w:bCs/>
          <w:i/>
          <w:iCs/>
        </w:rPr>
        <w:t xml:space="preserve"> 143(3) or from the order of r</w:t>
      </w:r>
      <w:r w:rsidR="006B6361">
        <w:rPr>
          <w:rFonts w:ascii="Garamond" w:hAnsi="Garamond"/>
          <w:b/>
          <w:bCs/>
          <w:i/>
          <w:iCs/>
        </w:rPr>
        <w:t>eassessment passed u/s</w:t>
      </w:r>
      <w:r w:rsidR="004C6458" w:rsidRPr="004C6458">
        <w:rPr>
          <w:rFonts w:ascii="Garamond" w:hAnsi="Garamond"/>
          <w:b/>
          <w:bCs/>
          <w:i/>
          <w:iCs/>
        </w:rPr>
        <w:t xml:space="preserve"> 147, where the subject matter of revision is different from the su</w:t>
      </w:r>
      <w:r w:rsidR="008A480C">
        <w:rPr>
          <w:rFonts w:ascii="Garamond" w:hAnsi="Garamond"/>
          <w:b/>
          <w:bCs/>
          <w:i/>
          <w:iCs/>
        </w:rPr>
        <w:t>bject matter of reassessment u/</w:t>
      </w:r>
      <w:r w:rsidR="004C6458" w:rsidRPr="004C6458">
        <w:rPr>
          <w:rFonts w:ascii="Garamond" w:hAnsi="Garamond"/>
          <w:b/>
          <w:bCs/>
          <w:i/>
          <w:iCs/>
        </w:rPr>
        <w:t>s 147?</w:t>
      </w:r>
    </w:p>
    <w:p w:rsidR="00765CE0" w:rsidRPr="004C6458" w:rsidRDefault="00765CE0" w:rsidP="00765CE0">
      <w:pPr>
        <w:pStyle w:val="NoSpacing"/>
        <w:jc w:val="both"/>
        <w:rPr>
          <w:rFonts w:ascii="Garamond" w:hAnsi="Garamond"/>
          <w:b/>
          <w:bCs/>
          <w:i/>
          <w:iCs/>
          <w:sz w:val="24"/>
          <w:szCs w:val="24"/>
          <w:u w:val="single"/>
        </w:rPr>
      </w:pPr>
      <w:r w:rsidRPr="004C6458">
        <w:rPr>
          <w:rFonts w:ascii="Garamond" w:hAnsi="Garamond"/>
          <w:b/>
          <w:bCs/>
          <w:i/>
          <w:iCs/>
          <w:sz w:val="24"/>
          <w:szCs w:val="24"/>
          <w:u w:val="single"/>
        </w:rPr>
        <w:t>CIT v. ICICI Bank Ltd. (Bom)</w:t>
      </w:r>
    </w:p>
    <w:p w:rsidR="004C6458" w:rsidRDefault="004C6458" w:rsidP="00765CE0">
      <w:pPr>
        <w:pStyle w:val="NoSpacing"/>
        <w:jc w:val="both"/>
        <w:rPr>
          <w:rFonts w:ascii="Garamond" w:hAnsi="Garamond"/>
          <w:sz w:val="24"/>
          <w:szCs w:val="24"/>
        </w:rPr>
      </w:pPr>
    </w:p>
    <w:p w:rsidR="004C6458" w:rsidRDefault="00E35D2A" w:rsidP="00765CE0">
      <w:pPr>
        <w:pStyle w:val="NoSpacing"/>
        <w:jc w:val="both"/>
        <w:rPr>
          <w:rFonts w:ascii="Garamond" w:hAnsi="Garamond"/>
          <w:sz w:val="24"/>
          <w:szCs w:val="24"/>
        </w:rPr>
      </w:pPr>
      <w:r>
        <w:rPr>
          <w:rFonts w:ascii="Garamond" w:hAnsi="Garamond"/>
          <w:sz w:val="24"/>
          <w:szCs w:val="24"/>
        </w:rPr>
        <w:t>HC held that order of assessment u/s 143 (3) allowed deduction u/s 36 (1)(vii), 36(1)(viia) &amp; i.r.o foreign exchange rate difference. Order of assessment has not dealt with these issues. Therefore doctrine of merger cannot be applied in this case.</w:t>
      </w:r>
    </w:p>
    <w:p w:rsidR="004C6458" w:rsidRPr="00D85305" w:rsidRDefault="00E35D2A" w:rsidP="00765CE0">
      <w:pPr>
        <w:pStyle w:val="NoSpacing"/>
        <w:jc w:val="both"/>
        <w:rPr>
          <w:rFonts w:ascii="Garamond" w:hAnsi="Garamond"/>
          <w:sz w:val="24"/>
          <w:szCs w:val="24"/>
          <w:u w:val="single"/>
        </w:rPr>
      </w:pPr>
      <w:r>
        <w:rPr>
          <w:rFonts w:ascii="Garamond" w:hAnsi="Garamond"/>
          <w:sz w:val="24"/>
          <w:szCs w:val="24"/>
        </w:rPr>
        <w:t xml:space="preserve">Therefore </w:t>
      </w:r>
      <w:r w:rsidRPr="00D85305">
        <w:rPr>
          <w:rFonts w:ascii="Garamond" w:hAnsi="Garamond"/>
          <w:sz w:val="24"/>
          <w:szCs w:val="24"/>
          <w:u w:val="single"/>
        </w:rPr>
        <w:t>period of limitation i.r.o order of commissioner u/s 263 i.r.o a matter which does not form subject matter of reassessment shall be reckoned from date of original order u/s 143 (3) &amp; not from date of reassessment order u/s 147</w:t>
      </w:r>
    </w:p>
    <w:p w:rsidR="00E75BA5" w:rsidRDefault="00E75BA5" w:rsidP="00240A5D">
      <w:pPr>
        <w:pStyle w:val="Default"/>
        <w:jc w:val="both"/>
        <w:rPr>
          <w:rFonts w:ascii="Garamond" w:hAnsi="Garamond"/>
          <w:b/>
          <w:bCs/>
          <w:i/>
          <w:iCs/>
        </w:rPr>
      </w:pPr>
    </w:p>
    <w:p w:rsidR="004C6458" w:rsidRPr="00240A5D" w:rsidRDefault="009A5C70" w:rsidP="00240A5D">
      <w:pPr>
        <w:pStyle w:val="Default"/>
        <w:jc w:val="both"/>
        <w:rPr>
          <w:rFonts w:ascii="Garamond" w:hAnsi="Garamond"/>
          <w:b/>
          <w:bCs/>
          <w:i/>
          <w:iCs/>
        </w:rPr>
      </w:pPr>
      <w:r>
        <w:rPr>
          <w:rFonts w:ascii="Garamond" w:hAnsi="Garamond"/>
          <w:b/>
          <w:bCs/>
          <w:i/>
          <w:iCs/>
        </w:rPr>
        <w:lastRenderedPageBreak/>
        <w:t xml:space="preserve">19. </w:t>
      </w:r>
      <w:r w:rsidR="00240A5D" w:rsidRPr="00240A5D">
        <w:rPr>
          <w:rFonts w:ascii="Garamond" w:hAnsi="Garamond"/>
          <w:b/>
          <w:bCs/>
          <w:i/>
          <w:iCs/>
        </w:rPr>
        <w:t>Can an assessee make an additional/new claim before an appellate authority, which was not claimed by the assessee in the return of income (though he was legally entitled to), otherwise than by way of filing a revised return of income?</w:t>
      </w:r>
    </w:p>
    <w:p w:rsidR="00765CE0" w:rsidRPr="00240A5D" w:rsidRDefault="00765CE0" w:rsidP="00765CE0">
      <w:pPr>
        <w:pStyle w:val="NoSpacing"/>
        <w:jc w:val="both"/>
        <w:rPr>
          <w:rFonts w:ascii="Garamond" w:hAnsi="Garamond"/>
          <w:b/>
          <w:bCs/>
          <w:i/>
          <w:iCs/>
          <w:sz w:val="24"/>
          <w:szCs w:val="24"/>
          <w:u w:val="single"/>
        </w:rPr>
      </w:pPr>
      <w:r w:rsidRPr="00240A5D">
        <w:rPr>
          <w:rFonts w:ascii="Garamond" w:hAnsi="Garamond"/>
          <w:b/>
          <w:bCs/>
          <w:i/>
          <w:iCs/>
          <w:sz w:val="24"/>
          <w:szCs w:val="24"/>
          <w:u w:val="single"/>
        </w:rPr>
        <w:t>CIT v. Pruthvi Brokers &amp; Shareholders (Bom)</w:t>
      </w:r>
    </w:p>
    <w:p w:rsidR="00240A5D" w:rsidRDefault="00240A5D" w:rsidP="00765CE0">
      <w:pPr>
        <w:pStyle w:val="NoSpacing"/>
        <w:jc w:val="both"/>
        <w:rPr>
          <w:rFonts w:ascii="Garamond" w:hAnsi="Garamond"/>
          <w:sz w:val="24"/>
          <w:szCs w:val="24"/>
        </w:rPr>
      </w:pPr>
    </w:p>
    <w:p w:rsidR="00B07AAD" w:rsidRDefault="00B07AAD" w:rsidP="00765CE0">
      <w:pPr>
        <w:pStyle w:val="NoSpacing"/>
        <w:jc w:val="both"/>
        <w:rPr>
          <w:rFonts w:ascii="Garamond" w:hAnsi="Garamond"/>
          <w:sz w:val="24"/>
          <w:szCs w:val="24"/>
        </w:rPr>
      </w:pPr>
      <w:r>
        <w:rPr>
          <w:rFonts w:ascii="Garamond" w:hAnsi="Garamond"/>
          <w:sz w:val="24"/>
          <w:szCs w:val="24"/>
        </w:rPr>
        <w:t>HC observed that:-</w:t>
      </w:r>
    </w:p>
    <w:p w:rsidR="00B07AAD" w:rsidRDefault="00B07AAD" w:rsidP="00B07AAD">
      <w:pPr>
        <w:pStyle w:val="NoSpacing"/>
        <w:numPr>
          <w:ilvl w:val="0"/>
          <w:numId w:val="22"/>
        </w:numPr>
        <w:jc w:val="both"/>
        <w:rPr>
          <w:rFonts w:ascii="Garamond" w:hAnsi="Garamond"/>
          <w:sz w:val="24"/>
          <w:szCs w:val="24"/>
        </w:rPr>
      </w:pPr>
      <w:r>
        <w:rPr>
          <w:rFonts w:ascii="Garamond" w:hAnsi="Garamond"/>
          <w:sz w:val="24"/>
          <w:szCs w:val="24"/>
        </w:rPr>
        <w:t>SC in various cases has held that assessee is entitled to raise additional claims before the appellate authorities &amp; appellate authority have jurisdiction to permit additional claims at its discretion</w:t>
      </w:r>
    </w:p>
    <w:p w:rsidR="005B0454" w:rsidRDefault="005B0454" w:rsidP="00B07AAD">
      <w:pPr>
        <w:pStyle w:val="NoSpacing"/>
        <w:numPr>
          <w:ilvl w:val="0"/>
          <w:numId w:val="22"/>
        </w:numPr>
        <w:jc w:val="both"/>
        <w:rPr>
          <w:rFonts w:ascii="Garamond" w:hAnsi="Garamond"/>
          <w:sz w:val="24"/>
          <w:szCs w:val="24"/>
        </w:rPr>
      </w:pPr>
      <w:r>
        <w:rPr>
          <w:rFonts w:ascii="Garamond" w:hAnsi="Garamond"/>
          <w:sz w:val="24"/>
          <w:szCs w:val="24"/>
        </w:rPr>
        <w:t>SC in another case has held that if an additional ground was raised before appellate authority which could not have been raised</w:t>
      </w:r>
      <w:r w:rsidR="00541E54">
        <w:rPr>
          <w:rFonts w:ascii="Garamond" w:hAnsi="Garamond"/>
          <w:sz w:val="24"/>
          <w:szCs w:val="24"/>
        </w:rPr>
        <w:t xml:space="preserve"> at the stage when return was filed / assessment order was made or on ground became available on account of change in circumstances or law, the appellate authority can make the same</w:t>
      </w:r>
    </w:p>
    <w:p w:rsidR="00541E54" w:rsidRDefault="00C51B4E" w:rsidP="00B07AAD">
      <w:pPr>
        <w:pStyle w:val="NoSpacing"/>
        <w:numPr>
          <w:ilvl w:val="0"/>
          <w:numId w:val="22"/>
        </w:numPr>
        <w:jc w:val="both"/>
        <w:rPr>
          <w:rFonts w:ascii="Garamond" w:hAnsi="Garamond"/>
          <w:sz w:val="24"/>
          <w:szCs w:val="24"/>
        </w:rPr>
      </w:pPr>
      <w:r>
        <w:rPr>
          <w:rFonts w:ascii="Garamond" w:hAnsi="Garamond"/>
          <w:sz w:val="24"/>
          <w:szCs w:val="24"/>
        </w:rPr>
        <w:t>SC has also held that assessee can’t make a claim before AO otherwise than by filing an application</w:t>
      </w:r>
    </w:p>
    <w:p w:rsidR="00BF21CB" w:rsidRPr="00BF21CB" w:rsidRDefault="00BF21CB" w:rsidP="00BF21CB">
      <w:pPr>
        <w:pStyle w:val="NoSpacing"/>
        <w:jc w:val="both"/>
        <w:rPr>
          <w:rFonts w:ascii="Garamond" w:hAnsi="Garamond"/>
          <w:sz w:val="24"/>
          <w:szCs w:val="24"/>
        </w:rPr>
      </w:pPr>
      <w:r>
        <w:rPr>
          <w:rFonts w:ascii="Garamond" w:hAnsi="Garamond"/>
          <w:b/>
          <w:bCs/>
          <w:i/>
          <w:iCs/>
          <w:sz w:val="24"/>
          <w:szCs w:val="24"/>
        </w:rPr>
        <w:t xml:space="preserve">Decision: </w:t>
      </w:r>
      <w:r w:rsidR="00213288">
        <w:rPr>
          <w:rFonts w:ascii="Garamond" w:hAnsi="Garamond"/>
          <w:sz w:val="24"/>
          <w:szCs w:val="24"/>
        </w:rPr>
        <w:t>HC held that considering above decisions, additional grounds can be raised before appellate tribunal even otherwise than by way of filing return of income. However in case claim has to be made to AO, it can be made only by way of filing a revised return of income.</w:t>
      </w:r>
    </w:p>
    <w:p w:rsidR="00240A5D" w:rsidRDefault="00240A5D" w:rsidP="00765CE0">
      <w:pPr>
        <w:pStyle w:val="NoSpacing"/>
        <w:jc w:val="both"/>
        <w:rPr>
          <w:rFonts w:ascii="Garamond" w:hAnsi="Garamond"/>
          <w:sz w:val="24"/>
          <w:szCs w:val="24"/>
        </w:rPr>
      </w:pPr>
    </w:p>
    <w:p w:rsidR="00240A5D" w:rsidRPr="00344ED0" w:rsidRDefault="009A5C70" w:rsidP="00344ED0">
      <w:pPr>
        <w:pStyle w:val="Default"/>
        <w:jc w:val="both"/>
        <w:rPr>
          <w:rFonts w:ascii="Garamond" w:hAnsi="Garamond"/>
          <w:b/>
          <w:bCs/>
          <w:i/>
          <w:iCs/>
        </w:rPr>
      </w:pPr>
      <w:r>
        <w:rPr>
          <w:rFonts w:ascii="Garamond" w:hAnsi="Garamond"/>
          <w:b/>
          <w:bCs/>
          <w:i/>
          <w:iCs/>
        </w:rPr>
        <w:t xml:space="preserve">20. </w:t>
      </w:r>
      <w:r w:rsidR="00344ED0" w:rsidRPr="00344ED0">
        <w:rPr>
          <w:rFonts w:ascii="Garamond" w:hAnsi="Garamond"/>
          <w:b/>
          <w:bCs/>
          <w:i/>
          <w:iCs/>
        </w:rPr>
        <w:t>Can the repayment of loan by passing mere ad</w:t>
      </w:r>
      <w:r w:rsidR="008B7CDF">
        <w:rPr>
          <w:rFonts w:ascii="Garamond" w:hAnsi="Garamond"/>
          <w:b/>
          <w:bCs/>
          <w:i/>
          <w:iCs/>
        </w:rPr>
        <w:t>justing book entries by the ass</w:t>
      </w:r>
      <w:r w:rsidR="00344ED0" w:rsidRPr="00344ED0">
        <w:rPr>
          <w:rFonts w:ascii="Garamond" w:hAnsi="Garamond"/>
          <w:b/>
          <w:bCs/>
          <w:i/>
          <w:iCs/>
        </w:rPr>
        <w:t xml:space="preserve">essee be taken to be in contravention of provisions of section 269T </w:t>
      </w:r>
      <w:r w:rsidR="004056BF">
        <w:rPr>
          <w:rFonts w:ascii="Garamond" w:hAnsi="Garamond"/>
          <w:b/>
          <w:bCs/>
          <w:i/>
          <w:iCs/>
        </w:rPr>
        <w:t>to attract penalty u/s</w:t>
      </w:r>
      <w:r w:rsidR="00344ED0" w:rsidRPr="00344ED0">
        <w:rPr>
          <w:rFonts w:ascii="Garamond" w:hAnsi="Garamond"/>
          <w:b/>
          <w:bCs/>
          <w:i/>
          <w:iCs/>
        </w:rPr>
        <w:t xml:space="preserve"> 271E?</w:t>
      </w:r>
    </w:p>
    <w:p w:rsidR="00765CE0" w:rsidRPr="00344ED0" w:rsidRDefault="00765CE0" w:rsidP="00765CE0">
      <w:pPr>
        <w:pStyle w:val="NoSpacing"/>
        <w:jc w:val="both"/>
        <w:rPr>
          <w:rFonts w:ascii="Garamond" w:hAnsi="Garamond"/>
          <w:b/>
          <w:bCs/>
          <w:i/>
          <w:iCs/>
          <w:sz w:val="24"/>
          <w:szCs w:val="24"/>
          <w:u w:val="single"/>
        </w:rPr>
      </w:pPr>
      <w:r w:rsidRPr="00344ED0">
        <w:rPr>
          <w:rFonts w:ascii="Garamond" w:hAnsi="Garamond"/>
          <w:b/>
          <w:bCs/>
          <w:i/>
          <w:iCs/>
          <w:sz w:val="24"/>
          <w:szCs w:val="24"/>
          <w:u w:val="single"/>
        </w:rPr>
        <w:t>CIT v. Triumph International Finance (I.) Ltd.  (Bom)</w:t>
      </w:r>
    </w:p>
    <w:p w:rsidR="000517F1" w:rsidRDefault="000517F1" w:rsidP="00D2690B">
      <w:pPr>
        <w:pStyle w:val="NoSpacing"/>
        <w:jc w:val="both"/>
        <w:rPr>
          <w:rFonts w:ascii="Garamond" w:hAnsi="Garamond"/>
          <w:sz w:val="24"/>
          <w:szCs w:val="24"/>
        </w:rPr>
      </w:pPr>
    </w:p>
    <w:p w:rsidR="00DB5EE8" w:rsidRDefault="00DB5EE8" w:rsidP="00D2690B">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 xml:space="preserve">HC held that </w:t>
      </w:r>
    </w:p>
    <w:p w:rsidR="000517F1" w:rsidRDefault="00DB5EE8" w:rsidP="00DB5EE8">
      <w:pPr>
        <w:pStyle w:val="NoSpacing"/>
        <w:numPr>
          <w:ilvl w:val="0"/>
          <w:numId w:val="15"/>
        </w:numPr>
        <w:jc w:val="both"/>
        <w:rPr>
          <w:rFonts w:ascii="Garamond" w:hAnsi="Garamond"/>
          <w:sz w:val="24"/>
          <w:szCs w:val="24"/>
        </w:rPr>
      </w:pPr>
      <w:r>
        <w:rPr>
          <w:rFonts w:ascii="Garamond" w:hAnsi="Garamond"/>
          <w:sz w:val="24"/>
          <w:szCs w:val="24"/>
        </w:rPr>
        <w:t xml:space="preserve">obligation to repay loan/deposit by account payee cheque/bank draft as specified in sec 269T is mandatory &amp; penalty u/s 271E would attract on contravention. </w:t>
      </w:r>
    </w:p>
    <w:p w:rsidR="00DB5EE8" w:rsidRDefault="00DB5EE8" w:rsidP="00DB5EE8">
      <w:pPr>
        <w:pStyle w:val="NoSpacing"/>
        <w:numPr>
          <w:ilvl w:val="0"/>
          <w:numId w:val="15"/>
        </w:numPr>
        <w:jc w:val="both"/>
        <w:rPr>
          <w:rFonts w:ascii="Garamond" w:hAnsi="Garamond"/>
          <w:sz w:val="24"/>
          <w:szCs w:val="24"/>
        </w:rPr>
      </w:pPr>
      <w:r>
        <w:rPr>
          <w:rFonts w:ascii="Garamond" w:hAnsi="Garamond"/>
          <w:sz w:val="24"/>
          <w:szCs w:val="24"/>
        </w:rPr>
        <w:t xml:space="preserve">The </w:t>
      </w:r>
      <w:r w:rsidR="00106272">
        <w:rPr>
          <w:rFonts w:ascii="Garamond" w:hAnsi="Garamond"/>
          <w:sz w:val="24"/>
          <w:szCs w:val="24"/>
        </w:rPr>
        <w:t>cause why assessee repai</w:t>
      </w:r>
      <w:r>
        <w:rPr>
          <w:rFonts w:ascii="Garamond" w:hAnsi="Garamond"/>
          <w:sz w:val="24"/>
          <w:szCs w:val="24"/>
        </w:rPr>
        <w:t>d loan by way of adjusting book entries was because assessee was liable to receive an amount towards shares sold by it to the person from whom loan was received</w:t>
      </w:r>
    </w:p>
    <w:p w:rsidR="00DB5EE8" w:rsidRDefault="00DB5EE8" w:rsidP="00DB5EE8">
      <w:pPr>
        <w:pStyle w:val="NoSpacing"/>
        <w:numPr>
          <w:ilvl w:val="0"/>
          <w:numId w:val="15"/>
        </w:numPr>
        <w:jc w:val="both"/>
        <w:rPr>
          <w:rFonts w:ascii="Garamond" w:hAnsi="Garamond"/>
          <w:sz w:val="24"/>
          <w:szCs w:val="24"/>
        </w:rPr>
      </w:pPr>
      <w:r>
        <w:rPr>
          <w:rFonts w:ascii="Garamond" w:hAnsi="Garamond"/>
          <w:sz w:val="24"/>
          <w:szCs w:val="24"/>
        </w:rPr>
        <w:t>It would be a formality to repay loan by account payee cheque/draft &amp; receive back almost same amount towards sales price of shares</w:t>
      </w:r>
    </w:p>
    <w:p w:rsidR="00DB5EE8" w:rsidRDefault="00066C02" w:rsidP="00DB5EE8">
      <w:pPr>
        <w:pStyle w:val="NoSpacing"/>
        <w:numPr>
          <w:ilvl w:val="0"/>
          <w:numId w:val="15"/>
        </w:numPr>
        <w:jc w:val="both"/>
        <w:rPr>
          <w:rFonts w:ascii="Garamond" w:hAnsi="Garamond"/>
          <w:sz w:val="24"/>
          <w:szCs w:val="24"/>
        </w:rPr>
      </w:pPr>
      <w:r>
        <w:rPr>
          <w:rFonts w:ascii="Garamond" w:hAnsi="Garamond"/>
          <w:sz w:val="24"/>
          <w:szCs w:val="24"/>
        </w:rPr>
        <w:t>There is nothing on record to show that amount advanced to assessee is unaccounted income &amp; the whole transaction was entered to avoid tax</w:t>
      </w:r>
    </w:p>
    <w:p w:rsidR="000517F1" w:rsidRDefault="005E003D" w:rsidP="00D2690B">
      <w:pPr>
        <w:pStyle w:val="NoSpacing"/>
        <w:jc w:val="both"/>
        <w:rPr>
          <w:rFonts w:ascii="Garamond" w:hAnsi="Garamond"/>
          <w:sz w:val="24"/>
          <w:szCs w:val="24"/>
        </w:rPr>
      </w:pPr>
      <w:r>
        <w:rPr>
          <w:rFonts w:ascii="Garamond" w:hAnsi="Garamond"/>
          <w:sz w:val="24"/>
          <w:szCs w:val="24"/>
        </w:rPr>
        <w:t>In effect assessee violated 269T by repaying loan by way of passing book entries &amp; penalty u/s 271E is applicable. But since the transaction is bonafide in nature being a normal business transaction &amp; not done to avoid tax, it was held that assessee has shown reasonable cause for failure u/s 269T, &amp; as per 273B no penalty u/s 271E could be imposed on assessee for contravening 269T</w:t>
      </w:r>
    </w:p>
    <w:p w:rsidR="000517F1" w:rsidRDefault="000517F1" w:rsidP="00D2690B">
      <w:pPr>
        <w:pStyle w:val="NoSpacing"/>
        <w:jc w:val="both"/>
        <w:rPr>
          <w:rFonts w:ascii="Garamond" w:hAnsi="Garamond"/>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t xml:space="preserve">21. </w:t>
      </w:r>
      <w:r w:rsidR="00CB6AAC" w:rsidRPr="00CF3854">
        <w:rPr>
          <w:rFonts w:ascii="Garamond" w:hAnsi="Garamond"/>
          <w:b/>
          <w:bCs/>
          <w:i/>
          <w:iCs/>
          <w:sz w:val="24"/>
          <w:szCs w:val="24"/>
        </w:rPr>
        <w:t>Is the limit of 1,000 per month per child to be mandatorily deducted, while computing the perquisite value of the free or concessional education facility provided to the employee by the employer ?</w:t>
      </w:r>
    </w:p>
    <w:p w:rsidR="00CB6AAC" w:rsidRPr="007F5F60" w:rsidRDefault="00CB6AAC" w:rsidP="00CB6AAC">
      <w:pPr>
        <w:pStyle w:val="NoSpacing"/>
        <w:jc w:val="both"/>
        <w:rPr>
          <w:rFonts w:ascii="Garamond" w:hAnsi="Garamond"/>
          <w:b/>
          <w:bCs/>
          <w:i/>
          <w:iCs/>
          <w:sz w:val="24"/>
          <w:szCs w:val="24"/>
          <w:u w:val="single"/>
        </w:rPr>
      </w:pPr>
      <w:r w:rsidRPr="007F5F60">
        <w:rPr>
          <w:rFonts w:ascii="Garamond" w:hAnsi="Garamond"/>
          <w:b/>
          <w:bCs/>
          <w:i/>
          <w:iCs/>
          <w:sz w:val="24"/>
          <w:szCs w:val="24"/>
          <w:u w:val="single"/>
        </w:rPr>
        <w:t>CIT (TDS) v. Director, Delhi Public School (P&amp;H)</w:t>
      </w:r>
    </w:p>
    <w:p w:rsidR="00CB6AAC" w:rsidRDefault="00CB6AAC" w:rsidP="00CB6AAC">
      <w:pPr>
        <w:pStyle w:val="NoSpacing"/>
        <w:jc w:val="both"/>
        <w:rPr>
          <w:rFonts w:ascii="Garamond" w:hAnsi="Garamond"/>
          <w:sz w:val="24"/>
          <w:szCs w:val="24"/>
        </w:rPr>
      </w:pPr>
    </w:p>
    <w:p w:rsidR="00CB6AAC" w:rsidRDefault="00CB6AAC" w:rsidP="00CB6AAC">
      <w:pPr>
        <w:pStyle w:val="NoSpacing"/>
        <w:jc w:val="both"/>
        <w:rPr>
          <w:rFonts w:ascii="Garamond" w:hAnsi="Garamond"/>
          <w:sz w:val="24"/>
          <w:szCs w:val="24"/>
        </w:rPr>
      </w:pPr>
      <w:r>
        <w:rPr>
          <w:rFonts w:ascii="Garamond" w:hAnsi="Garamond"/>
          <w:sz w:val="24"/>
          <w:szCs w:val="24"/>
        </w:rPr>
        <w:t xml:space="preserve">As per rule </w:t>
      </w:r>
      <w:r w:rsidRPr="006D5A0B">
        <w:rPr>
          <w:rFonts w:ascii="Garamond" w:hAnsi="Garamond"/>
          <w:sz w:val="24"/>
          <w:szCs w:val="24"/>
        </w:rPr>
        <w:t>3</w:t>
      </w:r>
      <w:r>
        <w:rPr>
          <w:rFonts w:ascii="Garamond" w:hAnsi="Garamond"/>
          <w:sz w:val="24"/>
          <w:szCs w:val="24"/>
        </w:rPr>
        <w:t>(5) of income tax rules 1962, in case education facility is provided to employees household free or at concessional rates in institution maintained &amp; owned by employer, cost of education in similar institution/ in nearby locality shall be taken to be value of perquisite in the hands of employee.</w:t>
      </w:r>
    </w:p>
    <w:p w:rsidR="00CB6AAC" w:rsidRPr="006B7960" w:rsidRDefault="00CB6AAC" w:rsidP="00CB6AAC">
      <w:pPr>
        <w:pStyle w:val="NoSpacing"/>
        <w:jc w:val="both"/>
        <w:rPr>
          <w:rFonts w:ascii="Garamond" w:hAnsi="Garamond"/>
          <w:sz w:val="24"/>
          <w:szCs w:val="24"/>
          <w:u w:val="single"/>
        </w:rPr>
      </w:pPr>
      <w:r w:rsidRPr="006B7960">
        <w:rPr>
          <w:rFonts w:ascii="Garamond" w:hAnsi="Garamond"/>
          <w:sz w:val="24"/>
          <w:szCs w:val="24"/>
          <w:u w:val="single"/>
        </w:rPr>
        <w:t>If cost of education/value of benefit does not exceed Rs.1000 p.m per child, perquisite value will be nil</w:t>
      </w:r>
    </w:p>
    <w:p w:rsidR="00CB6AAC" w:rsidRPr="006D5A0B" w:rsidRDefault="00CB6AAC" w:rsidP="00CB6AAC">
      <w:pPr>
        <w:pStyle w:val="NoSpacing"/>
        <w:jc w:val="both"/>
        <w:rPr>
          <w:rFonts w:ascii="Garamond" w:hAnsi="Garamond"/>
          <w:b/>
          <w:bCs/>
          <w:sz w:val="24"/>
          <w:szCs w:val="24"/>
        </w:rPr>
      </w:pPr>
      <w:r>
        <w:rPr>
          <w:rFonts w:ascii="Garamond" w:hAnsi="Garamond"/>
          <w:sz w:val="24"/>
          <w:szCs w:val="24"/>
        </w:rPr>
        <w:t>Here cost of education was more than Rs.1000 &amp; assessee claimed a deduction of Rs.1000</w:t>
      </w:r>
    </w:p>
    <w:p w:rsidR="00CB6AAC" w:rsidRDefault="00CB6AAC" w:rsidP="00CB6AAC">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HC held that in case value of perquisite of free/concessional educational facility arising to an employee exceeds Rs.100 p.m per child, whole perquisite shall be taxable in the hands of employee &amp; no standard deduction of Rs.100 can be provided</w:t>
      </w:r>
    </w:p>
    <w:p w:rsidR="00CB6AAC" w:rsidRDefault="00CB6AAC" w:rsidP="00CB6AAC">
      <w:pPr>
        <w:pStyle w:val="NoSpacing"/>
        <w:jc w:val="both"/>
        <w:rPr>
          <w:rFonts w:ascii="Garamond" w:hAnsi="Garamond"/>
          <w:sz w:val="24"/>
          <w:szCs w:val="24"/>
        </w:rPr>
      </w:pPr>
      <w:r>
        <w:rPr>
          <w:rFonts w:ascii="Garamond" w:hAnsi="Garamond"/>
          <w:sz w:val="24"/>
          <w:szCs w:val="24"/>
        </w:rPr>
        <w:t>Rs.1000 p.m. per child is not a standard deduction to be provided while calculating such perquisite</w:t>
      </w:r>
    </w:p>
    <w:p w:rsidR="00CB6AAC" w:rsidRDefault="00CB6AAC" w:rsidP="00CB6AAC">
      <w:pPr>
        <w:pStyle w:val="NoSpacing"/>
        <w:jc w:val="both"/>
        <w:rPr>
          <w:rFonts w:ascii="Garamond" w:hAnsi="Garamond"/>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lastRenderedPageBreak/>
        <w:t>22</w:t>
      </w:r>
      <w:r w:rsidR="001E2D2B">
        <w:rPr>
          <w:rFonts w:ascii="Garamond" w:hAnsi="Garamond"/>
          <w:b/>
          <w:bCs/>
          <w:i/>
          <w:iCs/>
          <w:sz w:val="24"/>
          <w:szCs w:val="24"/>
        </w:rPr>
        <w:t xml:space="preserve">. </w:t>
      </w:r>
      <w:r w:rsidR="00CB6AAC" w:rsidRPr="00CF3854">
        <w:rPr>
          <w:rFonts w:ascii="Garamond" w:hAnsi="Garamond"/>
          <w:b/>
          <w:bCs/>
          <w:i/>
          <w:iCs/>
          <w:sz w:val="24"/>
          <w:szCs w:val="24"/>
        </w:rPr>
        <w:t>Is the commission paid to doctors by a diagnostic centre for r</w:t>
      </w:r>
      <w:r w:rsidR="001E2D2B">
        <w:rPr>
          <w:rFonts w:ascii="Garamond" w:hAnsi="Garamond"/>
          <w:b/>
          <w:bCs/>
          <w:i/>
          <w:iCs/>
          <w:sz w:val="24"/>
          <w:szCs w:val="24"/>
        </w:rPr>
        <w:t xml:space="preserve">eferring patients for diagnosis </w:t>
      </w:r>
      <w:r w:rsidR="00CB6AAC" w:rsidRPr="00CF3854">
        <w:rPr>
          <w:rFonts w:ascii="Garamond" w:hAnsi="Garamond"/>
          <w:b/>
          <w:bCs/>
          <w:i/>
          <w:iCs/>
          <w:sz w:val="24"/>
          <w:szCs w:val="24"/>
        </w:rPr>
        <w:t>be allowed as a bu</w:t>
      </w:r>
      <w:r w:rsidR="00CB6AAC">
        <w:rPr>
          <w:rFonts w:ascii="Garamond" w:hAnsi="Garamond"/>
          <w:b/>
          <w:bCs/>
          <w:i/>
          <w:iCs/>
          <w:sz w:val="24"/>
          <w:szCs w:val="24"/>
        </w:rPr>
        <w:t>siness expenditure u/s</w:t>
      </w:r>
      <w:r w:rsidR="00CB6AAC" w:rsidRPr="00CF3854">
        <w:rPr>
          <w:rFonts w:ascii="Garamond" w:hAnsi="Garamond"/>
          <w:b/>
          <w:bCs/>
          <w:i/>
          <w:iCs/>
          <w:sz w:val="24"/>
          <w:szCs w:val="24"/>
        </w:rPr>
        <w:t xml:space="preserve"> 37 or would it be treated as illegal and against public policy to attract disallowance?</w:t>
      </w:r>
    </w:p>
    <w:p w:rsidR="00CB6AAC" w:rsidRPr="00D76C92" w:rsidRDefault="00CB6AAC" w:rsidP="00CB6AAC">
      <w:pPr>
        <w:pStyle w:val="NoSpacing"/>
        <w:jc w:val="both"/>
        <w:rPr>
          <w:rFonts w:ascii="Garamond" w:hAnsi="Garamond"/>
          <w:b/>
          <w:bCs/>
          <w:i/>
          <w:iCs/>
          <w:sz w:val="24"/>
          <w:szCs w:val="24"/>
          <w:u w:val="single"/>
        </w:rPr>
      </w:pPr>
      <w:r w:rsidRPr="00D76C92">
        <w:rPr>
          <w:rFonts w:ascii="Garamond" w:hAnsi="Garamond"/>
          <w:b/>
          <w:bCs/>
          <w:i/>
          <w:iCs/>
          <w:sz w:val="24"/>
          <w:szCs w:val="24"/>
          <w:u w:val="single"/>
        </w:rPr>
        <w:t>CIT v. Kap Scan and Diagnostic Centre P. Ltd. (P&amp;H)</w:t>
      </w:r>
    </w:p>
    <w:p w:rsidR="00CB6AAC" w:rsidRDefault="00CB6AAC" w:rsidP="00CB6AAC">
      <w:pPr>
        <w:pStyle w:val="NoSpacing"/>
        <w:jc w:val="both"/>
        <w:rPr>
          <w:rFonts w:ascii="Garamond" w:hAnsi="Garamond"/>
          <w:sz w:val="24"/>
          <w:szCs w:val="24"/>
        </w:rPr>
      </w:pPr>
      <w:r>
        <w:rPr>
          <w:rFonts w:ascii="Garamond" w:hAnsi="Garamond"/>
          <w:b/>
          <w:bCs/>
          <w:i/>
          <w:iCs/>
          <w:sz w:val="24"/>
          <w:szCs w:val="24"/>
        </w:rPr>
        <w:t xml:space="preserve">Facts: </w:t>
      </w:r>
      <w:r>
        <w:rPr>
          <w:rFonts w:ascii="Garamond" w:hAnsi="Garamond"/>
          <w:sz w:val="24"/>
          <w:szCs w:val="24"/>
        </w:rPr>
        <w:t>assessee argued that giving commission to private doctors was a trade practice which is not illegal &amp; cannot be disallowed.</w:t>
      </w:r>
    </w:p>
    <w:p w:rsidR="00CB6AAC" w:rsidRDefault="00CB6AAC" w:rsidP="00CB6AAC">
      <w:pPr>
        <w:pStyle w:val="NoSpacing"/>
        <w:jc w:val="both"/>
        <w:rPr>
          <w:rFonts w:ascii="Garamond" w:hAnsi="Garamond"/>
          <w:sz w:val="24"/>
          <w:szCs w:val="24"/>
        </w:rPr>
      </w:pPr>
      <w:r>
        <w:rPr>
          <w:rFonts w:ascii="Garamond" w:hAnsi="Garamond"/>
          <w:b/>
          <w:bCs/>
          <w:i/>
          <w:iCs/>
          <w:sz w:val="24"/>
          <w:szCs w:val="24"/>
        </w:rPr>
        <w:t xml:space="preserve">Decision: </w:t>
      </w:r>
    </w:p>
    <w:p w:rsidR="00CB6AAC" w:rsidRDefault="00CB6AAC" w:rsidP="00CB6AAC">
      <w:pPr>
        <w:pStyle w:val="NoSpacing"/>
        <w:numPr>
          <w:ilvl w:val="0"/>
          <w:numId w:val="12"/>
        </w:numPr>
        <w:jc w:val="both"/>
        <w:rPr>
          <w:rFonts w:ascii="Garamond" w:hAnsi="Garamond"/>
          <w:sz w:val="24"/>
          <w:szCs w:val="24"/>
        </w:rPr>
      </w:pPr>
      <w:r>
        <w:rPr>
          <w:rFonts w:ascii="Garamond" w:hAnsi="Garamond"/>
          <w:sz w:val="24"/>
          <w:szCs w:val="24"/>
        </w:rPr>
        <w:t>Assessee would not be entitled to deduction of payment made in contravention to law</w:t>
      </w:r>
    </w:p>
    <w:p w:rsidR="00CB6AAC" w:rsidRDefault="00CB6AAC" w:rsidP="00CB6AAC">
      <w:pPr>
        <w:pStyle w:val="NoSpacing"/>
        <w:numPr>
          <w:ilvl w:val="0"/>
          <w:numId w:val="12"/>
        </w:numPr>
        <w:jc w:val="both"/>
        <w:rPr>
          <w:rFonts w:ascii="Garamond" w:hAnsi="Garamond"/>
          <w:sz w:val="24"/>
          <w:szCs w:val="24"/>
        </w:rPr>
      </w:pPr>
      <w:r>
        <w:rPr>
          <w:rFonts w:ascii="Garamond" w:hAnsi="Garamond"/>
          <w:sz w:val="24"/>
          <w:szCs w:val="24"/>
        </w:rPr>
        <w:t>Payments opposed to public policy in the nature of unlawful consideration cannot be claimed as deduction</w:t>
      </w:r>
    </w:p>
    <w:p w:rsidR="00CB6AAC" w:rsidRPr="008A1629" w:rsidRDefault="00CB6AAC" w:rsidP="00CB6AAC">
      <w:pPr>
        <w:pStyle w:val="NoSpacing"/>
        <w:numPr>
          <w:ilvl w:val="0"/>
          <w:numId w:val="12"/>
        </w:numPr>
        <w:jc w:val="both"/>
        <w:rPr>
          <w:rFonts w:ascii="Garamond" w:hAnsi="Garamond"/>
          <w:sz w:val="24"/>
          <w:szCs w:val="24"/>
        </w:rPr>
      </w:pPr>
      <w:r>
        <w:rPr>
          <w:rFonts w:ascii="Garamond" w:hAnsi="Garamond"/>
          <w:sz w:val="24"/>
          <w:szCs w:val="24"/>
        </w:rPr>
        <w:t xml:space="preserve"> As per Indian Medical Council Regulations 2002, no physician shall give, solicit, receive or offer to give, solicit or receive any gift, gratuity, commission or bonus in consideration of a return for referring any patient for medical treatment</w:t>
      </w:r>
    </w:p>
    <w:p w:rsidR="00CB6AAC" w:rsidRDefault="00CB6AAC" w:rsidP="00CB6AAC">
      <w:pPr>
        <w:pStyle w:val="NoSpacing"/>
        <w:jc w:val="both"/>
        <w:rPr>
          <w:rFonts w:ascii="Garamond" w:hAnsi="Garamond"/>
          <w:sz w:val="24"/>
          <w:szCs w:val="24"/>
        </w:rPr>
      </w:pPr>
      <w:r>
        <w:rPr>
          <w:rFonts w:ascii="Garamond" w:hAnsi="Garamond"/>
          <w:sz w:val="24"/>
          <w:szCs w:val="24"/>
        </w:rPr>
        <w:t>Demanding as well as paying such commission is bad in law. It is not a fair practice &amp; opposed to public policy &amp; should be discouraged. HC held that it is not allowable as business expenditure</w:t>
      </w:r>
    </w:p>
    <w:p w:rsidR="00CB6AAC" w:rsidRDefault="00CB6AAC" w:rsidP="00CB6AAC">
      <w:pPr>
        <w:pStyle w:val="NoSpacing"/>
        <w:jc w:val="both"/>
        <w:rPr>
          <w:rFonts w:ascii="Garamond" w:hAnsi="Garamond"/>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t>23</w:t>
      </w:r>
      <w:r w:rsidR="001E2D2B">
        <w:rPr>
          <w:rFonts w:ascii="Garamond" w:hAnsi="Garamond"/>
          <w:b/>
          <w:bCs/>
          <w:i/>
          <w:iCs/>
          <w:sz w:val="24"/>
          <w:szCs w:val="24"/>
        </w:rPr>
        <w:t xml:space="preserve">. </w:t>
      </w:r>
      <w:r w:rsidR="00CB6AAC" w:rsidRPr="00CF3854">
        <w:rPr>
          <w:rFonts w:ascii="Garamond" w:hAnsi="Garamond"/>
          <w:b/>
          <w:bCs/>
          <w:i/>
          <w:iCs/>
          <w:sz w:val="24"/>
          <w:szCs w:val="24"/>
        </w:rPr>
        <w:t>Can benefit of self-occupation</w:t>
      </w:r>
      <w:r w:rsidR="00CB6AAC">
        <w:rPr>
          <w:rFonts w:ascii="Garamond" w:hAnsi="Garamond"/>
          <w:b/>
          <w:bCs/>
          <w:i/>
          <w:iCs/>
          <w:sz w:val="24"/>
          <w:szCs w:val="24"/>
        </w:rPr>
        <w:t xml:space="preserve"> of house property u/s</w:t>
      </w:r>
      <w:r w:rsidR="00CB6AAC" w:rsidRPr="00CF3854">
        <w:rPr>
          <w:rFonts w:ascii="Garamond" w:hAnsi="Garamond"/>
          <w:b/>
          <w:bCs/>
          <w:i/>
          <w:iCs/>
          <w:sz w:val="24"/>
          <w:szCs w:val="24"/>
        </w:rPr>
        <w:t xml:space="preserve"> 23(2) be denied to a HUF on the ground that it cannot occupy a house property, being a fictional entity?</w:t>
      </w:r>
    </w:p>
    <w:p w:rsidR="00CB6AAC" w:rsidRDefault="00CB6AAC" w:rsidP="00CB6AAC">
      <w:pPr>
        <w:pStyle w:val="NoSpacing"/>
        <w:jc w:val="both"/>
        <w:rPr>
          <w:rFonts w:ascii="Garamond" w:hAnsi="Garamond"/>
          <w:b/>
          <w:bCs/>
          <w:i/>
          <w:iCs/>
          <w:sz w:val="24"/>
          <w:szCs w:val="24"/>
          <w:u w:val="single"/>
        </w:rPr>
      </w:pPr>
      <w:r w:rsidRPr="006F41D3">
        <w:rPr>
          <w:rFonts w:ascii="Garamond" w:hAnsi="Garamond"/>
          <w:b/>
          <w:bCs/>
          <w:i/>
          <w:iCs/>
          <w:sz w:val="24"/>
          <w:szCs w:val="24"/>
          <w:u w:val="single"/>
        </w:rPr>
        <w:t>CIT v. Hariprasad Bhojnagarwala (Guj)</w:t>
      </w:r>
    </w:p>
    <w:p w:rsidR="00CB6AAC" w:rsidRDefault="00CB6AAC" w:rsidP="00CB6AAC">
      <w:pPr>
        <w:pStyle w:val="NoSpacing"/>
        <w:jc w:val="both"/>
        <w:rPr>
          <w:rFonts w:ascii="Garamond" w:hAnsi="Garamond"/>
          <w:sz w:val="24"/>
          <w:szCs w:val="24"/>
          <w:u w:val="single"/>
        </w:rPr>
      </w:pPr>
    </w:p>
    <w:p w:rsidR="00CB6AAC" w:rsidRPr="00967A72" w:rsidRDefault="00CB6AAC" w:rsidP="00CB6AAC">
      <w:pPr>
        <w:pStyle w:val="NoSpacing"/>
        <w:jc w:val="both"/>
        <w:rPr>
          <w:rFonts w:ascii="Garamond" w:hAnsi="Garamond"/>
          <w:sz w:val="24"/>
          <w:szCs w:val="24"/>
        </w:rPr>
      </w:pPr>
      <w:r>
        <w:rPr>
          <w:rFonts w:ascii="Garamond" w:hAnsi="Garamond"/>
          <w:sz w:val="24"/>
          <w:szCs w:val="24"/>
        </w:rPr>
        <w:t>HC observed that:</w:t>
      </w:r>
    </w:p>
    <w:p w:rsidR="00CB6AAC" w:rsidRDefault="00CB6AAC" w:rsidP="00CB6AAC">
      <w:pPr>
        <w:pStyle w:val="NoSpacing"/>
        <w:numPr>
          <w:ilvl w:val="0"/>
          <w:numId w:val="6"/>
        </w:numPr>
        <w:jc w:val="both"/>
        <w:rPr>
          <w:rFonts w:ascii="Garamond" w:hAnsi="Garamond"/>
          <w:sz w:val="24"/>
          <w:szCs w:val="24"/>
        </w:rPr>
      </w:pPr>
      <w:r>
        <w:rPr>
          <w:rFonts w:ascii="Garamond" w:hAnsi="Garamond"/>
          <w:sz w:val="24"/>
          <w:szCs w:val="24"/>
        </w:rPr>
        <w:t xml:space="preserve">A </w:t>
      </w:r>
      <w:r w:rsidRPr="00967A72">
        <w:rPr>
          <w:rFonts w:ascii="Garamond" w:hAnsi="Garamond"/>
          <w:b/>
          <w:bCs/>
          <w:i/>
          <w:iCs/>
          <w:sz w:val="24"/>
          <w:szCs w:val="24"/>
          <w:u w:val="single"/>
        </w:rPr>
        <w:t>firm</w:t>
      </w:r>
      <w:r>
        <w:rPr>
          <w:rFonts w:ascii="Garamond" w:hAnsi="Garamond"/>
          <w:sz w:val="24"/>
          <w:szCs w:val="24"/>
        </w:rPr>
        <w:t>, which is a fictional entity cannot physically reside in a house property &amp; cannot claim the benefit of self occupation of house property</w:t>
      </w:r>
    </w:p>
    <w:p w:rsidR="00CB6AAC" w:rsidRDefault="00CB6AAC" w:rsidP="00CB6AAC">
      <w:pPr>
        <w:pStyle w:val="NoSpacing"/>
        <w:numPr>
          <w:ilvl w:val="0"/>
          <w:numId w:val="6"/>
        </w:numPr>
        <w:jc w:val="both"/>
        <w:rPr>
          <w:rFonts w:ascii="Garamond" w:hAnsi="Garamond"/>
          <w:sz w:val="24"/>
          <w:szCs w:val="24"/>
        </w:rPr>
      </w:pPr>
      <w:r>
        <w:rPr>
          <w:rFonts w:ascii="Garamond" w:hAnsi="Garamond"/>
          <w:sz w:val="24"/>
          <w:szCs w:val="24"/>
        </w:rPr>
        <w:t>HUF is a family comprising of group of natural persons. Family can reside in a house belonging to HUF.</w:t>
      </w:r>
    </w:p>
    <w:p w:rsidR="00CB6AAC" w:rsidRDefault="00CB6AAC" w:rsidP="00CB6AAC">
      <w:pPr>
        <w:pStyle w:val="NoSpacing"/>
        <w:numPr>
          <w:ilvl w:val="0"/>
          <w:numId w:val="6"/>
        </w:numPr>
        <w:jc w:val="both"/>
        <w:rPr>
          <w:rFonts w:ascii="Garamond" w:hAnsi="Garamond"/>
          <w:sz w:val="24"/>
          <w:szCs w:val="24"/>
        </w:rPr>
      </w:pPr>
      <w:r>
        <w:rPr>
          <w:rFonts w:ascii="Garamond" w:hAnsi="Garamond"/>
          <w:sz w:val="24"/>
          <w:szCs w:val="24"/>
        </w:rPr>
        <w:t>HUF cannot be said to be a fictional entity</w:t>
      </w:r>
    </w:p>
    <w:p w:rsidR="00CB6AAC" w:rsidRPr="00967A72" w:rsidRDefault="00CB6AAC" w:rsidP="00CB6AAC">
      <w:pPr>
        <w:pStyle w:val="NoSpacing"/>
        <w:numPr>
          <w:ilvl w:val="0"/>
          <w:numId w:val="6"/>
        </w:numPr>
        <w:jc w:val="both"/>
        <w:rPr>
          <w:rFonts w:ascii="Garamond" w:hAnsi="Garamond"/>
          <w:sz w:val="24"/>
          <w:szCs w:val="24"/>
        </w:rPr>
      </w:pPr>
      <w:r>
        <w:rPr>
          <w:rFonts w:ascii="Garamond" w:hAnsi="Garamond"/>
          <w:sz w:val="24"/>
          <w:szCs w:val="24"/>
        </w:rPr>
        <w:t xml:space="preserve">Since </w:t>
      </w:r>
      <w:r w:rsidRPr="00967A72">
        <w:rPr>
          <w:rFonts w:ascii="Garamond" w:hAnsi="Garamond"/>
          <w:i/>
          <w:iCs/>
          <w:sz w:val="24"/>
          <w:szCs w:val="24"/>
        </w:rPr>
        <w:t>singular</w:t>
      </w:r>
      <w:r>
        <w:rPr>
          <w:rFonts w:ascii="Garamond" w:hAnsi="Garamond"/>
          <w:sz w:val="24"/>
          <w:szCs w:val="24"/>
        </w:rPr>
        <w:t xml:space="preserve"> includes </w:t>
      </w:r>
      <w:r w:rsidRPr="00967A72">
        <w:rPr>
          <w:rFonts w:ascii="Garamond" w:hAnsi="Garamond"/>
          <w:i/>
          <w:iCs/>
          <w:sz w:val="24"/>
          <w:szCs w:val="24"/>
        </w:rPr>
        <w:t>plural</w:t>
      </w:r>
      <w:r>
        <w:rPr>
          <w:rFonts w:ascii="Garamond" w:hAnsi="Garamond"/>
          <w:sz w:val="24"/>
          <w:szCs w:val="24"/>
        </w:rPr>
        <w:t xml:space="preserve">, the word </w:t>
      </w:r>
      <w:r w:rsidRPr="00967A72">
        <w:rPr>
          <w:rFonts w:ascii="Garamond" w:hAnsi="Garamond"/>
          <w:i/>
          <w:iCs/>
          <w:sz w:val="24"/>
          <w:szCs w:val="24"/>
        </w:rPr>
        <w:t>owner</w:t>
      </w:r>
      <w:r>
        <w:rPr>
          <w:rFonts w:ascii="Garamond" w:hAnsi="Garamond"/>
          <w:sz w:val="24"/>
          <w:szCs w:val="24"/>
        </w:rPr>
        <w:t xml:space="preserve"> include </w:t>
      </w:r>
      <w:r w:rsidRPr="00967A72">
        <w:rPr>
          <w:rFonts w:ascii="Garamond" w:hAnsi="Garamond"/>
          <w:i/>
          <w:iCs/>
          <w:sz w:val="24"/>
          <w:szCs w:val="24"/>
        </w:rPr>
        <w:t>owners</w:t>
      </w:r>
      <w:r>
        <w:rPr>
          <w:rFonts w:ascii="Garamond" w:hAnsi="Garamond"/>
          <w:sz w:val="24"/>
          <w:szCs w:val="24"/>
        </w:rPr>
        <w:t xml:space="preserve"> &amp; words </w:t>
      </w:r>
      <w:r w:rsidRPr="00967A72">
        <w:rPr>
          <w:rFonts w:ascii="Garamond" w:hAnsi="Garamond"/>
          <w:i/>
          <w:iCs/>
          <w:sz w:val="24"/>
          <w:szCs w:val="24"/>
        </w:rPr>
        <w:t>his own</w:t>
      </w:r>
      <w:r>
        <w:rPr>
          <w:rFonts w:ascii="Garamond" w:hAnsi="Garamond"/>
          <w:sz w:val="24"/>
          <w:szCs w:val="24"/>
        </w:rPr>
        <w:t xml:space="preserve"> include </w:t>
      </w:r>
      <w:r w:rsidRPr="00967A72">
        <w:rPr>
          <w:rFonts w:ascii="Garamond" w:hAnsi="Garamond"/>
          <w:i/>
          <w:iCs/>
          <w:sz w:val="24"/>
          <w:szCs w:val="24"/>
        </w:rPr>
        <w:t>their own</w:t>
      </w:r>
    </w:p>
    <w:p w:rsidR="00CB6AAC" w:rsidRPr="00C81F08" w:rsidRDefault="00CB6AAC" w:rsidP="00CB6AAC">
      <w:pPr>
        <w:pStyle w:val="NoSpacing"/>
        <w:jc w:val="both"/>
        <w:rPr>
          <w:rFonts w:ascii="Garamond" w:hAnsi="Garamond"/>
          <w:sz w:val="24"/>
          <w:szCs w:val="24"/>
        </w:rPr>
      </w:pPr>
      <w:r>
        <w:rPr>
          <w:rFonts w:ascii="Garamond" w:hAnsi="Garamond"/>
          <w:sz w:val="24"/>
          <w:szCs w:val="24"/>
        </w:rPr>
        <w:t>HC held that HUF is entitled to claim benefit of self occupation of house property u/s 23 (2)</w:t>
      </w:r>
    </w:p>
    <w:p w:rsidR="00CB6AAC" w:rsidRPr="00C81F08" w:rsidRDefault="00CB6AAC" w:rsidP="00CB6AAC">
      <w:pPr>
        <w:pStyle w:val="NoSpacing"/>
        <w:jc w:val="both"/>
        <w:rPr>
          <w:rFonts w:ascii="Garamond" w:hAnsi="Garamond"/>
          <w:sz w:val="24"/>
          <w:szCs w:val="24"/>
        </w:rPr>
      </w:pPr>
    </w:p>
    <w:p w:rsidR="00CB6AAC" w:rsidRPr="00CB6AAC" w:rsidRDefault="00E75BA5" w:rsidP="00CB6AAC">
      <w:pPr>
        <w:pStyle w:val="Default"/>
        <w:jc w:val="both"/>
        <w:rPr>
          <w:rFonts w:ascii="Garamond" w:hAnsi="Garamond"/>
          <w:b/>
          <w:bCs/>
          <w:i/>
          <w:iCs/>
        </w:rPr>
      </w:pPr>
      <w:r>
        <w:rPr>
          <w:rFonts w:ascii="Garamond" w:hAnsi="Garamond"/>
          <w:b/>
          <w:bCs/>
          <w:i/>
          <w:iCs/>
        </w:rPr>
        <w:t>24</w:t>
      </w:r>
      <w:r w:rsidR="001E2D2B">
        <w:rPr>
          <w:rFonts w:ascii="Garamond" w:hAnsi="Garamond"/>
          <w:b/>
          <w:bCs/>
          <w:i/>
          <w:iCs/>
        </w:rPr>
        <w:t xml:space="preserve">. </w:t>
      </w:r>
      <w:r w:rsidR="00CB6AAC" w:rsidRPr="00CB6AAC">
        <w:rPr>
          <w:rFonts w:ascii="Garamond" w:hAnsi="Garamond"/>
          <w:b/>
          <w:bCs/>
          <w:i/>
          <w:iCs/>
        </w:rPr>
        <w:t>Can an assessee, engaged in the business of developing a housing project, b</w:t>
      </w:r>
      <w:r w:rsidR="00DA5732">
        <w:rPr>
          <w:rFonts w:ascii="Garamond" w:hAnsi="Garamond"/>
          <w:b/>
          <w:bCs/>
          <w:i/>
          <w:iCs/>
        </w:rPr>
        <w:t>e denied deduction u/s</w:t>
      </w:r>
      <w:r w:rsidR="005908FC">
        <w:rPr>
          <w:rFonts w:ascii="Garamond" w:hAnsi="Garamond"/>
          <w:b/>
          <w:bCs/>
          <w:i/>
          <w:iCs/>
        </w:rPr>
        <w:t xml:space="preserve"> 80-IB </w:t>
      </w:r>
      <w:r w:rsidR="00CB6AAC" w:rsidRPr="00CB6AAC">
        <w:rPr>
          <w:rFonts w:ascii="Garamond" w:hAnsi="Garamond"/>
          <w:b/>
          <w:bCs/>
          <w:i/>
          <w:iCs/>
        </w:rPr>
        <w:t>(10) on the ground that the ownership of land has not yet been transferred to the assessee and the approval to build the housing project has been taken in the name of the land owner, though the assessee assumes the entire risks and rewards of the project?</w:t>
      </w:r>
    </w:p>
    <w:p w:rsidR="00CB6AAC" w:rsidRPr="00CB6AAC" w:rsidRDefault="00CB6AAC" w:rsidP="00CB6AAC">
      <w:pPr>
        <w:pStyle w:val="NoSpacing"/>
        <w:jc w:val="both"/>
        <w:rPr>
          <w:rFonts w:ascii="Garamond" w:hAnsi="Garamond"/>
          <w:b/>
          <w:bCs/>
          <w:i/>
          <w:iCs/>
          <w:sz w:val="24"/>
          <w:szCs w:val="24"/>
          <w:u w:val="single"/>
        </w:rPr>
      </w:pPr>
      <w:r w:rsidRPr="00CB6AAC">
        <w:rPr>
          <w:rFonts w:ascii="Garamond" w:hAnsi="Garamond"/>
          <w:b/>
          <w:bCs/>
          <w:i/>
          <w:iCs/>
          <w:sz w:val="24"/>
          <w:szCs w:val="24"/>
          <w:u w:val="single"/>
        </w:rPr>
        <w:t>CIT v. Radhe Developers (Guj)</w:t>
      </w:r>
    </w:p>
    <w:p w:rsidR="00CB6AAC" w:rsidRDefault="00CB6AAC" w:rsidP="00CB6AAC">
      <w:pPr>
        <w:pStyle w:val="NoSpacing"/>
        <w:jc w:val="both"/>
        <w:rPr>
          <w:rFonts w:ascii="Garamond" w:hAnsi="Garamond"/>
          <w:sz w:val="24"/>
          <w:szCs w:val="24"/>
        </w:rPr>
      </w:pPr>
    </w:p>
    <w:p w:rsidR="00CB6AAC" w:rsidRDefault="0039456D" w:rsidP="00CB6AAC">
      <w:pPr>
        <w:pStyle w:val="NoSpacing"/>
        <w:jc w:val="both"/>
        <w:rPr>
          <w:rFonts w:ascii="Garamond" w:hAnsi="Garamond"/>
          <w:sz w:val="24"/>
          <w:szCs w:val="24"/>
        </w:rPr>
      </w:pPr>
      <w:r>
        <w:rPr>
          <w:rFonts w:ascii="Garamond" w:hAnsi="Garamond"/>
          <w:sz w:val="24"/>
          <w:szCs w:val="24"/>
        </w:rPr>
        <w:t>HC held that on perusal of Sec 80-IB(10), deduction of 100% of profit is provided to an undertaking deriving profit from business of developing &amp; building house projects which is approved by local authority before specified date, subject to certain conditions</w:t>
      </w:r>
      <w:r w:rsidR="00CC1831">
        <w:rPr>
          <w:rFonts w:ascii="Garamond" w:hAnsi="Garamond"/>
          <w:sz w:val="24"/>
          <w:szCs w:val="24"/>
        </w:rPr>
        <w:t>.</w:t>
      </w:r>
      <w:r w:rsidR="005C0434">
        <w:rPr>
          <w:rFonts w:ascii="Garamond" w:hAnsi="Garamond"/>
          <w:sz w:val="24"/>
          <w:szCs w:val="24"/>
        </w:rPr>
        <w:t xml:space="preserve"> The provision nowhere requires that only those developers who themselves own land would be entitled to deduction u/s 80-IB(10</w:t>
      </w:r>
      <w:r w:rsidR="004D766C">
        <w:rPr>
          <w:rFonts w:ascii="Garamond" w:hAnsi="Garamond"/>
          <w:sz w:val="24"/>
          <w:szCs w:val="24"/>
        </w:rPr>
        <w:t xml:space="preserve"> </w:t>
      </w:r>
      <w:r w:rsidR="005C0434">
        <w:rPr>
          <w:rFonts w:ascii="Garamond" w:hAnsi="Garamond"/>
          <w:sz w:val="24"/>
          <w:szCs w:val="24"/>
        </w:rPr>
        <w:t>)</w:t>
      </w:r>
    </w:p>
    <w:p w:rsidR="00AF4A25" w:rsidRDefault="00742088" w:rsidP="00CB6AAC">
      <w:pPr>
        <w:pStyle w:val="NoSpacing"/>
        <w:jc w:val="both"/>
        <w:rPr>
          <w:rFonts w:ascii="Garamond" w:hAnsi="Garamond"/>
          <w:sz w:val="24"/>
          <w:szCs w:val="24"/>
        </w:rPr>
      </w:pPr>
      <w:r>
        <w:rPr>
          <w:rFonts w:ascii="Garamond" w:hAnsi="Garamond"/>
          <w:sz w:val="24"/>
          <w:szCs w:val="24"/>
        </w:rPr>
        <w:t>As land owner entered into an agreement to sell</w:t>
      </w:r>
      <w:r w:rsidR="008E195F">
        <w:rPr>
          <w:rFonts w:ascii="Garamond" w:hAnsi="Garamond"/>
          <w:sz w:val="24"/>
          <w:szCs w:val="24"/>
        </w:rPr>
        <w:t xml:space="preserve"> the land to assessee, it would constitute a contract for sale &amp; not a works contract</w:t>
      </w:r>
      <w:r w:rsidR="005861D4">
        <w:rPr>
          <w:rFonts w:ascii="Garamond" w:hAnsi="Garamond"/>
          <w:sz w:val="24"/>
          <w:szCs w:val="24"/>
        </w:rPr>
        <w:t xml:space="preserve">. Possession has been given to assessee &amp; he had </w:t>
      </w:r>
      <w:r w:rsidR="006C43F3">
        <w:rPr>
          <w:rFonts w:ascii="Garamond" w:hAnsi="Garamond"/>
          <w:sz w:val="24"/>
          <w:szCs w:val="24"/>
        </w:rPr>
        <w:t xml:space="preserve">carried out construction work. For the purpose of income tax act, it is deemed to have transfered to assessee, though title of land has not yet been transfered. </w:t>
      </w:r>
    </w:p>
    <w:p w:rsidR="006C43F3" w:rsidRDefault="006C43F3" w:rsidP="00CB6AAC">
      <w:pPr>
        <w:pStyle w:val="NoSpacing"/>
        <w:jc w:val="both"/>
        <w:rPr>
          <w:rFonts w:ascii="Garamond" w:hAnsi="Garamond"/>
          <w:sz w:val="24"/>
          <w:szCs w:val="24"/>
        </w:rPr>
      </w:pPr>
      <w:r>
        <w:rPr>
          <w:rFonts w:ascii="Garamond" w:hAnsi="Garamond"/>
          <w:sz w:val="24"/>
          <w:szCs w:val="24"/>
        </w:rPr>
        <w:t>Hence for the purpose of 80IB(10) assessee has satisfied all conditions of ownership &amp; shall be deemed to be owner. Thus deduction shall be allowed</w:t>
      </w:r>
    </w:p>
    <w:p w:rsidR="00AF4A25" w:rsidRPr="00C81F08" w:rsidRDefault="00AF4A25" w:rsidP="00CB6AAC">
      <w:pPr>
        <w:pStyle w:val="NoSpacing"/>
        <w:jc w:val="both"/>
        <w:rPr>
          <w:rFonts w:ascii="Garamond" w:hAnsi="Garamond"/>
          <w:sz w:val="24"/>
          <w:szCs w:val="24"/>
        </w:rPr>
      </w:pPr>
    </w:p>
    <w:p w:rsidR="00C83733" w:rsidRDefault="00C83733" w:rsidP="00CB6AAC">
      <w:pPr>
        <w:pStyle w:val="NoSpacing"/>
        <w:jc w:val="both"/>
        <w:rPr>
          <w:rFonts w:ascii="Garamond" w:hAnsi="Garamond"/>
          <w:b/>
          <w:bCs/>
          <w:i/>
          <w:iCs/>
          <w:sz w:val="24"/>
          <w:szCs w:val="24"/>
        </w:rPr>
      </w:pPr>
    </w:p>
    <w:p w:rsidR="00C83733" w:rsidRDefault="00C83733" w:rsidP="00CB6AAC">
      <w:pPr>
        <w:pStyle w:val="NoSpacing"/>
        <w:jc w:val="both"/>
        <w:rPr>
          <w:rFonts w:ascii="Garamond" w:hAnsi="Garamond"/>
          <w:b/>
          <w:bCs/>
          <w:i/>
          <w:iCs/>
          <w:sz w:val="24"/>
          <w:szCs w:val="24"/>
        </w:rPr>
      </w:pPr>
    </w:p>
    <w:p w:rsidR="00C83733" w:rsidRDefault="00C83733" w:rsidP="00CB6AAC">
      <w:pPr>
        <w:pStyle w:val="NoSpacing"/>
        <w:jc w:val="both"/>
        <w:rPr>
          <w:rFonts w:ascii="Garamond" w:hAnsi="Garamond"/>
          <w:b/>
          <w:bCs/>
          <w:i/>
          <w:iCs/>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lastRenderedPageBreak/>
        <w:t>25</w:t>
      </w:r>
      <w:r w:rsidR="001E2D2B">
        <w:rPr>
          <w:rFonts w:ascii="Garamond" w:hAnsi="Garamond"/>
          <w:b/>
          <w:bCs/>
          <w:i/>
          <w:iCs/>
          <w:sz w:val="24"/>
          <w:szCs w:val="24"/>
        </w:rPr>
        <w:t xml:space="preserve">. </w:t>
      </w:r>
      <w:r w:rsidR="00CB6AAC" w:rsidRPr="00CF3854">
        <w:rPr>
          <w:rFonts w:ascii="Garamond" w:hAnsi="Garamond"/>
          <w:b/>
          <w:bCs/>
          <w:i/>
          <w:iCs/>
          <w:sz w:val="24"/>
          <w:szCs w:val="24"/>
        </w:rPr>
        <w:t>Can the rental income from the unsold flats of a builder be</w:t>
      </w:r>
      <w:r w:rsidR="00CB6AAC">
        <w:rPr>
          <w:rFonts w:ascii="Garamond" w:hAnsi="Garamond"/>
          <w:b/>
          <w:bCs/>
          <w:i/>
          <w:iCs/>
          <w:sz w:val="24"/>
          <w:szCs w:val="24"/>
        </w:rPr>
        <w:t xml:space="preserve"> treated as its business income </w:t>
      </w:r>
      <w:r w:rsidR="00CB6AAC" w:rsidRPr="00CF3854">
        <w:rPr>
          <w:rFonts w:ascii="Garamond" w:hAnsi="Garamond"/>
          <w:b/>
          <w:bCs/>
          <w:i/>
          <w:iCs/>
          <w:sz w:val="24"/>
          <w:szCs w:val="24"/>
        </w:rPr>
        <w:t>merely because the assessee has, in its wealth tax return, claimed that the unsold flats were stock-in-trade of its business?</w:t>
      </w:r>
    </w:p>
    <w:p w:rsidR="00CB6AAC" w:rsidRPr="00F0682C" w:rsidRDefault="00CB6AAC" w:rsidP="00CB6AAC">
      <w:pPr>
        <w:pStyle w:val="NoSpacing"/>
        <w:jc w:val="both"/>
        <w:rPr>
          <w:rFonts w:ascii="Garamond" w:hAnsi="Garamond"/>
          <w:b/>
          <w:bCs/>
          <w:i/>
          <w:iCs/>
          <w:sz w:val="24"/>
          <w:szCs w:val="24"/>
          <w:u w:val="single"/>
        </w:rPr>
      </w:pPr>
      <w:r w:rsidRPr="00F0682C">
        <w:rPr>
          <w:rFonts w:ascii="Garamond" w:hAnsi="Garamond"/>
          <w:b/>
          <w:bCs/>
          <w:i/>
          <w:iCs/>
          <w:sz w:val="24"/>
          <w:szCs w:val="24"/>
          <w:u w:val="single"/>
        </w:rPr>
        <w:t>Azimganj Estate (P.) Ltd.v. CIT (Cal)</w:t>
      </w:r>
    </w:p>
    <w:p w:rsidR="00CB6AAC" w:rsidRDefault="00CB6AAC" w:rsidP="00CB6AAC">
      <w:pPr>
        <w:pStyle w:val="NoSpacing"/>
        <w:jc w:val="both"/>
        <w:rPr>
          <w:rFonts w:ascii="Garamond" w:hAnsi="Garamond"/>
          <w:sz w:val="24"/>
          <w:szCs w:val="24"/>
        </w:rPr>
      </w:pPr>
    </w:p>
    <w:p w:rsidR="00CB6AAC" w:rsidRPr="00DF6ED0" w:rsidRDefault="00CB6AAC" w:rsidP="00CB6AAC">
      <w:pPr>
        <w:pStyle w:val="NoSpacing"/>
        <w:jc w:val="both"/>
        <w:rPr>
          <w:rFonts w:ascii="Garamond" w:hAnsi="Garamond"/>
          <w:sz w:val="24"/>
          <w:szCs w:val="24"/>
        </w:rPr>
      </w:pPr>
      <w:r>
        <w:rPr>
          <w:rFonts w:ascii="Garamond" w:hAnsi="Garamond"/>
          <w:b/>
          <w:bCs/>
          <w:i/>
          <w:iCs/>
          <w:sz w:val="24"/>
          <w:szCs w:val="24"/>
        </w:rPr>
        <w:t xml:space="preserve">Point of difference: </w:t>
      </w:r>
      <w:r>
        <w:rPr>
          <w:rFonts w:ascii="Garamond" w:hAnsi="Garamond"/>
          <w:sz w:val="24"/>
          <w:szCs w:val="24"/>
        </w:rPr>
        <w:t>assessee disclosed renting income from letting out of unsold flats under the head ‘income from house property’ &amp; claimed statutory deduction of 30%’</w:t>
      </w:r>
    </w:p>
    <w:p w:rsidR="00CB6AAC" w:rsidRDefault="00CB6AAC" w:rsidP="00CB6AAC">
      <w:pPr>
        <w:pStyle w:val="NoSpacing"/>
        <w:jc w:val="both"/>
        <w:rPr>
          <w:rFonts w:ascii="Garamond" w:hAnsi="Garamond"/>
          <w:sz w:val="24"/>
          <w:szCs w:val="24"/>
        </w:rPr>
      </w:pPr>
      <w:r>
        <w:rPr>
          <w:rFonts w:ascii="Garamond" w:hAnsi="Garamond"/>
          <w:sz w:val="24"/>
          <w:szCs w:val="24"/>
        </w:rPr>
        <w:t>AO contended that it should be treated as business income as he had taken unsold flats as stock in trade &amp; not as assets for wealth tax Act 1961 &amp; thus rejected claim of 30% deduction</w:t>
      </w:r>
    </w:p>
    <w:p w:rsidR="00CB6AAC" w:rsidRDefault="00CB6AAC" w:rsidP="00CB6AAC">
      <w:pPr>
        <w:pStyle w:val="NoSpacing"/>
        <w:jc w:val="both"/>
        <w:rPr>
          <w:rFonts w:ascii="Garamond" w:hAnsi="Garamond"/>
          <w:sz w:val="24"/>
          <w:szCs w:val="24"/>
        </w:rPr>
      </w:pPr>
      <w:r>
        <w:rPr>
          <w:rFonts w:ascii="Garamond" w:hAnsi="Garamond"/>
          <w:b/>
          <w:bCs/>
          <w:i/>
          <w:iCs/>
          <w:sz w:val="24"/>
          <w:szCs w:val="24"/>
        </w:rPr>
        <w:t xml:space="preserve">Decision: </w:t>
      </w:r>
      <w:r>
        <w:rPr>
          <w:rFonts w:ascii="Garamond" w:hAnsi="Garamond"/>
          <w:sz w:val="24"/>
          <w:szCs w:val="24"/>
        </w:rPr>
        <w:t>HC held that:</w:t>
      </w:r>
    </w:p>
    <w:p w:rsidR="00CB6AAC" w:rsidRDefault="00CB6AAC" w:rsidP="00CB6AAC">
      <w:pPr>
        <w:pStyle w:val="NoSpacing"/>
        <w:numPr>
          <w:ilvl w:val="0"/>
          <w:numId w:val="5"/>
        </w:numPr>
        <w:jc w:val="both"/>
        <w:rPr>
          <w:rFonts w:ascii="Garamond" w:hAnsi="Garamond"/>
          <w:sz w:val="24"/>
          <w:szCs w:val="24"/>
        </w:rPr>
      </w:pPr>
      <w:r>
        <w:rPr>
          <w:rFonts w:ascii="Garamond" w:hAnsi="Garamond"/>
          <w:sz w:val="24"/>
          <w:szCs w:val="24"/>
        </w:rPr>
        <w:t>Rental income from unsold flat of builder shall be taxable as income from house property u/s 22</w:t>
      </w:r>
    </w:p>
    <w:p w:rsidR="00CB6AAC" w:rsidRDefault="00CB6AAC" w:rsidP="00CB6AAC">
      <w:pPr>
        <w:pStyle w:val="NoSpacing"/>
        <w:numPr>
          <w:ilvl w:val="0"/>
          <w:numId w:val="5"/>
        </w:numPr>
        <w:jc w:val="both"/>
        <w:rPr>
          <w:rFonts w:ascii="Garamond" w:hAnsi="Garamond"/>
          <w:sz w:val="24"/>
          <w:szCs w:val="24"/>
        </w:rPr>
      </w:pPr>
      <w:r>
        <w:rPr>
          <w:rFonts w:ascii="Garamond" w:hAnsi="Garamond"/>
          <w:sz w:val="24"/>
          <w:szCs w:val="24"/>
        </w:rPr>
        <w:t>Since it specifically falls under this head, it cannot be taxed under the head PGBP</w:t>
      </w:r>
    </w:p>
    <w:p w:rsidR="00CB6AAC" w:rsidRPr="003D3F2B" w:rsidRDefault="00CB6AAC" w:rsidP="00CB6AAC">
      <w:pPr>
        <w:pStyle w:val="NoSpacing"/>
        <w:jc w:val="both"/>
        <w:rPr>
          <w:rFonts w:ascii="Garamond" w:hAnsi="Garamond"/>
          <w:sz w:val="24"/>
          <w:szCs w:val="24"/>
        </w:rPr>
      </w:pPr>
      <w:r>
        <w:rPr>
          <w:rFonts w:ascii="Garamond" w:hAnsi="Garamond"/>
          <w:sz w:val="24"/>
          <w:szCs w:val="24"/>
        </w:rPr>
        <w:t>Therefore assessee is entitled to 30% deduction. Fact that it was claimed as stock in trade for wealth tax, will not affect computation of income under income tax Act 1961</w:t>
      </w:r>
    </w:p>
    <w:p w:rsidR="00CB6AAC" w:rsidRDefault="00CB6AAC" w:rsidP="00CB6AAC">
      <w:pPr>
        <w:pStyle w:val="NoSpacing"/>
        <w:jc w:val="both"/>
        <w:rPr>
          <w:rFonts w:ascii="Garamond" w:hAnsi="Garamond"/>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t>26</w:t>
      </w:r>
      <w:r w:rsidR="001E2D2B">
        <w:rPr>
          <w:rFonts w:ascii="Garamond" w:hAnsi="Garamond"/>
          <w:b/>
          <w:bCs/>
          <w:i/>
          <w:iCs/>
          <w:sz w:val="24"/>
          <w:szCs w:val="24"/>
        </w:rPr>
        <w:t xml:space="preserve">. </w:t>
      </w:r>
      <w:r w:rsidR="00CB6AAC" w:rsidRPr="00CF3854">
        <w:rPr>
          <w:rFonts w:ascii="Garamond" w:hAnsi="Garamond"/>
          <w:b/>
          <w:bCs/>
          <w:i/>
          <w:iCs/>
          <w:sz w:val="24"/>
          <w:szCs w:val="24"/>
        </w:rPr>
        <w:t>Can an assessee, engaged in money lending business, claim interest paid on money borrowed as business expenditure?</w:t>
      </w:r>
    </w:p>
    <w:p w:rsidR="00CB6AAC" w:rsidRPr="00AF035C" w:rsidRDefault="00CB6AAC" w:rsidP="00CB6AAC">
      <w:pPr>
        <w:pStyle w:val="NoSpacing"/>
        <w:jc w:val="both"/>
        <w:rPr>
          <w:rFonts w:ascii="Garamond" w:hAnsi="Garamond"/>
          <w:b/>
          <w:bCs/>
          <w:i/>
          <w:iCs/>
          <w:sz w:val="24"/>
          <w:szCs w:val="24"/>
          <w:u w:val="single"/>
        </w:rPr>
      </w:pPr>
      <w:r w:rsidRPr="00AF035C">
        <w:rPr>
          <w:rFonts w:ascii="Garamond" w:hAnsi="Garamond"/>
          <w:b/>
          <w:bCs/>
          <w:i/>
          <w:iCs/>
          <w:sz w:val="24"/>
          <w:szCs w:val="24"/>
          <w:u w:val="single"/>
        </w:rPr>
        <w:t>Rajendra Kumar Dabriwala v. CIT (Cal)</w:t>
      </w:r>
    </w:p>
    <w:p w:rsidR="00CB6AAC" w:rsidRDefault="00CB6AAC" w:rsidP="00CB6AAC">
      <w:pPr>
        <w:pStyle w:val="NoSpacing"/>
        <w:jc w:val="both"/>
        <w:rPr>
          <w:rFonts w:ascii="Garamond" w:hAnsi="Garamond"/>
          <w:sz w:val="24"/>
          <w:szCs w:val="24"/>
        </w:rPr>
      </w:pPr>
    </w:p>
    <w:p w:rsidR="006115C2" w:rsidRDefault="00CB6AAC" w:rsidP="00D2690B">
      <w:pPr>
        <w:pStyle w:val="NoSpacing"/>
        <w:jc w:val="both"/>
        <w:rPr>
          <w:rFonts w:ascii="Garamond" w:hAnsi="Garamond"/>
          <w:sz w:val="24"/>
          <w:szCs w:val="24"/>
        </w:rPr>
      </w:pPr>
      <w:r>
        <w:rPr>
          <w:rFonts w:ascii="Garamond" w:hAnsi="Garamond"/>
          <w:sz w:val="24"/>
          <w:szCs w:val="24"/>
        </w:rPr>
        <w:t>HC held that assessee is entitled to receive interest from loan advanced &amp; also to take loan for running money lending business. Assessee is lawfully entitled to deduct interest paid on borrowed funds as business expenditure, subject to provisions of section 14A [no deduction for interest paid on loan taken i.r.t income which does not form part of his total income under the Act]. Thus AO is not right in his contention</w:t>
      </w:r>
    </w:p>
    <w:p w:rsidR="00CF3854" w:rsidRDefault="00CF3854" w:rsidP="00D2690B">
      <w:pPr>
        <w:pStyle w:val="NoSpacing"/>
        <w:jc w:val="both"/>
        <w:rPr>
          <w:rFonts w:ascii="Garamond" w:hAnsi="Garamond"/>
          <w:sz w:val="24"/>
          <w:szCs w:val="24"/>
        </w:rPr>
      </w:pPr>
    </w:p>
    <w:p w:rsidR="00F961D4" w:rsidRPr="00F961D4" w:rsidRDefault="00E75BA5" w:rsidP="00F961D4">
      <w:pPr>
        <w:pStyle w:val="Default"/>
        <w:jc w:val="both"/>
        <w:rPr>
          <w:rFonts w:ascii="Garamond" w:hAnsi="Garamond"/>
          <w:b/>
          <w:bCs/>
          <w:i/>
          <w:iCs/>
        </w:rPr>
      </w:pPr>
      <w:r>
        <w:rPr>
          <w:rFonts w:ascii="Garamond" w:hAnsi="Garamond"/>
          <w:b/>
          <w:bCs/>
          <w:i/>
          <w:iCs/>
        </w:rPr>
        <w:t>27</w:t>
      </w:r>
      <w:r w:rsidR="001E2D2B">
        <w:rPr>
          <w:rFonts w:ascii="Garamond" w:hAnsi="Garamond"/>
          <w:b/>
          <w:bCs/>
          <w:i/>
          <w:iCs/>
        </w:rPr>
        <w:t xml:space="preserve">. </w:t>
      </w:r>
      <w:r w:rsidR="00F961D4" w:rsidRPr="00F961D4">
        <w:rPr>
          <w:rFonts w:ascii="Garamond" w:hAnsi="Garamond"/>
          <w:b/>
          <w:bCs/>
          <w:i/>
          <w:iCs/>
        </w:rPr>
        <w:t>Will an agricultural land be treated as capital asset, in case</w:t>
      </w:r>
      <w:r w:rsidR="00167A7D">
        <w:rPr>
          <w:rFonts w:ascii="Garamond" w:hAnsi="Garamond"/>
          <w:b/>
          <w:bCs/>
          <w:i/>
          <w:iCs/>
        </w:rPr>
        <w:t xml:space="preserve"> it is located within 8 kilo</w:t>
      </w:r>
      <w:r w:rsidR="00317EB1">
        <w:rPr>
          <w:rFonts w:ascii="Garamond" w:hAnsi="Garamond"/>
          <w:b/>
          <w:bCs/>
          <w:i/>
          <w:iCs/>
        </w:rPr>
        <w:t xml:space="preserve"> </w:t>
      </w:r>
      <w:r w:rsidR="00167A7D">
        <w:rPr>
          <w:rFonts w:ascii="Garamond" w:hAnsi="Garamond"/>
          <w:b/>
          <w:bCs/>
          <w:i/>
          <w:iCs/>
        </w:rPr>
        <w:t>mete</w:t>
      </w:r>
      <w:r w:rsidR="00F961D4" w:rsidRPr="00F961D4">
        <w:rPr>
          <w:rFonts w:ascii="Garamond" w:hAnsi="Garamond"/>
          <w:b/>
          <w:bCs/>
          <w:i/>
          <w:iCs/>
        </w:rPr>
        <w:t>rs from the local limits of a City Municipal Corporation, even though the same is not notified by the Central Government under section 2(14)(iii)(b)?</w:t>
      </w:r>
    </w:p>
    <w:p w:rsidR="00F961D4" w:rsidRPr="008E64B5" w:rsidRDefault="00F961D4" w:rsidP="00F961D4">
      <w:pPr>
        <w:pStyle w:val="NoSpacing"/>
        <w:jc w:val="both"/>
        <w:rPr>
          <w:rFonts w:ascii="Garamond" w:hAnsi="Garamond"/>
          <w:b/>
          <w:bCs/>
          <w:i/>
          <w:iCs/>
          <w:sz w:val="24"/>
          <w:szCs w:val="24"/>
          <w:u w:val="single"/>
        </w:rPr>
      </w:pPr>
      <w:r w:rsidRPr="008E64B5">
        <w:rPr>
          <w:rFonts w:ascii="Garamond" w:hAnsi="Garamond"/>
          <w:b/>
          <w:bCs/>
          <w:i/>
          <w:iCs/>
          <w:sz w:val="24"/>
          <w:szCs w:val="24"/>
          <w:u w:val="single"/>
        </w:rPr>
        <w:t>CIT v. Madhukumar N. (HUF) (Kar)</w:t>
      </w:r>
    </w:p>
    <w:p w:rsidR="00CF3854" w:rsidRDefault="00CF3854" w:rsidP="00D2690B">
      <w:pPr>
        <w:pStyle w:val="NoSpacing"/>
        <w:jc w:val="both"/>
        <w:rPr>
          <w:rFonts w:ascii="Garamond" w:hAnsi="Garamond"/>
          <w:sz w:val="24"/>
          <w:szCs w:val="24"/>
        </w:rPr>
      </w:pPr>
    </w:p>
    <w:p w:rsidR="00CF3854" w:rsidRDefault="00AC5DA4" w:rsidP="00D2690B">
      <w:pPr>
        <w:pStyle w:val="NoSpacing"/>
        <w:jc w:val="both"/>
        <w:rPr>
          <w:rFonts w:ascii="Garamond" w:hAnsi="Garamond"/>
          <w:sz w:val="24"/>
          <w:szCs w:val="24"/>
        </w:rPr>
      </w:pPr>
      <w:r>
        <w:rPr>
          <w:rFonts w:ascii="Garamond" w:hAnsi="Garamond"/>
          <w:sz w:val="24"/>
          <w:szCs w:val="24"/>
        </w:rPr>
        <w:t>HC observed that as per sec 2(14), agricultural land is not capital asset except in the following cases –</w:t>
      </w:r>
    </w:p>
    <w:p w:rsidR="00AC5DA4" w:rsidRDefault="00AC5DA4" w:rsidP="00AC5DA4">
      <w:pPr>
        <w:pStyle w:val="NoSpacing"/>
        <w:numPr>
          <w:ilvl w:val="0"/>
          <w:numId w:val="19"/>
        </w:numPr>
        <w:jc w:val="both"/>
        <w:rPr>
          <w:rFonts w:ascii="Garamond" w:hAnsi="Garamond"/>
          <w:sz w:val="24"/>
          <w:szCs w:val="24"/>
        </w:rPr>
      </w:pPr>
      <w:r>
        <w:rPr>
          <w:rFonts w:ascii="Garamond" w:hAnsi="Garamond"/>
          <w:sz w:val="24"/>
          <w:szCs w:val="24"/>
        </w:rPr>
        <w:t>When it is located within the jurisdiction of a municipality, etc having a population of not less than 10000, or</w:t>
      </w:r>
    </w:p>
    <w:p w:rsidR="00AC5DA4" w:rsidRDefault="00AC5DA4" w:rsidP="00AC5DA4">
      <w:pPr>
        <w:pStyle w:val="NoSpacing"/>
        <w:numPr>
          <w:ilvl w:val="0"/>
          <w:numId w:val="19"/>
        </w:numPr>
        <w:jc w:val="both"/>
        <w:rPr>
          <w:rFonts w:ascii="Garamond" w:hAnsi="Garamond"/>
          <w:sz w:val="24"/>
          <w:szCs w:val="24"/>
        </w:rPr>
      </w:pPr>
      <w:r>
        <w:rPr>
          <w:rFonts w:ascii="Garamond" w:hAnsi="Garamond"/>
          <w:sz w:val="24"/>
          <w:szCs w:val="24"/>
        </w:rPr>
        <w:t>When it is located within 8km from local limit of municipality etc, mentioned above, which is notified by CG in this regard</w:t>
      </w:r>
    </w:p>
    <w:p w:rsidR="00E84AFE" w:rsidRDefault="004036AF" w:rsidP="00D2690B">
      <w:pPr>
        <w:pStyle w:val="NoSpacing"/>
        <w:jc w:val="both"/>
        <w:rPr>
          <w:rFonts w:ascii="Garamond" w:hAnsi="Garamond"/>
          <w:sz w:val="24"/>
          <w:szCs w:val="24"/>
        </w:rPr>
      </w:pPr>
      <w:r>
        <w:rPr>
          <w:rFonts w:ascii="Garamond" w:hAnsi="Garamond"/>
          <w:sz w:val="24"/>
          <w:szCs w:val="24"/>
        </w:rPr>
        <w:t xml:space="preserve">In case an agricultural </w:t>
      </w:r>
      <w:r w:rsidR="00B8734A">
        <w:rPr>
          <w:rFonts w:ascii="Garamond" w:hAnsi="Garamond"/>
          <w:sz w:val="24"/>
          <w:szCs w:val="24"/>
        </w:rPr>
        <w:t>land is situated within 8km from local limit of municipality etc</w:t>
      </w:r>
      <w:r w:rsidR="00CA0475">
        <w:rPr>
          <w:rFonts w:ascii="Garamond" w:hAnsi="Garamond"/>
          <w:sz w:val="24"/>
          <w:szCs w:val="24"/>
        </w:rPr>
        <w:t xml:space="preserve"> whose population is more than 1000 but same is not notified by CG, the land would not be a capital asset &amp; no capital gain tax would be attracted on its sale</w:t>
      </w:r>
    </w:p>
    <w:p w:rsidR="00CF3854" w:rsidRDefault="00CF3854" w:rsidP="00D2690B">
      <w:pPr>
        <w:pStyle w:val="NoSpacing"/>
        <w:jc w:val="both"/>
        <w:rPr>
          <w:rFonts w:ascii="Garamond" w:hAnsi="Garamond"/>
          <w:sz w:val="24"/>
          <w:szCs w:val="24"/>
        </w:rPr>
      </w:pPr>
    </w:p>
    <w:p w:rsidR="00844CEA" w:rsidRPr="00844CEA" w:rsidRDefault="00E75BA5" w:rsidP="00844CEA">
      <w:pPr>
        <w:pStyle w:val="Default"/>
        <w:jc w:val="both"/>
        <w:rPr>
          <w:rFonts w:ascii="Garamond" w:hAnsi="Garamond"/>
          <w:b/>
          <w:bCs/>
          <w:i/>
          <w:iCs/>
        </w:rPr>
      </w:pPr>
      <w:r>
        <w:rPr>
          <w:rFonts w:ascii="Garamond" w:hAnsi="Garamond"/>
          <w:b/>
          <w:bCs/>
          <w:i/>
          <w:iCs/>
        </w:rPr>
        <w:t>28</w:t>
      </w:r>
      <w:r w:rsidR="001E2D2B">
        <w:rPr>
          <w:rFonts w:ascii="Garamond" w:hAnsi="Garamond"/>
          <w:b/>
          <w:bCs/>
          <w:i/>
          <w:iCs/>
        </w:rPr>
        <w:t xml:space="preserve">. </w:t>
      </w:r>
      <w:r w:rsidR="00DF3EB4">
        <w:rPr>
          <w:rFonts w:ascii="Garamond" w:hAnsi="Garamond"/>
          <w:b/>
          <w:bCs/>
          <w:i/>
          <w:iCs/>
        </w:rPr>
        <w:t>Can exemption u/s</w:t>
      </w:r>
      <w:r w:rsidR="00844CEA" w:rsidRPr="00844CEA">
        <w:rPr>
          <w:rFonts w:ascii="Garamond" w:hAnsi="Garamond"/>
          <w:b/>
          <w:bCs/>
          <w:i/>
          <w:iCs/>
        </w:rPr>
        <w:t xml:space="preserve"> 54F be denied to an assessee in respect of investment made in construction of a residential house, on the ground that the construction was not completed within three years after the date on which transfer took place, on account of pendency of certain finishing work like flooring, electrical fittings, fittings of door shutter, etc?</w:t>
      </w:r>
    </w:p>
    <w:p w:rsidR="00F961D4" w:rsidRPr="00844CEA" w:rsidRDefault="00F961D4" w:rsidP="00F961D4">
      <w:pPr>
        <w:pStyle w:val="NoSpacing"/>
        <w:jc w:val="both"/>
        <w:rPr>
          <w:rFonts w:ascii="Garamond" w:hAnsi="Garamond"/>
          <w:b/>
          <w:bCs/>
          <w:i/>
          <w:iCs/>
          <w:sz w:val="24"/>
          <w:szCs w:val="24"/>
          <w:u w:val="single"/>
        </w:rPr>
      </w:pPr>
      <w:r w:rsidRPr="00844CEA">
        <w:rPr>
          <w:rFonts w:ascii="Garamond" w:hAnsi="Garamond"/>
          <w:b/>
          <w:bCs/>
          <w:i/>
          <w:iCs/>
          <w:sz w:val="24"/>
          <w:szCs w:val="24"/>
          <w:u w:val="single"/>
        </w:rPr>
        <w:t>CIT v. Sambandam Udaykumar (Kar)</w:t>
      </w:r>
    </w:p>
    <w:p w:rsidR="00CF3854" w:rsidRDefault="00CF3854" w:rsidP="00D2690B">
      <w:pPr>
        <w:pStyle w:val="NoSpacing"/>
        <w:jc w:val="both"/>
        <w:rPr>
          <w:rFonts w:ascii="Garamond" w:hAnsi="Garamond"/>
          <w:sz w:val="24"/>
          <w:szCs w:val="24"/>
        </w:rPr>
      </w:pPr>
    </w:p>
    <w:p w:rsidR="00CF3854" w:rsidRDefault="009E30DB" w:rsidP="00D2690B">
      <w:pPr>
        <w:pStyle w:val="NoSpacing"/>
        <w:jc w:val="both"/>
        <w:rPr>
          <w:rFonts w:ascii="Garamond" w:hAnsi="Garamond"/>
          <w:sz w:val="24"/>
          <w:szCs w:val="24"/>
        </w:rPr>
      </w:pPr>
      <w:r>
        <w:rPr>
          <w:rFonts w:ascii="Garamond" w:hAnsi="Garamond"/>
          <w:sz w:val="24"/>
          <w:szCs w:val="24"/>
        </w:rPr>
        <w:t>HC held that to claim benefit of exemption u/s 54F, capital gain realised from sale of capital asset should have been invested either in purch</w:t>
      </w:r>
      <w:r w:rsidR="000E75BF">
        <w:rPr>
          <w:rFonts w:ascii="Garamond" w:hAnsi="Garamond"/>
          <w:sz w:val="24"/>
          <w:szCs w:val="24"/>
        </w:rPr>
        <w:t>asing / in constructing a resid</w:t>
      </w:r>
      <w:r>
        <w:rPr>
          <w:rFonts w:ascii="Garamond" w:hAnsi="Garamond"/>
          <w:sz w:val="24"/>
          <w:szCs w:val="24"/>
        </w:rPr>
        <w:t xml:space="preserve">ential house. </w:t>
      </w:r>
      <w:r w:rsidR="00D25DB0">
        <w:rPr>
          <w:rFonts w:ascii="Garamond" w:hAnsi="Garamond"/>
          <w:sz w:val="24"/>
          <w:szCs w:val="24"/>
        </w:rPr>
        <w:t xml:space="preserve">If he had invested the money in such construction, merely because construction was not completed &amp; possession could not be taken within a stipulated period would not disentitle the assessee from claiming exemption u/s 54F. </w:t>
      </w:r>
    </w:p>
    <w:p w:rsidR="00CF3854" w:rsidRDefault="00D25DB0" w:rsidP="00D2690B">
      <w:pPr>
        <w:pStyle w:val="NoSpacing"/>
        <w:jc w:val="both"/>
        <w:rPr>
          <w:rFonts w:ascii="Garamond" w:hAnsi="Garamond"/>
          <w:sz w:val="24"/>
          <w:szCs w:val="24"/>
        </w:rPr>
      </w:pPr>
      <w:r>
        <w:rPr>
          <w:rFonts w:ascii="Garamond" w:hAnsi="Garamond"/>
          <w:sz w:val="24"/>
          <w:szCs w:val="24"/>
        </w:rPr>
        <w:t>HC held that assessee would be entitled to exemption u/s 54F i.r.o amount invested in construction within prescribed period</w:t>
      </w:r>
    </w:p>
    <w:p w:rsidR="00CF3854" w:rsidRDefault="00CF3854" w:rsidP="00D2690B">
      <w:pPr>
        <w:pStyle w:val="NoSpacing"/>
        <w:jc w:val="both"/>
        <w:rPr>
          <w:rFonts w:ascii="Garamond" w:hAnsi="Garamond"/>
          <w:sz w:val="24"/>
          <w:szCs w:val="24"/>
        </w:rPr>
      </w:pPr>
    </w:p>
    <w:p w:rsidR="00CF3854" w:rsidRDefault="00E75BA5" w:rsidP="00FC7715">
      <w:pPr>
        <w:pStyle w:val="Default"/>
        <w:jc w:val="both"/>
        <w:rPr>
          <w:rFonts w:ascii="Garamond" w:hAnsi="Garamond"/>
        </w:rPr>
      </w:pPr>
      <w:r>
        <w:rPr>
          <w:rFonts w:ascii="Garamond" w:hAnsi="Garamond"/>
          <w:b/>
          <w:bCs/>
          <w:i/>
          <w:iCs/>
        </w:rPr>
        <w:t>29</w:t>
      </w:r>
      <w:r w:rsidR="001E2D2B">
        <w:rPr>
          <w:rFonts w:ascii="Garamond" w:hAnsi="Garamond"/>
          <w:b/>
          <w:bCs/>
          <w:i/>
          <w:iCs/>
        </w:rPr>
        <w:t xml:space="preserve">. </w:t>
      </w:r>
      <w:r w:rsidR="00FC7715" w:rsidRPr="00FC7715">
        <w:rPr>
          <w:rFonts w:ascii="Garamond" w:hAnsi="Garamond"/>
          <w:b/>
          <w:bCs/>
          <w:i/>
          <w:iCs/>
        </w:rPr>
        <w:t>Is a person having income below taxable limit, required to furnish his PAN to the deductor as per the provisions of section 206AA, even though he is not required to hold a PAN as per the provisions of section 139A?</w:t>
      </w:r>
    </w:p>
    <w:p w:rsidR="00F961D4" w:rsidRPr="00FC7715" w:rsidRDefault="00F961D4" w:rsidP="00F961D4">
      <w:pPr>
        <w:pStyle w:val="NoSpacing"/>
        <w:jc w:val="both"/>
        <w:rPr>
          <w:rFonts w:ascii="Garamond" w:hAnsi="Garamond"/>
          <w:b/>
          <w:bCs/>
          <w:i/>
          <w:iCs/>
          <w:sz w:val="24"/>
          <w:szCs w:val="24"/>
          <w:u w:val="single"/>
        </w:rPr>
      </w:pPr>
      <w:r w:rsidRPr="00FC7715">
        <w:rPr>
          <w:rFonts w:ascii="Garamond" w:hAnsi="Garamond"/>
          <w:b/>
          <w:bCs/>
          <w:i/>
          <w:iCs/>
          <w:sz w:val="24"/>
          <w:szCs w:val="24"/>
          <w:u w:val="single"/>
        </w:rPr>
        <w:t>Smt. A. Kowsalya Bai v. UOI (Kar)</w:t>
      </w:r>
    </w:p>
    <w:p w:rsidR="00CF3854" w:rsidRDefault="00CF3854" w:rsidP="00D2690B">
      <w:pPr>
        <w:pStyle w:val="NoSpacing"/>
        <w:jc w:val="both"/>
        <w:rPr>
          <w:rFonts w:ascii="Garamond" w:hAnsi="Garamond"/>
          <w:sz w:val="24"/>
          <w:szCs w:val="24"/>
        </w:rPr>
      </w:pPr>
    </w:p>
    <w:p w:rsidR="00CF3854" w:rsidRDefault="00EC6BD5" w:rsidP="00D2690B">
      <w:pPr>
        <w:pStyle w:val="NoSpacing"/>
        <w:jc w:val="both"/>
        <w:rPr>
          <w:rFonts w:ascii="Garamond" w:hAnsi="Garamond"/>
          <w:sz w:val="24"/>
          <w:szCs w:val="24"/>
        </w:rPr>
      </w:pPr>
      <w:r>
        <w:rPr>
          <w:rFonts w:ascii="Garamond" w:hAnsi="Garamond"/>
          <w:sz w:val="24"/>
          <w:szCs w:val="24"/>
        </w:rPr>
        <w:t xml:space="preserve">Sec 139A – a </w:t>
      </w:r>
      <w:r w:rsidR="0055769C">
        <w:rPr>
          <w:rFonts w:ascii="Garamond" w:hAnsi="Garamond"/>
          <w:sz w:val="24"/>
          <w:szCs w:val="24"/>
        </w:rPr>
        <w:t>person,</w:t>
      </w:r>
      <w:r>
        <w:rPr>
          <w:rFonts w:ascii="Garamond" w:hAnsi="Garamond"/>
          <w:sz w:val="24"/>
          <w:szCs w:val="24"/>
        </w:rPr>
        <w:t xml:space="preserve"> whose total income does not exceed maximum amount not chargeable to income tax</w:t>
      </w:r>
      <w:r w:rsidR="0055769C">
        <w:rPr>
          <w:rFonts w:ascii="Garamond" w:hAnsi="Garamond"/>
          <w:sz w:val="24"/>
          <w:szCs w:val="24"/>
        </w:rPr>
        <w:t>,</w:t>
      </w:r>
      <w:r>
        <w:rPr>
          <w:rFonts w:ascii="Garamond" w:hAnsi="Garamond"/>
          <w:sz w:val="24"/>
          <w:szCs w:val="24"/>
        </w:rPr>
        <w:t xml:space="preserve"> is not required to apply for PAN</w:t>
      </w:r>
    </w:p>
    <w:p w:rsidR="00CF3854" w:rsidRDefault="0055769C" w:rsidP="00D2690B">
      <w:pPr>
        <w:pStyle w:val="NoSpacing"/>
        <w:jc w:val="both"/>
        <w:rPr>
          <w:rFonts w:ascii="Garamond" w:hAnsi="Garamond"/>
          <w:sz w:val="24"/>
          <w:szCs w:val="24"/>
        </w:rPr>
      </w:pPr>
      <w:r>
        <w:rPr>
          <w:rFonts w:ascii="Garamond" w:hAnsi="Garamond"/>
          <w:sz w:val="24"/>
          <w:szCs w:val="24"/>
        </w:rPr>
        <w:t xml:space="preserve">Sec 206AA – notwithstanding anything contained in any other provision of this Act, any person entitled to receive any </w:t>
      </w:r>
      <w:r w:rsidR="008233C3">
        <w:rPr>
          <w:rFonts w:ascii="Garamond" w:hAnsi="Garamond"/>
          <w:sz w:val="24"/>
          <w:szCs w:val="24"/>
        </w:rPr>
        <w:t>amount on which tax is deductible under chapter XVII – B, i.e. deductee shall furnish his PAN to deductor, otherwise tax shall be deducted as per 206AA, which is normally higher rate</w:t>
      </w:r>
    </w:p>
    <w:p w:rsidR="00CF15BC" w:rsidRDefault="00CF15BC" w:rsidP="00D2690B">
      <w:pPr>
        <w:pStyle w:val="NoSpacing"/>
        <w:jc w:val="both"/>
        <w:rPr>
          <w:rFonts w:ascii="Garamond" w:hAnsi="Garamond"/>
          <w:sz w:val="24"/>
          <w:szCs w:val="24"/>
        </w:rPr>
      </w:pPr>
      <w:r>
        <w:rPr>
          <w:rFonts w:ascii="Garamond" w:hAnsi="Garamond"/>
          <w:sz w:val="24"/>
          <w:szCs w:val="24"/>
        </w:rPr>
        <w:t>It is mandatory to furnish PAN despite filing form 15G as required u/s 197A to seek exemption from deduction of tax</w:t>
      </w:r>
    </w:p>
    <w:p w:rsidR="00616E55" w:rsidRDefault="00E403BC" w:rsidP="00D2690B">
      <w:pPr>
        <w:pStyle w:val="NoSpacing"/>
        <w:jc w:val="both"/>
        <w:rPr>
          <w:rFonts w:ascii="Garamond" w:hAnsi="Garamond"/>
          <w:sz w:val="24"/>
          <w:szCs w:val="24"/>
        </w:rPr>
      </w:pPr>
      <w:r>
        <w:rPr>
          <w:rFonts w:ascii="Garamond" w:hAnsi="Garamond"/>
          <w:sz w:val="24"/>
          <w:szCs w:val="24"/>
        </w:rPr>
        <w:t xml:space="preserve">HC held that it may not be necessary for such persons </w:t>
      </w:r>
      <w:r w:rsidRPr="008179B7">
        <w:rPr>
          <w:rFonts w:ascii="Garamond" w:hAnsi="Garamond"/>
          <w:sz w:val="24"/>
          <w:szCs w:val="24"/>
          <w:u w:val="single"/>
        </w:rPr>
        <w:t xml:space="preserve">whose income is below maximum amount not chargeable to income tax </w:t>
      </w:r>
      <w:r>
        <w:rPr>
          <w:rFonts w:ascii="Garamond" w:hAnsi="Garamond"/>
          <w:sz w:val="24"/>
          <w:szCs w:val="24"/>
        </w:rPr>
        <w:t>to obtain PAN &amp; in view of specific provision of 139A, sec 206AA is not applicable to such persons</w:t>
      </w:r>
    </w:p>
    <w:p w:rsidR="00CF3854" w:rsidRDefault="00CF3854" w:rsidP="00D2690B">
      <w:pPr>
        <w:pStyle w:val="NoSpacing"/>
        <w:jc w:val="both"/>
        <w:rPr>
          <w:rFonts w:ascii="Garamond" w:hAnsi="Garamond"/>
          <w:sz w:val="24"/>
          <w:szCs w:val="24"/>
        </w:rPr>
      </w:pPr>
    </w:p>
    <w:p w:rsidR="00765CE0" w:rsidRPr="00765CE0" w:rsidRDefault="00E75BA5" w:rsidP="00765CE0">
      <w:pPr>
        <w:pStyle w:val="Default"/>
        <w:jc w:val="both"/>
        <w:rPr>
          <w:rFonts w:ascii="Garamond" w:hAnsi="Garamond"/>
          <w:b/>
          <w:bCs/>
          <w:i/>
          <w:iCs/>
        </w:rPr>
      </w:pPr>
      <w:r>
        <w:rPr>
          <w:rFonts w:ascii="Garamond" w:hAnsi="Garamond"/>
          <w:b/>
          <w:bCs/>
          <w:i/>
          <w:iCs/>
        </w:rPr>
        <w:t>30</w:t>
      </w:r>
      <w:r w:rsidR="001E2D2B">
        <w:rPr>
          <w:rFonts w:ascii="Garamond" w:hAnsi="Garamond"/>
          <w:b/>
          <w:bCs/>
          <w:i/>
          <w:iCs/>
        </w:rPr>
        <w:t xml:space="preserve">. </w:t>
      </w:r>
      <w:r w:rsidR="00765CE0" w:rsidRPr="00765CE0">
        <w:rPr>
          <w:rFonts w:ascii="Garamond" w:hAnsi="Garamond"/>
          <w:b/>
          <w:bCs/>
          <w:i/>
          <w:iCs/>
        </w:rPr>
        <w:t>What are the factors determining the nature of income arising on sale of shares i.e. whether the income is taxable as capital gains or business income?</w:t>
      </w:r>
    </w:p>
    <w:p w:rsidR="0097794C" w:rsidRPr="00765CE0" w:rsidRDefault="0097794C" w:rsidP="00D2690B">
      <w:pPr>
        <w:pStyle w:val="NoSpacing"/>
        <w:jc w:val="both"/>
        <w:rPr>
          <w:rFonts w:ascii="Garamond" w:hAnsi="Garamond"/>
          <w:b/>
          <w:bCs/>
          <w:i/>
          <w:iCs/>
          <w:sz w:val="24"/>
          <w:szCs w:val="24"/>
          <w:u w:val="single"/>
        </w:rPr>
      </w:pPr>
      <w:r w:rsidRPr="00765CE0">
        <w:rPr>
          <w:rFonts w:ascii="Garamond" w:hAnsi="Garamond"/>
          <w:b/>
          <w:bCs/>
          <w:i/>
          <w:iCs/>
          <w:sz w:val="24"/>
          <w:szCs w:val="24"/>
          <w:u w:val="single"/>
        </w:rPr>
        <w:t>PVS Raju v. ACIT</w:t>
      </w:r>
      <w:r w:rsidR="00936CD3" w:rsidRPr="00765CE0">
        <w:rPr>
          <w:rFonts w:ascii="Garamond" w:hAnsi="Garamond"/>
          <w:b/>
          <w:bCs/>
          <w:i/>
          <w:iCs/>
          <w:sz w:val="24"/>
          <w:szCs w:val="24"/>
          <w:u w:val="single"/>
        </w:rPr>
        <w:t xml:space="preserve"> (AP)</w:t>
      </w:r>
    </w:p>
    <w:p w:rsidR="00765CE0" w:rsidRDefault="00765CE0" w:rsidP="002F51FD">
      <w:pPr>
        <w:pStyle w:val="NoSpacing"/>
        <w:jc w:val="both"/>
        <w:rPr>
          <w:rFonts w:ascii="Garamond" w:hAnsi="Garamond"/>
          <w:sz w:val="24"/>
          <w:szCs w:val="24"/>
        </w:rPr>
      </w:pPr>
    </w:p>
    <w:p w:rsidR="00765CE0" w:rsidRDefault="008B68FF" w:rsidP="002F51FD">
      <w:pPr>
        <w:pStyle w:val="NoSpacing"/>
        <w:jc w:val="both"/>
        <w:rPr>
          <w:rFonts w:ascii="Garamond" w:hAnsi="Garamond"/>
          <w:sz w:val="24"/>
          <w:szCs w:val="24"/>
        </w:rPr>
      </w:pPr>
      <w:r>
        <w:rPr>
          <w:rFonts w:ascii="Garamond" w:hAnsi="Garamond"/>
          <w:sz w:val="24"/>
          <w:szCs w:val="24"/>
        </w:rPr>
        <w:t xml:space="preserve">HC held that question whether share were held as investment to give rise to capital gain on its sale or as trading asset to give </w:t>
      </w:r>
      <w:r w:rsidR="008D65B3">
        <w:rPr>
          <w:rFonts w:ascii="Garamond" w:hAnsi="Garamond"/>
          <w:sz w:val="24"/>
          <w:szCs w:val="24"/>
        </w:rPr>
        <w:t xml:space="preserve">rise to business income is not a pure question of law, but essentially a </w:t>
      </w:r>
      <w:r w:rsidR="008D65B3">
        <w:rPr>
          <w:rFonts w:ascii="Garamond" w:hAnsi="Garamond"/>
          <w:i/>
          <w:iCs/>
          <w:sz w:val="24"/>
          <w:szCs w:val="24"/>
        </w:rPr>
        <w:t>question of fact</w:t>
      </w:r>
      <w:r w:rsidR="008D65B3">
        <w:rPr>
          <w:rFonts w:ascii="Garamond" w:hAnsi="Garamond"/>
          <w:sz w:val="24"/>
          <w:szCs w:val="24"/>
        </w:rPr>
        <w:t xml:space="preserve">. </w:t>
      </w:r>
    </w:p>
    <w:p w:rsidR="008D65B3" w:rsidRDefault="00512BA4" w:rsidP="002F51FD">
      <w:pPr>
        <w:pStyle w:val="NoSpacing"/>
        <w:jc w:val="both"/>
        <w:rPr>
          <w:rFonts w:ascii="Garamond" w:hAnsi="Garamond"/>
          <w:sz w:val="24"/>
          <w:szCs w:val="24"/>
        </w:rPr>
      </w:pPr>
      <w:r>
        <w:rPr>
          <w:rFonts w:ascii="Garamond" w:hAnsi="Garamond"/>
          <w:sz w:val="24"/>
          <w:szCs w:val="24"/>
        </w:rPr>
        <w:t>Character of transaction cannot be determined solely on the application of any rule, principal or test but depend upon all facts &amp; circumstances of the case</w:t>
      </w:r>
      <w:r w:rsidR="00983F5F">
        <w:rPr>
          <w:rFonts w:ascii="Garamond" w:hAnsi="Garamond"/>
          <w:sz w:val="24"/>
          <w:szCs w:val="24"/>
        </w:rPr>
        <w:t xml:space="preserve"> like buying &amp; selling of shares of assessee, period of holding of shares, ratio of sales to purchases &amp; total holdings etc</w:t>
      </w:r>
    </w:p>
    <w:p w:rsidR="00765CE0" w:rsidRDefault="00541EB1" w:rsidP="002F51FD">
      <w:pPr>
        <w:pStyle w:val="NoSpacing"/>
        <w:jc w:val="both"/>
        <w:rPr>
          <w:rFonts w:ascii="Garamond" w:hAnsi="Garamond"/>
          <w:sz w:val="24"/>
          <w:szCs w:val="24"/>
        </w:rPr>
      </w:pPr>
      <w:r>
        <w:rPr>
          <w:rFonts w:ascii="Garamond" w:hAnsi="Garamond"/>
          <w:sz w:val="24"/>
          <w:szCs w:val="24"/>
        </w:rPr>
        <w:t>M</w:t>
      </w:r>
      <w:r w:rsidR="00983F5F">
        <w:rPr>
          <w:rFonts w:ascii="Garamond" w:hAnsi="Garamond"/>
          <w:sz w:val="24"/>
          <w:szCs w:val="24"/>
        </w:rPr>
        <w:t>ere</w:t>
      </w:r>
      <w:r>
        <w:rPr>
          <w:rFonts w:ascii="Garamond" w:hAnsi="Garamond"/>
          <w:sz w:val="24"/>
          <w:szCs w:val="24"/>
        </w:rPr>
        <w:t xml:space="preserve"> classification of shares in books of accounts of assessee is not relevant for determining the nature of income for income tax purpose</w:t>
      </w:r>
    </w:p>
    <w:p w:rsidR="00765CE0" w:rsidRDefault="00765CE0" w:rsidP="002F51FD">
      <w:pPr>
        <w:pStyle w:val="NoSpacing"/>
        <w:jc w:val="both"/>
        <w:rPr>
          <w:rFonts w:ascii="Garamond" w:hAnsi="Garamond"/>
          <w:sz w:val="24"/>
          <w:szCs w:val="24"/>
        </w:rPr>
      </w:pPr>
    </w:p>
    <w:p w:rsidR="00765CE0" w:rsidRPr="00765CE0" w:rsidRDefault="00E75BA5" w:rsidP="00765CE0">
      <w:pPr>
        <w:pStyle w:val="Default"/>
        <w:jc w:val="both"/>
        <w:rPr>
          <w:rFonts w:ascii="Garamond" w:hAnsi="Garamond"/>
          <w:b/>
          <w:bCs/>
          <w:i/>
          <w:iCs/>
        </w:rPr>
      </w:pPr>
      <w:r>
        <w:rPr>
          <w:rFonts w:ascii="Garamond" w:hAnsi="Garamond"/>
          <w:b/>
          <w:bCs/>
          <w:i/>
          <w:iCs/>
        </w:rPr>
        <w:t>31</w:t>
      </w:r>
      <w:r w:rsidR="001E2D2B">
        <w:rPr>
          <w:rFonts w:ascii="Garamond" w:hAnsi="Garamond"/>
          <w:b/>
          <w:bCs/>
          <w:i/>
          <w:iCs/>
        </w:rPr>
        <w:t xml:space="preserve">. </w:t>
      </w:r>
      <w:r w:rsidR="00765CE0" w:rsidRPr="00765CE0">
        <w:rPr>
          <w:rFonts w:ascii="Garamond" w:hAnsi="Garamond"/>
          <w:b/>
          <w:bCs/>
          <w:i/>
          <w:iCs/>
        </w:rPr>
        <w:t>Would interest earned on fixed deposits made by a social club with its corporate members satisfy the principle of mutuality to escape taxability?</w:t>
      </w:r>
    </w:p>
    <w:p w:rsidR="002F51FD" w:rsidRPr="00765CE0" w:rsidRDefault="002F51FD" w:rsidP="002F51FD">
      <w:pPr>
        <w:pStyle w:val="NoSpacing"/>
        <w:jc w:val="both"/>
        <w:rPr>
          <w:rFonts w:ascii="Garamond" w:hAnsi="Garamond"/>
          <w:b/>
          <w:bCs/>
          <w:i/>
          <w:iCs/>
          <w:sz w:val="24"/>
          <w:szCs w:val="24"/>
          <w:u w:val="single"/>
        </w:rPr>
      </w:pPr>
      <w:r w:rsidRPr="00765CE0">
        <w:rPr>
          <w:rFonts w:ascii="Garamond" w:hAnsi="Garamond"/>
          <w:b/>
          <w:bCs/>
          <w:i/>
          <w:iCs/>
          <w:sz w:val="24"/>
          <w:szCs w:val="24"/>
          <w:u w:val="single"/>
        </w:rPr>
        <w:t>CIT v. Secunderabad Club Picket (AP)</w:t>
      </w:r>
    </w:p>
    <w:p w:rsidR="002F51FD" w:rsidRDefault="002F51FD" w:rsidP="00D2690B">
      <w:pPr>
        <w:pStyle w:val="NoSpacing"/>
        <w:jc w:val="both"/>
        <w:rPr>
          <w:rFonts w:ascii="Garamond" w:eastAsia="Times New Roman" w:hAnsi="Garamond" w:cs="Arial"/>
          <w:sz w:val="24"/>
          <w:szCs w:val="24"/>
        </w:rPr>
      </w:pPr>
    </w:p>
    <w:p w:rsidR="00765CE0" w:rsidRDefault="00DC2B47" w:rsidP="00D2690B">
      <w:pPr>
        <w:pStyle w:val="NoSpacing"/>
        <w:jc w:val="both"/>
        <w:rPr>
          <w:rFonts w:ascii="Garamond" w:eastAsia="Times New Roman" w:hAnsi="Garamond" w:cs="Arial"/>
          <w:sz w:val="24"/>
          <w:szCs w:val="24"/>
        </w:rPr>
      </w:pPr>
      <w:r>
        <w:rPr>
          <w:rFonts w:ascii="Garamond" w:eastAsia="Times New Roman" w:hAnsi="Garamond" w:cs="Arial"/>
          <w:sz w:val="24"/>
          <w:szCs w:val="24"/>
        </w:rPr>
        <w:t>HC held that principal of mutuality ends the moment club deposits the amount with its corporate members, being banks &amp; financial institutions, with the sole aim of earning interest on deposits. Corporate members have</w:t>
      </w:r>
      <w:r w:rsidR="001D1489">
        <w:rPr>
          <w:rFonts w:ascii="Garamond" w:eastAsia="Times New Roman" w:hAnsi="Garamond" w:cs="Arial"/>
          <w:sz w:val="24"/>
          <w:szCs w:val="24"/>
        </w:rPr>
        <w:t xml:space="preserve"> </w:t>
      </w:r>
      <w:r w:rsidR="00465100">
        <w:rPr>
          <w:rFonts w:ascii="Garamond" w:eastAsia="Times New Roman" w:hAnsi="Garamond" w:cs="Arial"/>
          <w:sz w:val="24"/>
          <w:szCs w:val="24"/>
        </w:rPr>
        <w:t xml:space="preserve">treated the club at par with regular customers. Social relationship &amp; social activities of the club have nothing to do with its deposits with corporate members. </w:t>
      </w:r>
    </w:p>
    <w:p w:rsidR="00465100" w:rsidRDefault="00465100" w:rsidP="00D2690B">
      <w:pPr>
        <w:pStyle w:val="NoSpacing"/>
        <w:jc w:val="both"/>
        <w:rPr>
          <w:rFonts w:ascii="Garamond" w:eastAsia="Times New Roman" w:hAnsi="Garamond" w:cs="Arial"/>
          <w:sz w:val="24"/>
          <w:szCs w:val="24"/>
        </w:rPr>
      </w:pPr>
      <w:r>
        <w:rPr>
          <w:rFonts w:ascii="Garamond" w:eastAsia="Times New Roman" w:hAnsi="Garamond" w:cs="Arial"/>
          <w:sz w:val="24"/>
          <w:szCs w:val="24"/>
        </w:rPr>
        <w:t>Said interest is not exempt on principal of mu</w:t>
      </w:r>
      <w:r w:rsidR="00DA614D">
        <w:rPr>
          <w:rFonts w:ascii="Garamond" w:eastAsia="Times New Roman" w:hAnsi="Garamond" w:cs="Arial"/>
          <w:sz w:val="24"/>
          <w:szCs w:val="24"/>
        </w:rPr>
        <w:t>t</w:t>
      </w:r>
      <w:r>
        <w:rPr>
          <w:rFonts w:ascii="Garamond" w:eastAsia="Times New Roman" w:hAnsi="Garamond" w:cs="Arial"/>
          <w:sz w:val="24"/>
          <w:szCs w:val="24"/>
        </w:rPr>
        <w:t>uality</w:t>
      </w:r>
    </w:p>
    <w:p w:rsidR="00765CE0" w:rsidRDefault="00765CE0" w:rsidP="00D2690B">
      <w:pPr>
        <w:pStyle w:val="NoSpacing"/>
        <w:jc w:val="both"/>
        <w:rPr>
          <w:rFonts w:ascii="Garamond" w:eastAsia="Times New Roman" w:hAnsi="Garamond" w:cs="Arial"/>
          <w:sz w:val="24"/>
          <w:szCs w:val="24"/>
        </w:rPr>
      </w:pPr>
    </w:p>
    <w:p w:rsidR="00936CD3" w:rsidRPr="00AF4A25" w:rsidRDefault="00E75BA5" w:rsidP="00AF4A25">
      <w:pPr>
        <w:pStyle w:val="Default"/>
        <w:jc w:val="both"/>
        <w:rPr>
          <w:rFonts w:ascii="Garamond" w:hAnsi="Garamond"/>
          <w:b/>
          <w:bCs/>
          <w:i/>
          <w:iCs/>
        </w:rPr>
      </w:pPr>
      <w:r>
        <w:rPr>
          <w:rFonts w:ascii="Garamond" w:hAnsi="Garamond"/>
          <w:b/>
          <w:bCs/>
          <w:i/>
          <w:iCs/>
        </w:rPr>
        <w:t>32</w:t>
      </w:r>
      <w:r w:rsidR="001E2D2B">
        <w:rPr>
          <w:rFonts w:ascii="Garamond" w:hAnsi="Garamond"/>
          <w:b/>
          <w:bCs/>
          <w:i/>
          <w:iCs/>
        </w:rPr>
        <w:t xml:space="preserve">. </w:t>
      </w:r>
      <w:r w:rsidR="00AF4A25" w:rsidRPr="00AF4A25">
        <w:rPr>
          <w:rFonts w:ascii="Garamond" w:hAnsi="Garamond"/>
          <w:b/>
          <w:bCs/>
          <w:i/>
          <w:iCs/>
        </w:rPr>
        <w:t>Would sale of a plot of land held as stock-in-trade by an assessee engaged in the business of real estate and construction of plots, be treated as sale of capital assets, to attract the provisions of section 50C?</w:t>
      </w:r>
    </w:p>
    <w:p w:rsidR="00073702" w:rsidRPr="00AF4A25" w:rsidRDefault="00073702" w:rsidP="00D2690B">
      <w:pPr>
        <w:pStyle w:val="NoSpacing"/>
        <w:jc w:val="both"/>
        <w:rPr>
          <w:rFonts w:ascii="Garamond" w:hAnsi="Garamond"/>
          <w:b/>
          <w:bCs/>
          <w:i/>
          <w:iCs/>
          <w:sz w:val="24"/>
          <w:szCs w:val="24"/>
          <w:u w:val="single"/>
        </w:rPr>
      </w:pPr>
      <w:r w:rsidRPr="00AF4A25">
        <w:rPr>
          <w:rFonts w:ascii="Garamond" w:hAnsi="Garamond"/>
          <w:b/>
          <w:bCs/>
          <w:i/>
          <w:iCs/>
          <w:sz w:val="24"/>
          <w:szCs w:val="24"/>
          <w:u w:val="single"/>
        </w:rPr>
        <w:t>CIT v. Kan Construction and Colonizers (P) Ltd</w:t>
      </w:r>
      <w:r w:rsidR="007E5D98" w:rsidRPr="00AF4A25">
        <w:rPr>
          <w:rFonts w:ascii="Garamond" w:hAnsi="Garamond"/>
          <w:b/>
          <w:bCs/>
          <w:i/>
          <w:iCs/>
          <w:sz w:val="24"/>
          <w:szCs w:val="24"/>
          <w:u w:val="single"/>
        </w:rPr>
        <w:t xml:space="preserve"> (All)</w:t>
      </w:r>
    </w:p>
    <w:p w:rsidR="00AF4A25" w:rsidRDefault="00AF4A25" w:rsidP="002F51FD">
      <w:pPr>
        <w:pStyle w:val="NoSpacing"/>
        <w:jc w:val="both"/>
        <w:rPr>
          <w:rFonts w:ascii="Garamond" w:hAnsi="Garamond"/>
          <w:sz w:val="24"/>
          <w:szCs w:val="24"/>
        </w:rPr>
      </w:pPr>
    </w:p>
    <w:p w:rsidR="00AF4A25" w:rsidRDefault="0085347E" w:rsidP="002F51FD">
      <w:pPr>
        <w:pStyle w:val="NoSpacing"/>
        <w:jc w:val="both"/>
        <w:rPr>
          <w:rFonts w:ascii="Garamond" w:hAnsi="Garamond"/>
          <w:sz w:val="24"/>
          <w:szCs w:val="24"/>
        </w:rPr>
      </w:pPr>
      <w:r>
        <w:rPr>
          <w:rFonts w:ascii="Garamond" w:hAnsi="Garamond"/>
          <w:sz w:val="24"/>
          <w:szCs w:val="24"/>
        </w:rPr>
        <w:t>HC observed that:-</w:t>
      </w:r>
    </w:p>
    <w:p w:rsidR="0085347E" w:rsidRDefault="0085347E" w:rsidP="0085347E">
      <w:pPr>
        <w:pStyle w:val="NoSpacing"/>
        <w:numPr>
          <w:ilvl w:val="0"/>
          <w:numId w:val="20"/>
        </w:numPr>
        <w:jc w:val="both"/>
        <w:rPr>
          <w:rFonts w:ascii="Garamond" w:hAnsi="Garamond"/>
          <w:sz w:val="24"/>
          <w:szCs w:val="24"/>
        </w:rPr>
      </w:pPr>
      <w:r>
        <w:rPr>
          <w:rFonts w:ascii="Garamond" w:hAnsi="Garamond"/>
          <w:sz w:val="24"/>
          <w:szCs w:val="24"/>
        </w:rPr>
        <w:t>For the applicability of sec 50C, building &amp; land transfered should be a capital asset</w:t>
      </w:r>
    </w:p>
    <w:p w:rsidR="0085347E" w:rsidRDefault="0085347E" w:rsidP="0085347E">
      <w:pPr>
        <w:pStyle w:val="NoSpacing"/>
        <w:numPr>
          <w:ilvl w:val="0"/>
          <w:numId w:val="20"/>
        </w:numPr>
        <w:jc w:val="both"/>
        <w:rPr>
          <w:rFonts w:ascii="Garamond" w:hAnsi="Garamond"/>
          <w:sz w:val="24"/>
          <w:szCs w:val="24"/>
        </w:rPr>
      </w:pPr>
      <w:r>
        <w:rPr>
          <w:rFonts w:ascii="Garamond" w:hAnsi="Garamond"/>
          <w:sz w:val="24"/>
          <w:szCs w:val="24"/>
        </w:rPr>
        <w:t xml:space="preserve">As per sec 2(14), capital asset </w:t>
      </w:r>
      <w:r w:rsidR="00DF4683">
        <w:rPr>
          <w:rFonts w:ascii="Garamond" w:hAnsi="Garamond"/>
          <w:sz w:val="24"/>
          <w:szCs w:val="24"/>
        </w:rPr>
        <w:t xml:space="preserve">does not include stock-in-trade </w:t>
      </w:r>
    </w:p>
    <w:p w:rsidR="005F60B0" w:rsidRDefault="005F60B0" w:rsidP="005F60B0">
      <w:pPr>
        <w:pStyle w:val="NoSpacing"/>
        <w:jc w:val="both"/>
        <w:rPr>
          <w:rFonts w:ascii="Garamond" w:hAnsi="Garamond"/>
          <w:sz w:val="24"/>
          <w:szCs w:val="24"/>
        </w:rPr>
      </w:pPr>
      <w:r>
        <w:rPr>
          <w:rFonts w:ascii="Garamond" w:hAnsi="Garamond"/>
          <w:sz w:val="24"/>
          <w:szCs w:val="24"/>
        </w:rPr>
        <w:t>HC held that assessee has held land as stock-in-trade &amp; not as capital asset. Hence 50C will not apply in this case &amp; profit on sale of land will be treated as business income.</w:t>
      </w:r>
    </w:p>
    <w:p w:rsidR="00AF4A25" w:rsidRDefault="00AF4A25" w:rsidP="002F51FD">
      <w:pPr>
        <w:pStyle w:val="NoSpacing"/>
        <w:jc w:val="both"/>
        <w:rPr>
          <w:rFonts w:ascii="Garamond" w:hAnsi="Garamond"/>
          <w:sz w:val="24"/>
          <w:szCs w:val="24"/>
        </w:rPr>
      </w:pPr>
    </w:p>
    <w:p w:rsidR="00AF4A25" w:rsidRPr="00167A7D" w:rsidRDefault="00E75BA5" w:rsidP="00167A7D">
      <w:pPr>
        <w:pStyle w:val="Default"/>
        <w:jc w:val="both"/>
        <w:rPr>
          <w:rFonts w:ascii="Garamond" w:hAnsi="Garamond"/>
          <w:b/>
          <w:bCs/>
          <w:i/>
          <w:iCs/>
        </w:rPr>
      </w:pPr>
      <w:r>
        <w:rPr>
          <w:rFonts w:ascii="Garamond" w:hAnsi="Garamond"/>
          <w:b/>
          <w:bCs/>
          <w:i/>
          <w:iCs/>
        </w:rPr>
        <w:lastRenderedPageBreak/>
        <w:t>33</w:t>
      </w:r>
      <w:r w:rsidR="001E2D2B">
        <w:rPr>
          <w:rFonts w:ascii="Garamond" w:hAnsi="Garamond"/>
          <w:b/>
          <w:bCs/>
          <w:i/>
          <w:iCs/>
        </w:rPr>
        <w:t xml:space="preserve">. </w:t>
      </w:r>
      <w:r w:rsidR="00167A7D" w:rsidRPr="00167A7D">
        <w:rPr>
          <w:rFonts w:ascii="Garamond" w:hAnsi="Garamond"/>
          <w:b/>
          <w:bCs/>
          <w:i/>
          <w:iCs/>
        </w:rPr>
        <w:t xml:space="preserve">In respect of a co-owned property, would the threshold limit mentioned in section 194-I for non-deduction of tax at source apply for each co-owner separately or is it to be considered for the complete amount of rent paid to attract TDS liability? </w:t>
      </w:r>
    </w:p>
    <w:p w:rsidR="002F51FD" w:rsidRPr="00167A7D" w:rsidRDefault="002F51FD" w:rsidP="002F51FD">
      <w:pPr>
        <w:pStyle w:val="NoSpacing"/>
        <w:jc w:val="both"/>
        <w:rPr>
          <w:rFonts w:ascii="Garamond" w:hAnsi="Garamond"/>
          <w:b/>
          <w:bCs/>
          <w:i/>
          <w:iCs/>
          <w:sz w:val="24"/>
          <w:szCs w:val="24"/>
          <w:u w:val="single"/>
        </w:rPr>
      </w:pPr>
      <w:r w:rsidRPr="00167A7D">
        <w:rPr>
          <w:rFonts w:ascii="Garamond" w:hAnsi="Garamond"/>
          <w:b/>
          <w:bCs/>
          <w:i/>
          <w:iCs/>
          <w:sz w:val="24"/>
          <w:szCs w:val="24"/>
          <w:u w:val="single"/>
        </w:rPr>
        <w:t>CIT v. Senior Manager,</w:t>
      </w:r>
      <w:r w:rsidR="00167A7D">
        <w:rPr>
          <w:rFonts w:ascii="Garamond" w:hAnsi="Garamond"/>
          <w:b/>
          <w:bCs/>
          <w:i/>
          <w:iCs/>
          <w:sz w:val="24"/>
          <w:szCs w:val="24"/>
          <w:u w:val="single"/>
        </w:rPr>
        <w:t xml:space="preserve"> </w:t>
      </w:r>
      <w:r w:rsidRPr="00167A7D">
        <w:rPr>
          <w:rFonts w:ascii="Garamond" w:hAnsi="Garamond"/>
          <w:b/>
          <w:bCs/>
          <w:i/>
          <w:iCs/>
          <w:sz w:val="24"/>
          <w:szCs w:val="24"/>
          <w:u w:val="single"/>
        </w:rPr>
        <w:t>SBI (All)</w:t>
      </w:r>
    </w:p>
    <w:p w:rsidR="002F51FD" w:rsidRDefault="002F51FD" w:rsidP="00D2690B">
      <w:pPr>
        <w:pStyle w:val="NoSpacing"/>
        <w:jc w:val="both"/>
        <w:rPr>
          <w:rFonts w:ascii="Garamond" w:hAnsi="Garamond"/>
          <w:sz w:val="24"/>
          <w:szCs w:val="24"/>
        </w:rPr>
      </w:pPr>
    </w:p>
    <w:p w:rsidR="002F51FD" w:rsidRDefault="007A37B3" w:rsidP="00D2690B">
      <w:pPr>
        <w:pStyle w:val="NoSpacing"/>
        <w:jc w:val="both"/>
        <w:rPr>
          <w:rFonts w:ascii="Garamond" w:hAnsi="Garamond"/>
          <w:sz w:val="24"/>
          <w:szCs w:val="24"/>
        </w:rPr>
      </w:pPr>
      <w:r>
        <w:rPr>
          <w:rFonts w:ascii="Garamond" w:hAnsi="Garamond"/>
          <w:sz w:val="24"/>
          <w:szCs w:val="24"/>
        </w:rPr>
        <w:t>HC held that since the share of each co-owner is definite &amp; ascertainable, they cannot be assessed as an AOP as per sec 26. Income from such property should be assessed in individual hands of co-owners. Physical division of property by metes &amp; bounds is not necessary to attract sec 26</w:t>
      </w:r>
    </w:p>
    <w:p w:rsidR="007A37B3" w:rsidRDefault="007A37B3" w:rsidP="00D2690B">
      <w:pPr>
        <w:pStyle w:val="NoSpacing"/>
        <w:jc w:val="both"/>
        <w:rPr>
          <w:rFonts w:ascii="Garamond" w:hAnsi="Garamond"/>
          <w:sz w:val="24"/>
          <w:szCs w:val="24"/>
        </w:rPr>
      </w:pPr>
      <w:r>
        <w:rPr>
          <w:rFonts w:ascii="Garamond" w:hAnsi="Garamond"/>
          <w:sz w:val="24"/>
          <w:szCs w:val="24"/>
        </w:rPr>
        <w:t>Since payment is made to each co-owner by way of separate cheque &amp; their share is defin</w:t>
      </w:r>
      <w:r w:rsidR="00DC7A94">
        <w:rPr>
          <w:rFonts w:ascii="Garamond" w:hAnsi="Garamond"/>
          <w:sz w:val="24"/>
          <w:szCs w:val="24"/>
        </w:rPr>
        <w:t>i</w:t>
      </w:r>
      <w:r>
        <w:rPr>
          <w:rFonts w:ascii="Garamond" w:hAnsi="Garamond"/>
          <w:sz w:val="24"/>
          <w:szCs w:val="24"/>
        </w:rPr>
        <w:t>te, threshold limit mentioned in 194-I has to be seen separately for each co-owner. Assessee would not be liable to deduct tax &amp; no interest u/s 201 is leviable</w:t>
      </w:r>
    </w:p>
    <w:p w:rsidR="00F62C06" w:rsidRDefault="00F62C06" w:rsidP="00CB6AAC">
      <w:pPr>
        <w:pStyle w:val="NoSpacing"/>
        <w:jc w:val="both"/>
        <w:rPr>
          <w:rFonts w:ascii="Garamond" w:hAnsi="Garamond"/>
          <w:b/>
          <w:bCs/>
          <w:i/>
          <w:iCs/>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t>34</w:t>
      </w:r>
      <w:r w:rsidR="001E2D2B">
        <w:rPr>
          <w:rFonts w:ascii="Garamond" w:hAnsi="Garamond"/>
          <w:b/>
          <w:bCs/>
          <w:i/>
          <w:iCs/>
          <w:sz w:val="24"/>
          <w:szCs w:val="24"/>
        </w:rPr>
        <w:t xml:space="preserve">. </w:t>
      </w:r>
      <w:r w:rsidR="00CB6AAC" w:rsidRPr="00CF3854">
        <w:rPr>
          <w:rFonts w:ascii="Garamond" w:hAnsi="Garamond"/>
          <w:b/>
          <w:bCs/>
          <w:i/>
          <w:iCs/>
          <w:sz w:val="24"/>
          <w:szCs w:val="24"/>
        </w:rPr>
        <w:t>Can the expense incurred by the assessee on the education and travelling of an employee, for acquiring knowledge relating to assessee's business, be disallowed merely on the ground that the employee is the son of an ex-director of the assessee company?</w:t>
      </w:r>
    </w:p>
    <w:p w:rsidR="00CB6AAC" w:rsidRPr="0032027F" w:rsidRDefault="00CB6AAC" w:rsidP="00CB6AAC">
      <w:pPr>
        <w:pStyle w:val="NoSpacing"/>
        <w:jc w:val="both"/>
        <w:rPr>
          <w:rFonts w:ascii="Garamond" w:hAnsi="Garamond"/>
          <w:b/>
          <w:bCs/>
          <w:i/>
          <w:iCs/>
          <w:sz w:val="24"/>
          <w:szCs w:val="24"/>
          <w:u w:val="single"/>
        </w:rPr>
      </w:pPr>
      <w:r w:rsidRPr="0032027F">
        <w:rPr>
          <w:rFonts w:ascii="Garamond" w:hAnsi="Garamond"/>
          <w:b/>
          <w:bCs/>
          <w:i/>
          <w:iCs/>
          <w:sz w:val="24"/>
          <w:szCs w:val="24"/>
          <w:u w:val="single"/>
        </w:rPr>
        <w:t>CIT v. Naidunia News and Networking (P.) Ltd. (MP)</w:t>
      </w:r>
    </w:p>
    <w:p w:rsidR="00CB6AAC" w:rsidRDefault="00CB6AAC" w:rsidP="00CB6AAC">
      <w:pPr>
        <w:pStyle w:val="NoSpacing"/>
        <w:jc w:val="both"/>
        <w:rPr>
          <w:rFonts w:ascii="Garamond" w:hAnsi="Garamond"/>
          <w:sz w:val="24"/>
          <w:szCs w:val="24"/>
        </w:rPr>
      </w:pPr>
    </w:p>
    <w:p w:rsidR="00CB6AAC" w:rsidRDefault="00CB6AAC" w:rsidP="00CB6AAC">
      <w:pPr>
        <w:pStyle w:val="NoSpacing"/>
        <w:jc w:val="both"/>
        <w:rPr>
          <w:rFonts w:ascii="Garamond" w:hAnsi="Garamond"/>
          <w:sz w:val="24"/>
          <w:szCs w:val="24"/>
        </w:rPr>
      </w:pPr>
      <w:r>
        <w:rPr>
          <w:rFonts w:ascii="Garamond" w:hAnsi="Garamond"/>
          <w:sz w:val="24"/>
          <w:szCs w:val="24"/>
        </w:rPr>
        <w:t>HC held that expenses incurred by assessee on foreign travel &amp; education of regular employee outside India for gaining advanced knowledge of latest printing technology, which was directly related to business of assessee, is allowable u/s 37(1)</w:t>
      </w:r>
    </w:p>
    <w:p w:rsidR="00CB6AAC" w:rsidRDefault="00CB6AAC" w:rsidP="00CB6AAC">
      <w:pPr>
        <w:pStyle w:val="NoSpacing"/>
        <w:jc w:val="both"/>
        <w:rPr>
          <w:rFonts w:ascii="Garamond" w:hAnsi="Garamond"/>
          <w:sz w:val="24"/>
          <w:szCs w:val="24"/>
        </w:rPr>
      </w:pPr>
      <w:r>
        <w:rPr>
          <w:rFonts w:ascii="Garamond" w:hAnsi="Garamond"/>
          <w:sz w:val="24"/>
          <w:szCs w:val="24"/>
        </w:rPr>
        <w:t>Expenditure cannot be disallowed merely because it was incurred i.r.o an employee, who was son of ex-director of the assessee Co</w:t>
      </w:r>
    </w:p>
    <w:p w:rsidR="00CB6AAC" w:rsidRDefault="00CB6AAC" w:rsidP="00CB6AAC">
      <w:pPr>
        <w:pStyle w:val="NoSpacing"/>
        <w:jc w:val="both"/>
        <w:rPr>
          <w:rFonts w:ascii="Garamond" w:hAnsi="Garamond"/>
          <w:sz w:val="24"/>
          <w:szCs w:val="24"/>
        </w:rPr>
      </w:pPr>
    </w:p>
    <w:p w:rsidR="00CB6AAC" w:rsidRPr="00CF3854" w:rsidRDefault="00E75BA5" w:rsidP="00CB6AAC">
      <w:pPr>
        <w:pStyle w:val="NoSpacing"/>
        <w:jc w:val="both"/>
        <w:rPr>
          <w:rFonts w:ascii="Garamond" w:hAnsi="Garamond"/>
          <w:b/>
          <w:bCs/>
          <w:i/>
          <w:iCs/>
          <w:sz w:val="24"/>
          <w:szCs w:val="24"/>
        </w:rPr>
      </w:pPr>
      <w:r>
        <w:rPr>
          <w:rFonts w:ascii="Garamond" w:hAnsi="Garamond"/>
          <w:b/>
          <w:bCs/>
          <w:i/>
          <w:iCs/>
          <w:sz w:val="24"/>
          <w:szCs w:val="24"/>
        </w:rPr>
        <w:t>35</w:t>
      </w:r>
      <w:r w:rsidR="001E2D2B">
        <w:rPr>
          <w:rFonts w:ascii="Garamond" w:hAnsi="Garamond"/>
          <w:b/>
          <w:bCs/>
          <w:i/>
          <w:iCs/>
          <w:sz w:val="24"/>
          <w:szCs w:val="24"/>
        </w:rPr>
        <w:t xml:space="preserve">. </w:t>
      </w:r>
      <w:r w:rsidR="00CB6AAC" w:rsidRPr="00CF3854">
        <w:rPr>
          <w:rFonts w:ascii="Garamond" w:hAnsi="Garamond"/>
          <w:b/>
          <w:bCs/>
          <w:i/>
          <w:iCs/>
          <w:sz w:val="24"/>
          <w:szCs w:val="24"/>
        </w:rPr>
        <w:t xml:space="preserve">Can the assessee, being a charitable institution </w:t>
      </w:r>
      <w:r w:rsidR="00CB6AAC">
        <w:rPr>
          <w:rFonts w:ascii="Garamond" w:hAnsi="Garamond"/>
          <w:b/>
          <w:bCs/>
          <w:i/>
          <w:iCs/>
          <w:sz w:val="24"/>
          <w:szCs w:val="24"/>
        </w:rPr>
        <w:t>claim depreciation u/s</w:t>
      </w:r>
      <w:r w:rsidR="00CB6AAC" w:rsidRPr="00CF3854">
        <w:rPr>
          <w:rFonts w:ascii="Garamond" w:hAnsi="Garamond"/>
          <w:b/>
          <w:bCs/>
          <w:i/>
          <w:iCs/>
          <w:sz w:val="24"/>
          <w:szCs w:val="24"/>
        </w:rPr>
        <w:t xml:space="preserve"> 32 in respect of an asset, where the cost of such asset has been treated as application of income for charitable purposes under section 11(1)(a)?</w:t>
      </w:r>
    </w:p>
    <w:p w:rsidR="00CB6AAC" w:rsidRPr="00947736" w:rsidRDefault="00CB6AAC" w:rsidP="00CB6AAC">
      <w:pPr>
        <w:pStyle w:val="NoSpacing"/>
        <w:jc w:val="both"/>
        <w:rPr>
          <w:rFonts w:ascii="Garamond" w:hAnsi="Garamond"/>
          <w:b/>
          <w:bCs/>
          <w:i/>
          <w:iCs/>
          <w:sz w:val="24"/>
          <w:szCs w:val="24"/>
          <w:u w:val="single"/>
        </w:rPr>
      </w:pPr>
      <w:r w:rsidRPr="00947736">
        <w:rPr>
          <w:rFonts w:ascii="Garamond" w:hAnsi="Garamond"/>
          <w:b/>
          <w:bCs/>
          <w:i/>
          <w:iCs/>
          <w:sz w:val="24"/>
          <w:szCs w:val="24"/>
          <w:u w:val="single"/>
        </w:rPr>
        <w:t>Lissie Medical Institutions v. CIT (Ker)</w:t>
      </w:r>
    </w:p>
    <w:p w:rsidR="00CB6AAC" w:rsidRDefault="00CB6AAC" w:rsidP="00CB6AAC">
      <w:pPr>
        <w:pStyle w:val="NoSpacing"/>
        <w:jc w:val="both"/>
        <w:rPr>
          <w:rFonts w:ascii="Comic Sans MS" w:hAnsi="Comic Sans MS" w:cs="Comic Sans MS"/>
          <w:color w:val="000000"/>
          <w:sz w:val="24"/>
          <w:szCs w:val="24"/>
        </w:rPr>
      </w:pPr>
    </w:p>
    <w:p w:rsidR="00CB6AAC" w:rsidRPr="00701DD1" w:rsidRDefault="00CB6AAC" w:rsidP="00CB6AAC">
      <w:pPr>
        <w:pStyle w:val="NoSpacing"/>
        <w:jc w:val="both"/>
        <w:rPr>
          <w:rFonts w:ascii="Garamond" w:hAnsi="Garamond"/>
          <w:sz w:val="24"/>
          <w:szCs w:val="24"/>
        </w:rPr>
      </w:pPr>
      <w:r>
        <w:rPr>
          <w:rFonts w:ascii="Garamond" w:hAnsi="Garamond"/>
          <w:b/>
          <w:bCs/>
          <w:i/>
          <w:iCs/>
          <w:sz w:val="24"/>
          <w:szCs w:val="24"/>
        </w:rPr>
        <w:t>Decision:</w:t>
      </w:r>
      <w:r>
        <w:rPr>
          <w:rFonts w:ascii="Garamond" w:hAnsi="Garamond"/>
          <w:sz w:val="24"/>
          <w:szCs w:val="24"/>
        </w:rPr>
        <w:t xml:space="preserve"> HC held that once expenditure on asset acquisition is treated as application of income for charitable purpose u/s 11(1)(a), the full value of asset stands written off &amp; if depreciation is further allowed, it will result in double deduction of capital expenditure. Thus trust is not eligible to claim depreciation on such capital expenditure, in current year or in subsequent years</w:t>
      </w:r>
    </w:p>
    <w:p w:rsidR="00CB6AAC" w:rsidRDefault="00CB6AAC" w:rsidP="00CB6AAC">
      <w:pPr>
        <w:pStyle w:val="NoSpacing"/>
        <w:jc w:val="both"/>
        <w:rPr>
          <w:rFonts w:ascii="Garamond" w:hAnsi="Garamond"/>
          <w:sz w:val="24"/>
          <w:szCs w:val="24"/>
        </w:rPr>
      </w:pPr>
    </w:p>
    <w:p w:rsidR="00CB6AAC" w:rsidRPr="00167A7D" w:rsidRDefault="00E75BA5" w:rsidP="00167A7D">
      <w:pPr>
        <w:pStyle w:val="Default"/>
        <w:jc w:val="both"/>
        <w:rPr>
          <w:rFonts w:ascii="Garamond" w:hAnsi="Garamond"/>
          <w:b/>
          <w:bCs/>
          <w:i/>
          <w:iCs/>
        </w:rPr>
      </w:pPr>
      <w:r>
        <w:rPr>
          <w:rFonts w:ascii="Garamond" w:hAnsi="Garamond"/>
          <w:b/>
          <w:bCs/>
          <w:i/>
          <w:iCs/>
        </w:rPr>
        <w:t>36</w:t>
      </w:r>
      <w:r w:rsidR="001E2D2B">
        <w:rPr>
          <w:rFonts w:ascii="Garamond" w:hAnsi="Garamond"/>
          <w:b/>
          <w:bCs/>
          <w:i/>
          <w:iCs/>
        </w:rPr>
        <w:t xml:space="preserve">. </w:t>
      </w:r>
      <w:r w:rsidR="00167A7D" w:rsidRPr="00167A7D">
        <w:rPr>
          <w:rFonts w:ascii="Garamond" w:hAnsi="Garamond"/>
          <w:b/>
          <w:bCs/>
          <w:i/>
          <w:iCs/>
        </w:rPr>
        <w:t xml:space="preserve">Can an assessee revise the particulars filed in the original return of income by filing a </w:t>
      </w:r>
      <w:r w:rsidR="00167A7D" w:rsidRPr="00933C0D">
        <w:rPr>
          <w:rFonts w:ascii="Garamond" w:hAnsi="Garamond"/>
          <w:b/>
          <w:bCs/>
          <w:i/>
          <w:iCs/>
          <w:u w:val="single"/>
        </w:rPr>
        <w:t xml:space="preserve">revised statement </w:t>
      </w:r>
      <w:r w:rsidR="00167A7D" w:rsidRPr="00167A7D">
        <w:rPr>
          <w:rFonts w:ascii="Garamond" w:hAnsi="Garamond"/>
          <w:b/>
          <w:bCs/>
          <w:i/>
          <w:iCs/>
        </w:rPr>
        <w:t>of income?</w:t>
      </w:r>
    </w:p>
    <w:p w:rsidR="00073702" w:rsidRPr="00167A7D" w:rsidRDefault="00073702" w:rsidP="00D2690B">
      <w:pPr>
        <w:pStyle w:val="NoSpacing"/>
        <w:jc w:val="both"/>
        <w:rPr>
          <w:rFonts w:ascii="Garamond" w:hAnsi="Garamond"/>
          <w:b/>
          <w:bCs/>
          <w:i/>
          <w:iCs/>
          <w:sz w:val="24"/>
          <w:szCs w:val="24"/>
          <w:u w:val="single"/>
        </w:rPr>
      </w:pPr>
      <w:r w:rsidRPr="00167A7D">
        <w:rPr>
          <w:rFonts w:ascii="Garamond" w:hAnsi="Garamond"/>
          <w:b/>
          <w:bCs/>
          <w:i/>
          <w:iCs/>
          <w:sz w:val="24"/>
          <w:szCs w:val="24"/>
          <w:u w:val="single"/>
        </w:rPr>
        <w:t>Orissa Rural Housing Development Corpn. Ltd.</w:t>
      </w:r>
      <w:r w:rsidR="00972FDF">
        <w:rPr>
          <w:rFonts w:ascii="Garamond" w:hAnsi="Garamond"/>
          <w:b/>
          <w:bCs/>
          <w:i/>
          <w:iCs/>
          <w:sz w:val="24"/>
          <w:szCs w:val="24"/>
          <w:u w:val="single"/>
        </w:rPr>
        <w:t xml:space="preserve"> </w:t>
      </w:r>
      <w:r w:rsidRPr="00167A7D">
        <w:rPr>
          <w:rFonts w:ascii="Garamond" w:hAnsi="Garamond"/>
          <w:b/>
          <w:bCs/>
          <w:i/>
          <w:iCs/>
          <w:sz w:val="24"/>
          <w:szCs w:val="24"/>
          <w:u w:val="single"/>
        </w:rPr>
        <w:t xml:space="preserve">v. </w:t>
      </w:r>
      <w:r w:rsidR="00972FDF">
        <w:rPr>
          <w:rFonts w:ascii="Garamond" w:hAnsi="Garamond"/>
          <w:b/>
          <w:bCs/>
          <w:i/>
          <w:iCs/>
          <w:sz w:val="24"/>
          <w:szCs w:val="24"/>
          <w:u w:val="single"/>
        </w:rPr>
        <w:t xml:space="preserve"> </w:t>
      </w:r>
      <w:r w:rsidRPr="00167A7D">
        <w:rPr>
          <w:rFonts w:ascii="Garamond" w:hAnsi="Garamond"/>
          <w:b/>
          <w:bCs/>
          <w:i/>
          <w:iCs/>
          <w:sz w:val="24"/>
          <w:szCs w:val="24"/>
          <w:u w:val="single"/>
        </w:rPr>
        <w:t>ACIT</w:t>
      </w:r>
      <w:r w:rsidR="00531802" w:rsidRPr="00167A7D">
        <w:rPr>
          <w:rFonts w:ascii="Garamond" w:hAnsi="Garamond"/>
          <w:b/>
          <w:bCs/>
          <w:i/>
          <w:iCs/>
          <w:sz w:val="24"/>
          <w:szCs w:val="24"/>
          <w:u w:val="single"/>
        </w:rPr>
        <w:t xml:space="preserve"> (Orissa)</w:t>
      </w:r>
    </w:p>
    <w:p w:rsidR="0060390A" w:rsidRDefault="0060390A" w:rsidP="00D2690B">
      <w:pPr>
        <w:pStyle w:val="NoSpacing"/>
        <w:jc w:val="both"/>
        <w:rPr>
          <w:rFonts w:ascii="Garamond" w:hAnsi="Garamond"/>
          <w:sz w:val="24"/>
          <w:szCs w:val="24"/>
        </w:rPr>
      </w:pPr>
    </w:p>
    <w:p w:rsidR="007011CD" w:rsidRDefault="007011CD" w:rsidP="00D2690B">
      <w:pPr>
        <w:pStyle w:val="NoSpacing"/>
        <w:jc w:val="both"/>
        <w:rPr>
          <w:rFonts w:ascii="Garamond" w:hAnsi="Garamond"/>
          <w:sz w:val="24"/>
          <w:szCs w:val="24"/>
        </w:rPr>
      </w:pPr>
      <w:r>
        <w:rPr>
          <w:rFonts w:ascii="Garamond" w:hAnsi="Garamond"/>
          <w:sz w:val="24"/>
          <w:szCs w:val="24"/>
        </w:rPr>
        <w:t>HC held that assessee can make a fresh claim or make a change in originally filed return of income only by filing a fresh return of income u/s 139(5)</w:t>
      </w:r>
      <w:r w:rsidR="001E3DE8">
        <w:rPr>
          <w:rFonts w:ascii="Garamond" w:hAnsi="Garamond"/>
          <w:sz w:val="24"/>
          <w:szCs w:val="24"/>
        </w:rPr>
        <w:t xml:space="preserve">. </w:t>
      </w:r>
    </w:p>
    <w:p w:rsidR="001E3DE8" w:rsidRDefault="001E3DE8" w:rsidP="00D2690B">
      <w:pPr>
        <w:pStyle w:val="NoSpacing"/>
        <w:jc w:val="both"/>
        <w:rPr>
          <w:rFonts w:ascii="Garamond" w:hAnsi="Garamond"/>
          <w:sz w:val="24"/>
          <w:szCs w:val="24"/>
        </w:rPr>
      </w:pPr>
      <w:r>
        <w:rPr>
          <w:rFonts w:ascii="Garamond" w:hAnsi="Garamond"/>
          <w:sz w:val="24"/>
          <w:szCs w:val="24"/>
        </w:rPr>
        <w:t xml:space="preserve">There is no provision under income tax act to enable an assessee to revise his income by filling a revised statement of income. </w:t>
      </w:r>
    </w:p>
    <w:p w:rsidR="00167A7D" w:rsidRDefault="004713FD" w:rsidP="00D2690B">
      <w:pPr>
        <w:pStyle w:val="NoSpacing"/>
        <w:jc w:val="both"/>
        <w:rPr>
          <w:rFonts w:ascii="Garamond" w:hAnsi="Garamond"/>
          <w:sz w:val="24"/>
          <w:szCs w:val="24"/>
        </w:rPr>
      </w:pPr>
      <w:r>
        <w:rPr>
          <w:rFonts w:ascii="Garamond" w:hAnsi="Garamond"/>
          <w:sz w:val="24"/>
          <w:szCs w:val="24"/>
        </w:rPr>
        <w:t>HC held that AO has no power to entertain a fresh claim made after filing of original return except by way of filing of revised return</w:t>
      </w:r>
    </w:p>
    <w:p w:rsidR="00467E10" w:rsidRDefault="00467E10" w:rsidP="00D2690B">
      <w:pPr>
        <w:pStyle w:val="NoSpacing"/>
        <w:jc w:val="both"/>
        <w:rPr>
          <w:rFonts w:ascii="Garamond" w:hAnsi="Garamond"/>
          <w:sz w:val="24"/>
          <w:szCs w:val="24"/>
        </w:rPr>
      </w:pPr>
    </w:p>
    <w:p w:rsidR="00467E10" w:rsidRDefault="00467E10" w:rsidP="00D2690B">
      <w:pPr>
        <w:pStyle w:val="NoSpacing"/>
        <w:jc w:val="both"/>
        <w:rPr>
          <w:rFonts w:ascii="Garamond" w:hAnsi="Garamond"/>
          <w:sz w:val="24"/>
          <w:szCs w:val="24"/>
        </w:rPr>
      </w:pPr>
    </w:p>
    <w:p w:rsidR="00467E10" w:rsidRDefault="00467E10" w:rsidP="00D2690B">
      <w:pPr>
        <w:pStyle w:val="NoSpacing"/>
        <w:jc w:val="both"/>
        <w:rPr>
          <w:rFonts w:ascii="Garamond" w:hAnsi="Garamond"/>
          <w:sz w:val="24"/>
          <w:szCs w:val="24"/>
        </w:rPr>
      </w:pPr>
    </w:p>
    <w:p w:rsidR="0056527F" w:rsidRDefault="0056527F" w:rsidP="00D2690B">
      <w:pPr>
        <w:pStyle w:val="NoSpacing"/>
        <w:jc w:val="both"/>
        <w:rPr>
          <w:rFonts w:ascii="Garamond" w:hAnsi="Garamond"/>
          <w:sz w:val="24"/>
          <w:szCs w:val="24"/>
        </w:rPr>
      </w:pPr>
    </w:p>
    <w:p w:rsidR="00467E10" w:rsidRDefault="00467E10" w:rsidP="00D2690B">
      <w:pPr>
        <w:pStyle w:val="NoSpacing"/>
        <w:jc w:val="both"/>
        <w:rPr>
          <w:rFonts w:ascii="Garamond" w:hAnsi="Garamond"/>
          <w:sz w:val="24"/>
          <w:szCs w:val="24"/>
        </w:rPr>
      </w:pPr>
    </w:p>
    <w:p w:rsidR="00467E10" w:rsidRDefault="00467E10" w:rsidP="00D2690B">
      <w:pPr>
        <w:pStyle w:val="NoSpacing"/>
        <w:jc w:val="both"/>
        <w:rPr>
          <w:rFonts w:ascii="Garamond" w:hAnsi="Garamond"/>
          <w:sz w:val="24"/>
          <w:szCs w:val="24"/>
        </w:rPr>
      </w:pPr>
    </w:p>
    <w:p w:rsidR="00467E10" w:rsidRDefault="00467E10" w:rsidP="00D2690B">
      <w:pPr>
        <w:pStyle w:val="NoSpacing"/>
        <w:jc w:val="both"/>
        <w:rPr>
          <w:rFonts w:ascii="Garamond" w:hAnsi="Garamond"/>
          <w:sz w:val="24"/>
          <w:szCs w:val="24"/>
        </w:rPr>
      </w:pPr>
    </w:p>
    <w:p w:rsidR="00467E10" w:rsidRPr="00D2690B" w:rsidRDefault="00467E10" w:rsidP="00D2690B">
      <w:pPr>
        <w:pStyle w:val="NoSpacing"/>
        <w:jc w:val="both"/>
        <w:rPr>
          <w:rFonts w:ascii="Garamond" w:hAnsi="Garamond"/>
          <w:sz w:val="24"/>
          <w:szCs w:val="24"/>
        </w:rPr>
      </w:pPr>
    </w:p>
    <w:p w:rsidR="007D40F1" w:rsidRDefault="007D40F1" w:rsidP="007D40F1">
      <w:pPr>
        <w:pStyle w:val="Subtitle"/>
        <w:spacing w:line="240" w:lineRule="auto"/>
        <w:jc w:val="center"/>
        <w:rPr>
          <w:b/>
          <w:bCs/>
        </w:rPr>
      </w:pPr>
      <w:r>
        <w:rPr>
          <w:b/>
          <w:bCs/>
        </w:rPr>
        <w:lastRenderedPageBreak/>
        <w:t>2011</w:t>
      </w:r>
    </w:p>
    <w:p w:rsidR="007D40F1" w:rsidRPr="0056527F" w:rsidRDefault="0056527F" w:rsidP="007D40F1">
      <w:pPr>
        <w:pStyle w:val="NoSpacing"/>
        <w:jc w:val="both"/>
        <w:rPr>
          <w:rFonts w:ascii="Garamond" w:hAnsi="Garamond"/>
          <w:b/>
          <w:bCs/>
          <w:i/>
          <w:iCs/>
          <w:sz w:val="24"/>
          <w:szCs w:val="24"/>
        </w:rPr>
      </w:pPr>
      <w:r w:rsidRPr="0056527F">
        <w:rPr>
          <w:rFonts w:ascii="Garamond" w:hAnsi="Garamond"/>
          <w:b/>
          <w:bCs/>
          <w:i/>
          <w:iCs/>
          <w:sz w:val="24"/>
          <w:szCs w:val="24"/>
        </w:rPr>
        <w:t>Can subsidy received by the assessee from the Government of West Bengal under the scheme of industrial promotion for expansion of its capacities, modernization and improving its marketing capabilities be treated as a capital receipt?</w:t>
      </w:r>
    </w:p>
    <w:p w:rsidR="007D40F1" w:rsidRDefault="007D40F1" w:rsidP="007D40F1">
      <w:pPr>
        <w:pStyle w:val="NoSpacing"/>
        <w:jc w:val="both"/>
        <w:rPr>
          <w:rFonts w:ascii="Garamond" w:hAnsi="Garamond"/>
          <w:b/>
          <w:bCs/>
          <w:i/>
          <w:iCs/>
          <w:sz w:val="24"/>
          <w:szCs w:val="24"/>
          <w:u w:val="single"/>
        </w:rPr>
      </w:pPr>
      <w:r>
        <w:rPr>
          <w:rFonts w:ascii="Garamond" w:hAnsi="Garamond"/>
          <w:b/>
          <w:bCs/>
          <w:i/>
          <w:iCs/>
          <w:sz w:val="24"/>
          <w:szCs w:val="24"/>
          <w:u w:val="single"/>
        </w:rPr>
        <w:t>CIT v. Rasoi Ltd. (Cal)</w:t>
      </w:r>
    </w:p>
    <w:p w:rsidR="0056527F" w:rsidRDefault="0056527F" w:rsidP="007D40F1">
      <w:pPr>
        <w:pStyle w:val="NoSpacing"/>
        <w:jc w:val="both"/>
        <w:rPr>
          <w:rFonts w:ascii="Garamond" w:hAnsi="Garamond"/>
          <w:sz w:val="24"/>
          <w:szCs w:val="24"/>
        </w:rPr>
      </w:pPr>
    </w:p>
    <w:p w:rsidR="0056527F" w:rsidRDefault="000A45A9" w:rsidP="007D40F1">
      <w:pPr>
        <w:pStyle w:val="NoSpacing"/>
        <w:jc w:val="both"/>
        <w:rPr>
          <w:rFonts w:ascii="Garamond" w:hAnsi="Garamond"/>
          <w:sz w:val="24"/>
          <w:szCs w:val="24"/>
        </w:rPr>
      </w:pPr>
      <w:r>
        <w:rPr>
          <w:rFonts w:ascii="Garamond" w:hAnsi="Garamond"/>
          <w:sz w:val="24"/>
          <w:szCs w:val="24"/>
        </w:rPr>
        <w:t xml:space="preserve">HC applying the rationale of a SC decision observed that </w:t>
      </w:r>
      <w:r w:rsidR="00283F7A">
        <w:rPr>
          <w:rFonts w:ascii="Garamond" w:hAnsi="Garamond"/>
          <w:sz w:val="24"/>
          <w:szCs w:val="24"/>
        </w:rPr>
        <w:t>if the object of subsidy is to enable assessee to run business more profitably, receipt is revenue receipt. If object is to enable to set up a new unit or to expand an existing unit, receipt would be capital receipt</w:t>
      </w:r>
    </w:p>
    <w:p w:rsidR="00501C86" w:rsidRDefault="00501C86" w:rsidP="007D40F1">
      <w:pPr>
        <w:pStyle w:val="NoSpacing"/>
        <w:jc w:val="both"/>
        <w:rPr>
          <w:rFonts w:ascii="Garamond" w:hAnsi="Garamond"/>
          <w:sz w:val="24"/>
          <w:szCs w:val="24"/>
        </w:rPr>
      </w:pPr>
      <w:r>
        <w:rPr>
          <w:rFonts w:ascii="Garamond" w:hAnsi="Garamond"/>
          <w:sz w:val="24"/>
          <w:szCs w:val="24"/>
        </w:rPr>
        <w:t>Object of the subsidy determines the nature of the subsidy</w:t>
      </w:r>
    </w:p>
    <w:p w:rsidR="00212D59" w:rsidRDefault="00212D59" w:rsidP="007D40F1">
      <w:pPr>
        <w:pStyle w:val="NoSpacing"/>
        <w:jc w:val="both"/>
        <w:rPr>
          <w:rFonts w:ascii="Garamond" w:hAnsi="Garamond"/>
          <w:sz w:val="24"/>
          <w:szCs w:val="24"/>
        </w:rPr>
      </w:pPr>
      <w:r>
        <w:rPr>
          <w:rFonts w:ascii="Garamond" w:hAnsi="Garamond"/>
          <w:sz w:val="24"/>
          <w:szCs w:val="24"/>
        </w:rPr>
        <w:t>In the instant case, object was expansion of capacities, modernization, &amp; improvement of market capabilities.</w:t>
      </w:r>
    </w:p>
    <w:p w:rsidR="00212D59" w:rsidRDefault="00212D59" w:rsidP="007D40F1">
      <w:pPr>
        <w:pStyle w:val="NoSpacing"/>
        <w:jc w:val="both"/>
        <w:rPr>
          <w:rFonts w:ascii="Garamond" w:hAnsi="Garamond"/>
          <w:sz w:val="24"/>
          <w:szCs w:val="24"/>
        </w:rPr>
      </w:pPr>
      <w:r>
        <w:rPr>
          <w:rFonts w:ascii="Garamond" w:hAnsi="Garamond"/>
          <w:sz w:val="24"/>
          <w:szCs w:val="24"/>
        </w:rPr>
        <w:t>Merely because subsidy was equivalent to 90% of sales tax, cannot be construed as sales tax refund</w:t>
      </w:r>
    </w:p>
    <w:p w:rsidR="00212D59" w:rsidRDefault="00212D59" w:rsidP="007D40F1">
      <w:pPr>
        <w:pStyle w:val="NoSpacing"/>
        <w:jc w:val="both"/>
        <w:rPr>
          <w:rFonts w:ascii="Garamond" w:hAnsi="Garamond"/>
          <w:sz w:val="24"/>
          <w:szCs w:val="24"/>
        </w:rPr>
      </w:pPr>
      <w:r>
        <w:rPr>
          <w:rFonts w:ascii="Garamond" w:hAnsi="Garamond"/>
          <w:sz w:val="24"/>
          <w:szCs w:val="24"/>
        </w:rPr>
        <w:t>Thus it was held that subsidy is to be treated as capital receipt</w:t>
      </w:r>
    </w:p>
    <w:p w:rsidR="0056527F" w:rsidRPr="0056527F" w:rsidRDefault="0056527F" w:rsidP="007D40F1">
      <w:pPr>
        <w:pStyle w:val="NoSpacing"/>
        <w:jc w:val="both"/>
        <w:rPr>
          <w:rFonts w:ascii="Garamond" w:hAnsi="Garamond"/>
          <w:b/>
          <w:bCs/>
          <w:i/>
          <w:iCs/>
          <w:sz w:val="24"/>
          <w:szCs w:val="24"/>
        </w:rPr>
      </w:pPr>
    </w:p>
    <w:p w:rsidR="0056527F" w:rsidRPr="000502DA" w:rsidRDefault="0056527F" w:rsidP="000502DA">
      <w:pPr>
        <w:pStyle w:val="Default"/>
        <w:jc w:val="both"/>
        <w:rPr>
          <w:rFonts w:ascii="Garamond" w:hAnsi="Garamond"/>
          <w:b/>
          <w:bCs/>
          <w:i/>
          <w:iCs/>
        </w:rPr>
      </w:pPr>
      <w:r>
        <w:rPr>
          <w:rFonts w:ascii="Garamond" w:hAnsi="Garamond"/>
          <w:b/>
          <w:bCs/>
          <w:i/>
          <w:iCs/>
        </w:rPr>
        <w:t>C</w:t>
      </w:r>
      <w:r w:rsidRPr="0056527F">
        <w:rPr>
          <w:rFonts w:ascii="Garamond" w:hAnsi="Garamond"/>
          <w:b/>
          <w:bCs/>
          <w:i/>
          <w:iCs/>
        </w:rPr>
        <w:t>an the loan or advance given to a shareholder by the company, in return of an advantage conferred on the company by the shareholder, be deemed as dividend under section 2(22)(e) in the hands of the shareholder?</w:t>
      </w:r>
    </w:p>
    <w:p w:rsidR="007D40F1" w:rsidRDefault="007D40F1" w:rsidP="007D40F1">
      <w:pPr>
        <w:pStyle w:val="NoSpacing"/>
        <w:jc w:val="both"/>
        <w:rPr>
          <w:rFonts w:ascii="Garamond" w:hAnsi="Garamond"/>
          <w:b/>
          <w:bCs/>
          <w:i/>
          <w:iCs/>
          <w:sz w:val="24"/>
          <w:szCs w:val="24"/>
          <w:u w:val="single"/>
        </w:rPr>
      </w:pPr>
      <w:r>
        <w:rPr>
          <w:rFonts w:ascii="Garamond" w:hAnsi="Garamond"/>
          <w:b/>
          <w:bCs/>
          <w:i/>
          <w:iCs/>
          <w:sz w:val="24"/>
          <w:szCs w:val="24"/>
          <w:u w:val="single"/>
        </w:rPr>
        <w:t>Pradip Kumar Malhotra v. CIT (Cal)</w:t>
      </w:r>
    </w:p>
    <w:p w:rsidR="007D40F1" w:rsidRDefault="007D40F1" w:rsidP="007D40F1">
      <w:pPr>
        <w:pStyle w:val="NoSpacing"/>
        <w:jc w:val="both"/>
        <w:rPr>
          <w:rFonts w:ascii="Garamond" w:hAnsi="Garamond"/>
          <w:sz w:val="24"/>
          <w:szCs w:val="24"/>
        </w:rPr>
      </w:pPr>
    </w:p>
    <w:p w:rsidR="005A1F8D" w:rsidRDefault="00704A1B" w:rsidP="007D40F1">
      <w:pPr>
        <w:pStyle w:val="NoSpacing"/>
        <w:jc w:val="both"/>
        <w:rPr>
          <w:rFonts w:ascii="Garamond" w:hAnsi="Garamond"/>
          <w:sz w:val="24"/>
          <w:szCs w:val="24"/>
        </w:rPr>
      </w:pPr>
      <w:r>
        <w:rPr>
          <w:rFonts w:ascii="Garamond" w:hAnsi="Garamond"/>
          <w:sz w:val="24"/>
          <w:szCs w:val="24"/>
        </w:rPr>
        <w:t xml:space="preserve">HC observed that phrase </w:t>
      </w:r>
      <w:r>
        <w:rPr>
          <w:rFonts w:ascii="Garamond" w:hAnsi="Garamond"/>
          <w:i/>
          <w:iCs/>
          <w:sz w:val="24"/>
          <w:szCs w:val="24"/>
        </w:rPr>
        <w:t>by way of advance or loan</w:t>
      </w:r>
      <w:r>
        <w:rPr>
          <w:rFonts w:ascii="Garamond" w:hAnsi="Garamond"/>
          <w:sz w:val="24"/>
          <w:szCs w:val="24"/>
        </w:rPr>
        <w:t xml:space="preserve"> in sec2(22)(e) must be construed to mean those advances which a share holder enjoys on account of his being a person beneficial owner of shares</w:t>
      </w:r>
      <w:r w:rsidR="00B220A6">
        <w:rPr>
          <w:rFonts w:ascii="Garamond" w:hAnsi="Garamond"/>
          <w:sz w:val="24"/>
          <w:szCs w:val="24"/>
        </w:rPr>
        <w:t xml:space="preserve"> holding not less than 10% of voting power</w:t>
      </w:r>
    </w:p>
    <w:p w:rsidR="00C608A7" w:rsidRPr="00704A1B" w:rsidRDefault="00C608A7" w:rsidP="007D40F1">
      <w:pPr>
        <w:pStyle w:val="NoSpacing"/>
        <w:jc w:val="both"/>
        <w:rPr>
          <w:rFonts w:ascii="Garamond" w:hAnsi="Garamond"/>
          <w:sz w:val="24"/>
          <w:szCs w:val="24"/>
        </w:rPr>
      </w:pPr>
      <w:r>
        <w:rPr>
          <w:rFonts w:ascii="Garamond" w:hAnsi="Garamond"/>
          <w:sz w:val="24"/>
          <w:szCs w:val="24"/>
        </w:rPr>
        <w:t xml:space="preserve">In case such loans/ advances is given to such shareholders as a consequence of any further consideration which is beneficial to the company received </w:t>
      </w:r>
      <w:r w:rsidR="00BE3148">
        <w:rPr>
          <w:rFonts w:ascii="Garamond" w:hAnsi="Garamond"/>
          <w:sz w:val="24"/>
          <w:szCs w:val="24"/>
        </w:rPr>
        <w:t>from such</w:t>
      </w:r>
      <w:r w:rsidR="004976EE">
        <w:rPr>
          <w:rFonts w:ascii="Garamond" w:hAnsi="Garamond"/>
          <w:sz w:val="24"/>
          <w:szCs w:val="24"/>
        </w:rPr>
        <w:t xml:space="preserve"> a </w:t>
      </w:r>
      <w:r w:rsidR="008539CC">
        <w:rPr>
          <w:rFonts w:ascii="Garamond" w:hAnsi="Garamond"/>
          <w:sz w:val="24"/>
          <w:szCs w:val="24"/>
        </w:rPr>
        <w:t>shareholder, such advance/loan cannot be said to be deemed dividend within the meaning of the Act</w:t>
      </w:r>
    </w:p>
    <w:p w:rsidR="007D40F1" w:rsidRDefault="006D4982" w:rsidP="007D40F1">
      <w:pPr>
        <w:pStyle w:val="NoSpacing"/>
        <w:jc w:val="both"/>
        <w:rPr>
          <w:rFonts w:ascii="Garamond" w:hAnsi="Garamond"/>
          <w:sz w:val="24"/>
          <w:szCs w:val="24"/>
        </w:rPr>
      </w:pPr>
      <w:r>
        <w:rPr>
          <w:rFonts w:ascii="Garamond" w:hAnsi="Garamond"/>
          <w:sz w:val="24"/>
          <w:szCs w:val="24"/>
        </w:rPr>
        <w:t xml:space="preserve">Advance given to assessee was not in the nature of a gratuitous advance given, it was given to protect the </w:t>
      </w:r>
      <w:r w:rsidR="00DE75A5">
        <w:rPr>
          <w:rFonts w:ascii="Garamond" w:hAnsi="Garamond"/>
          <w:sz w:val="24"/>
          <w:szCs w:val="24"/>
        </w:rPr>
        <w:t>interest of the CO. T</w:t>
      </w:r>
      <w:r>
        <w:rPr>
          <w:rFonts w:ascii="Garamond" w:hAnsi="Garamond"/>
          <w:sz w:val="24"/>
          <w:szCs w:val="24"/>
        </w:rPr>
        <w:t>herefore it cannot be treated as deemed dividend</w:t>
      </w:r>
    </w:p>
    <w:p w:rsidR="00453655" w:rsidRDefault="00453655" w:rsidP="007D40F1">
      <w:pPr>
        <w:pStyle w:val="NoSpacing"/>
        <w:jc w:val="both"/>
        <w:rPr>
          <w:rFonts w:ascii="Garamond" w:hAnsi="Garamond"/>
          <w:sz w:val="24"/>
          <w:szCs w:val="24"/>
        </w:rPr>
      </w:pPr>
    </w:p>
    <w:p w:rsidR="007D40F1" w:rsidRPr="000502DA" w:rsidRDefault="00A672FA" w:rsidP="007D40F1">
      <w:pPr>
        <w:pStyle w:val="NoSpacing"/>
        <w:jc w:val="both"/>
        <w:rPr>
          <w:rFonts w:ascii="Garamond" w:hAnsi="Garamond"/>
          <w:b/>
          <w:bCs/>
          <w:i/>
          <w:iCs/>
          <w:sz w:val="24"/>
          <w:szCs w:val="24"/>
        </w:rPr>
      </w:pPr>
      <w:r>
        <w:rPr>
          <w:rFonts w:ascii="Garamond" w:hAnsi="Garamond"/>
          <w:b/>
          <w:bCs/>
          <w:i/>
          <w:iCs/>
          <w:sz w:val="24"/>
          <w:szCs w:val="24"/>
        </w:rPr>
        <w:t xml:space="preserve">Is abkari licence covered u/s </w:t>
      </w:r>
      <w:r w:rsidR="000502DA" w:rsidRPr="000502DA">
        <w:rPr>
          <w:rFonts w:ascii="Garamond" w:hAnsi="Garamond"/>
          <w:b/>
          <w:bCs/>
          <w:i/>
          <w:iCs/>
          <w:sz w:val="24"/>
          <w:szCs w:val="24"/>
        </w:rPr>
        <w:t>32(1)(ii) and eligible for depreciation 25% of written down value?</w:t>
      </w:r>
    </w:p>
    <w:p w:rsidR="007D40F1" w:rsidRDefault="007D40F1" w:rsidP="007D40F1">
      <w:pPr>
        <w:pStyle w:val="NoSpacing"/>
        <w:jc w:val="both"/>
        <w:rPr>
          <w:rFonts w:ascii="Garamond" w:hAnsi="Garamond"/>
          <w:b/>
          <w:bCs/>
          <w:i/>
          <w:iCs/>
          <w:sz w:val="24"/>
          <w:szCs w:val="24"/>
          <w:u w:val="single"/>
        </w:rPr>
      </w:pPr>
      <w:r>
        <w:rPr>
          <w:rFonts w:ascii="Garamond" w:hAnsi="Garamond"/>
          <w:b/>
          <w:bCs/>
          <w:i/>
          <w:iCs/>
          <w:sz w:val="24"/>
          <w:szCs w:val="24"/>
          <w:u w:val="single"/>
        </w:rPr>
        <w:t>S. Ambika v. DCIT (Ker)</w:t>
      </w:r>
    </w:p>
    <w:p w:rsidR="007D40F1" w:rsidRDefault="007D40F1" w:rsidP="007D40F1">
      <w:pPr>
        <w:pStyle w:val="NoSpacing"/>
        <w:jc w:val="both"/>
        <w:rPr>
          <w:rFonts w:ascii="Garamond" w:hAnsi="Garamond"/>
          <w:sz w:val="24"/>
          <w:szCs w:val="24"/>
        </w:rPr>
      </w:pPr>
    </w:p>
    <w:p w:rsidR="007D40F1" w:rsidRDefault="003E3699" w:rsidP="007D40F1">
      <w:pPr>
        <w:pStyle w:val="NoSpacing"/>
        <w:jc w:val="both"/>
        <w:rPr>
          <w:rFonts w:ascii="Garamond" w:hAnsi="Garamond"/>
          <w:sz w:val="24"/>
          <w:szCs w:val="24"/>
        </w:rPr>
      </w:pPr>
      <w:r>
        <w:rPr>
          <w:rFonts w:ascii="Garamond" w:hAnsi="Garamond"/>
          <w:sz w:val="24"/>
          <w:szCs w:val="24"/>
        </w:rPr>
        <w:t>HC observed that abkari license is treated as a transferable license &amp; Excise Commissioner is authorised to approve transfers.</w:t>
      </w:r>
      <w:r w:rsidR="00095DD7">
        <w:rPr>
          <w:rFonts w:ascii="Garamond" w:hAnsi="Garamond"/>
          <w:sz w:val="24"/>
          <w:szCs w:val="24"/>
        </w:rPr>
        <w:t xml:space="preserve"> Where licence is transferable according to rules under which it is issued, it is for consideration, &amp; license would be renewable </w:t>
      </w:r>
      <w:r w:rsidR="00F57653">
        <w:rPr>
          <w:rFonts w:ascii="Garamond" w:hAnsi="Garamond"/>
          <w:sz w:val="24"/>
          <w:szCs w:val="24"/>
        </w:rPr>
        <w:t>every</w:t>
      </w:r>
      <w:r w:rsidR="00095DD7">
        <w:rPr>
          <w:rFonts w:ascii="Garamond" w:hAnsi="Garamond"/>
          <w:sz w:val="24"/>
          <w:szCs w:val="24"/>
        </w:rPr>
        <w:t xml:space="preserve"> </w:t>
      </w:r>
      <w:r w:rsidR="00F57653">
        <w:rPr>
          <w:rFonts w:ascii="Garamond" w:hAnsi="Garamond"/>
          <w:sz w:val="24"/>
          <w:szCs w:val="24"/>
        </w:rPr>
        <w:t>year unless a general policy decision is taken by</w:t>
      </w:r>
    </w:p>
    <w:p w:rsidR="000502DA" w:rsidRDefault="00F57653" w:rsidP="007D40F1">
      <w:pPr>
        <w:pStyle w:val="NoSpacing"/>
        <w:jc w:val="both"/>
        <w:rPr>
          <w:rFonts w:ascii="Garamond" w:hAnsi="Garamond"/>
          <w:sz w:val="24"/>
          <w:szCs w:val="24"/>
        </w:rPr>
      </w:pPr>
      <w:r>
        <w:rPr>
          <w:rFonts w:ascii="Garamond" w:hAnsi="Garamond"/>
          <w:sz w:val="24"/>
          <w:szCs w:val="24"/>
        </w:rPr>
        <w:t xml:space="preserve">Government against it &amp; therefore it is a business asset for long term exploitation. </w:t>
      </w:r>
    </w:p>
    <w:p w:rsidR="00722205" w:rsidRDefault="00722205" w:rsidP="007D40F1">
      <w:pPr>
        <w:pStyle w:val="NoSpacing"/>
        <w:jc w:val="both"/>
        <w:rPr>
          <w:rFonts w:ascii="Garamond" w:hAnsi="Garamond"/>
          <w:sz w:val="24"/>
          <w:szCs w:val="24"/>
        </w:rPr>
      </w:pPr>
      <w:r>
        <w:rPr>
          <w:rFonts w:ascii="Garamond" w:hAnsi="Garamond"/>
          <w:sz w:val="24"/>
          <w:szCs w:val="24"/>
        </w:rPr>
        <w:t>HC held that abkari licence falls u/s 32(1)(ii)</w:t>
      </w:r>
      <w:r w:rsidR="000358B5">
        <w:rPr>
          <w:rFonts w:ascii="Garamond" w:hAnsi="Garamond"/>
          <w:sz w:val="24"/>
          <w:szCs w:val="24"/>
        </w:rPr>
        <w:t xml:space="preserve"> on which assessee is </w:t>
      </w:r>
      <w:r w:rsidR="000358B5" w:rsidRPr="000358B5">
        <w:rPr>
          <w:rFonts w:ascii="Garamond" w:hAnsi="Garamond"/>
          <w:sz w:val="24"/>
          <w:szCs w:val="24"/>
          <w:u w:val="single"/>
        </w:rPr>
        <w:t>entitled to depreciation</w:t>
      </w:r>
      <w:r w:rsidR="000358B5">
        <w:rPr>
          <w:rFonts w:ascii="Garamond" w:hAnsi="Garamond"/>
          <w:sz w:val="24"/>
          <w:szCs w:val="24"/>
        </w:rPr>
        <w:t xml:space="preserve"> at 25% of WDV as provided u/s 32(1)</w:t>
      </w:r>
    </w:p>
    <w:p w:rsidR="000502DA" w:rsidRDefault="000502DA" w:rsidP="007D40F1">
      <w:pPr>
        <w:pStyle w:val="NoSpacing"/>
        <w:jc w:val="both"/>
        <w:rPr>
          <w:rFonts w:ascii="Garamond" w:hAnsi="Garamond"/>
          <w:sz w:val="24"/>
          <w:szCs w:val="24"/>
        </w:rPr>
      </w:pPr>
    </w:p>
    <w:p w:rsidR="000502DA" w:rsidRPr="005C3EDA" w:rsidRDefault="005C3EDA" w:rsidP="007D40F1">
      <w:pPr>
        <w:pStyle w:val="NoSpacing"/>
        <w:jc w:val="both"/>
        <w:rPr>
          <w:rFonts w:ascii="Garamond" w:hAnsi="Garamond"/>
          <w:b/>
          <w:bCs/>
          <w:i/>
          <w:iCs/>
          <w:sz w:val="24"/>
          <w:szCs w:val="24"/>
        </w:rPr>
      </w:pPr>
      <w:r w:rsidRPr="005C3EDA">
        <w:rPr>
          <w:rFonts w:ascii="Garamond" w:hAnsi="Garamond"/>
          <w:b/>
          <w:bCs/>
          <w:i/>
          <w:iCs/>
          <w:sz w:val="24"/>
          <w:szCs w:val="24"/>
        </w:rPr>
        <w:t>What would be the nature of the repair and reconditioning expenditure incurred on a machine which broke down years ago - Revenue or Capital</w:t>
      </w:r>
    </w:p>
    <w:p w:rsidR="007D40F1" w:rsidRDefault="007D40F1" w:rsidP="007D40F1">
      <w:pPr>
        <w:pStyle w:val="NoSpacing"/>
        <w:jc w:val="both"/>
        <w:rPr>
          <w:rFonts w:ascii="Garamond" w:hAnsi="Garamond"/>
          <w:b/>
          <w:bCs/>
          <w:i/>
          <w:iCs/>
          <w:sz w:val="24"/>
          <w:szCs w:val="24"/>
          <w:u w:val="single"/>
        </w:rPr>
      </w:pPr>
      <w:r>
        <w:rPr>
          <w:rFonts w:ascii="Garamond" w:hAnsi="Garamond"/>
          <w:b/>
          <w:bCs/>
          <w:i/>
          <w:iCs/>
          <w:sz w:val="24"/>
          <w:szCs w:val="24"/>
          <w:u w:val="single"/>
        </w:rPr>
        <w:t>Bharat Gears Ltd.v. CIT (Del)</w:t>
      </w:r>
    </w:p>
    <w:p w:rsidR="007D40F1" w:rsidRDefault="007D40F1" w:rsidP="007D40F1">
      <w:pPr>
        <w:pStyle w:val="NoSpacing"/>
        <w:jc w:val="both"/>
        <w:rPr>
          <w:rFonts w:ascii="Garamond" w:hAnsi="Garamond"/>
          <w:sz w:val="24"/>
          <w:szCs w:val="24"/>
        </w:rPr>
      </w:pPr>
    </w:p>
    <w:p w:rsidR="007D40F1" w:rsidRDefault="008C7A2A" w:rsidP="007D40F1">
      <w:pPr>
        <w:pStyle w:val="NoSpacing"/>
        <w:jc w:val="both"/>
        <w:rPr>
          <w:rFonts w:ascii="Garamond" w:hAnsi="Garamond"/>
          <w:sz w:val="24"/>
          <w:szCs w:val="24"/>
        </w:rPr>
      </w:pPr>
      <w:r>
        <w:rPr>
          <w:rFonts w:ascii="Garamond" w:hAnsi="Garamond"/>
          <w:sz w:val="24"/>
          <w:szCs w:val="24"/>
        </w:rPr>
        <w:t>HC held that machinery which was repaired had outlived its utility &amp; huge expenditure was incurred by replacing many vital parts in</w:t>
      </w:r>
      <w:r w:rsidR="00E6482D">
        <w:rPr>
          <w:rFonts w:ascii="Garamond" w:hAnsi="Garamond"/>
          <w:sz w:val="24"/>
          <w:szCs w:val="24"/>
        </w:rPr>
        <w:t xml:space="preserve"> order to make them functional. The expenditure was of such nature it brought into existence a new machinery altogether.</w:t>
      </w:r>
    </w:p>
    <w:p w:rsidR="00AA46A4" w:rsidRPr="00AA46A4" w:rsidRDefault="00AA46A4" w:rsidP="007D40F1">
      <w:pPr>
        <w:pStyle w:val="NoSpacing"/>
        <w:jc w:val="both"/>
        <w:rPr>
          <w:rFonts w:ascii="Garamond" w:hAnsi="Garamond"/>
          <w:sz w:val="24"/>
          <w:szCs w:val="24"/>
        </w:rPr>
      </w:pPr>
      <w:r>
        <w:rPr>
          <w:rFonts w:ascii="Garamond" w:hAnsi="Garamond"/>
          <w:sz w:val="24"/>
          <w:szCs w:val="24"/>
        </w:rPr>
        <w:t xml:space="preserve">HC observed that it is in the nature of </w:t>
      </w:r>
      <w:r>
        <w:rPr>
          <w:rFonts w:ascii="Garamond" w:hAnsi="Garamond"/>
          <w:sz w:val="24"/>
          <w:szCs w:val="24"/>
          <w:u w:val="single"/>
        </w:rPr>
        <w:t>capital expenditure</w:t>
      </w:r>
      <w:r>
        <w:rPr>
          <w:rFonts w:ascii="Garamond" w:hAnsi="Garamond"/>
          <w:sz w:val="24"/>
          <w:szCs w:val="24"/>
        </w:rPr>
        <w:t xml:space="preserve"> on which depreciation can be claimed</w:t>
      </w:r>
    </w:p>
    <w:p w:rsidR="00F5237D" w:rsidRDefault="00F5237D" w:rsidP="007D40F1">
      <w:pPr>
        <w:pStyle w:val="NoSpacing"/>
        <w:jc w:val="both"/>
        <w:rPr>
          <w:rFonts w:ascii="Garamond" w:hAnsi="Garamond"/>
          <w:sz w:val="24"/>
          <w:szCs w:val="24"/>
        </w:rPr>
      </w:pPr>
    </w:p>
    <w:p w:rsidR="00C66BF9" w:rsidRDefault="00C66BF9" w:rsidP="00CC7D74">
      <w:pPr>
        <w:pStyle w:val="NoSpacing"/>
        <w:pBdr>
          <w:bottom w:val="single" w:sz="4" w:space="1" w:color="auto"/>
        </w:pBdr>
        <w:jc w:val="both"/>
        <w:rPr>
          <w:rFonts w:ascii="Garamond" w:hAnsi="Garamond"/>
          <w:sz w:val="24"/>
          <w:szCs w:val="24"/>
        </w:rPr>
      </w:pPr>
    </w:p>
    <w:p w:rsidR="00C66BF9" w:rsidRDefault="00C66BF9" w:rsidP="007D40F1">
      <w:pPr>
        <w:pStyle w:val="NoSpacing"/>
        <w:jc w:val="both"/>
        <w:rPr>
          <w:rFonts w:ascii="Garamond" w:hAnsi="Garamond"/>
          <w:sz w:val="24"/>
          <w:szCs w:val="24"/>
        </w:rPr>
      </w:pPr>
    </w:p>
    <w:p w:rsidR="001517E0" w:rsidRPr="001517E0" w:rsidRDefault="001517E0" w:rsidP="001517E0">
      <w:pPr>
        <w:pStyle w:val="NoSpacing"/>
        <w:jc w:val="both"/>
        <w:rPr>
          <w:rFonts w:ascii="Garamond" w:hAnsi="Garamond"/>
          <w:b/>
          <w:bCs/>
          <w:i/>
          <w:iCs/>
          <w:sz w:val="24"/>
          <w:szCs w:val="24"/>
          <w:u w:val="single"/>
        </w:rPr>
      </w:pPr>
      <w:r w:rsidRPr="001517E0">
        <w:rPr>
          <w:rFonts w:ascii="Garamond" w:hAnsi="Garamond"/>
          <w:b/>
          <w:bCs/>
          <w:i/>
          <w:iCs/>
          <w:sz w:val="24"/>
          <w:szCs w:val="24"/>
        </w:rPr>
        <w:lastRenderedPageBreak/>
        <w:t>Can interest under sections 234B and 234C be levied where a company is assessed on the basis of book profits u/s 115JB?</w:t>
      </w:r>
    </w:p>
    <w:p w:rsidR="001517E0" w:rsidRPr="001517E0" w:rsidRDefault="001517E0" w:rsidP="001517E0">
      <w:pPr>
        <w:pStyle w:val="NoSpacing"/>
        <w:jc w:val="both"/>
        <w:rPr>
          <w:rFonts w:ascii="Garamond" w:hAnsi="Garamond"/>
          <w:b/>
          <w:bCs/>
          <w:i/>
          <w:iCs/>
          <w:sz w:val="24"/>
          <w:szCs w:val="24"/>
          <w:u w:val="single"/>
        </w:rPr>
      </w:pPr>
      <w:r w:rsidRPr="001517E0">
        <w:rPr>
          <w:rFonts w:ascii="Garamond" w:hAnsi="Garamond"/>
          <w:b/>
          <w:bCs/>
          <w:i/>
          <w:iCs/>
          <w:sz w:val="24"/>
          <w:szCs w:val="24"/>
          <w:u w:val="single"/>
        </w:rPr>
        <w:t xml:space="preserve">Joint CIT v. Rolta India Ltd. </w:t>
      </w:r>
      <w:r w:rsidRPr="001517E0">
        <w:rPr>
          <w:rFonts w:ascii="Garamond" w:hAnsi="Garamond"/>
          <w:b/>
          <w:bCs/>
          <w:i/>
          <w:iCs/>
          <w:sz w:val="24"/>
          <w:szCs w:val="24"/>
          <w:highlight w:val="yellow"/>
          <w:u w:val="single"/>
        </w:rPr>
        <w:t>(SC)</w:t>
      </w:r>
    </w:p>
    <w:p w:rsidR="001517E0" w:rsidRDefault="002D1B76" w:rsidP="007D40F1">
      <w:pPr>
        <w:pStyle w:val="NoSpacing"/>
        <w:jc w:val="both"/>
        <w:rPr>
          <w:rFonts w:ascii="Garamond" w:hAnsi="Garamond"/>
          <w:sz w:val="24"/>
          <w:szCs w:val="24"/>
        </w:rPr>
      </w:pPr>
      <w:r>
        <w:rPr>
          <w:rFonts w:ascii="Garamond" w:hAnsi="Garamond"/>
          <w:sz w:val="24"/>
          <w:szCs w:val="24"/>
        </w:rPr>
        <w:t>Interest u/s 234C &amp; B can be levied even if Co is assesses on the basis of book profit u/s 115JB (MAT)</w:t>
      </w:r>
    </w:p>
    <w:p w:rsidR="001517E0" w:rsidRDefault="001517E0" w:rsidP="007D40F1">
      <w:pPr>
        <w:pStyle w:val="NoSpacing"/>
        <w:jc w:val="both"/>
        <w:rPr>
          <w:rFonts w:ascii="Garamond" w:hAnsi="Garamond"/>
          <w:sz w:val="24"/>
          <w:szCs w:val="24"/>
        </w:rPr>
      </w:pPr>
    </w:p>
    <w:p w:rsidR="000C5A45" w:rsidRPr="00A12900" w:rsidRDefault="000C5A45" w:rsidP="000C5A45">
      <w:pPr>
        <w:pStyle w:val="Default"/>
        <w:jc w:val="both"/>
        <w:rPr>
          <w:rFonts w:ascii="Garamond" w:hAnsi="Garamond"/>
          <w:b/>
          <w:bCs/>
          <w:i/>
          <w:iCs/>
        </w:rPr>
      </w:pPr>
      <w:r w:rsidRPr="00A12900">
        <w:rPr>
          <w:rFonts w:ascii="Garamond" w:hAnsi="Garamond"/>
          <w:b/>
          <w:bCs/>
          <w:i/>
          <w:iCs/>
        </w:rPr>
        <w:t>Would the special provisions for computing profits under section 44BB be applicable to a non-resident carrying on business of seismic data acquisition and processing under contract with Indian concerns?</w:t>
      </w:r>
    </w:p>
    <w:p w:rsidR="000C5A45" w:rsidRPr="00A12900" w:rsidRDefault="000C5A45" w:rsidP="000C5A45">
      <w:pPr>
        <w:pStyle w:val="NoSpacing"/>
        <w:jc w:val="both"/>
        <w:rPr>
          <w:rFonts w:ascii="Garamond" w:hAnsi="Garamond"/>
          <w:b/>
          <w:bCs/>
          <w:i/>
          <w:iCs/>
          <w:sz w:val="24"/>
          <w:szCs w:val="24"/>
          <w:u w:val="single"/>
        </w:rPr>
      </w:pPr>
      <w:r w:rsidRPr="00A12900">
        <w:rPr>
          <w:rFonts w:ascii="Garamond" w:hAnsi="Garamond"/>
          <w:b/>
          <w:bCs/>
          <w:i/>
          <w:iCs/>
          <w:sz w:val="24"/>
          <w:szCs w:val="24"/>
          <w:u w:val="single"/>
        </w:rPr>
        <w:t>Global Geophysical Services Ltd.,</w:t>
      </w:r>
      <w:r>
        <w:rPr>
          <w:rFonts w:ascii="Garamond" w:hAnsi="Garamond"/>
          <w:b/>
          <w:bCs/>
          <w:i/>
          <w:iCs/>
          <w:sz w:val="24"/>
          <w:szCs w:val="24"/>
          <w:u w:val="single"/>
        </w:rPr>
        <w:t xml:space="preserve"> </w:t>
      </w:r>
      <w:r w:rsidRPr="00A12900">
        <w:rPr>
          <w:rFonts w:ascii="Garamond" w:hAnsi="Garamond"/>
          <w:b/>
          <w:bCs/>
          <w:i/>
          <w:iCs/>
          <w:sz w:val="24"/>
          <w:szCs w:val="24"/>
          <w:u w:val="single"/>
        </w:rPr>
        <w:t>In re (AAR)</w:t>
      </w:r>
    </w:p>
    <w:p w:rsidR="000C5A45" w:rsidRDefault="000C5A45" w:rsidP="000C5A45">
      <w:pPr>
        <w:pStyle w:val="NoSpacing"/>
        <w:jc w:val="both"/>
        <w:rPr>
          <w:rFonts w:ascii="Garamond" w:hAnsi="Garamond"/>
          <w:sz w:val="24"/>
          <w:szCs w:val="24"/>
        </w:rPr>
      </w:pPr>
      <w:r>
        <w:rPr>
          <w:rFonts w:ascii="Garamond" w:hAnsi="Garamond"/>
          <w:sz w:val="24"/>
          <w:szCs w:val="24"/>
        </w:rPr>
        <w:t>Without seismic data acquisition &amp; interpretation, it is impractical to carry out the activity of prospecting mineral oil &amp; gas. Accordingly activities &amp; services of applicant clearly fell within description of sec 44BB &amp; income derived by applicant under contract with Indian concerns (ONGC &amp; Cairn energy) for seismic data acquisition &amp; processing were to be computed u/s 44BB</w:t>
      </w:r>
    </w:p>
    <w:p w:rsidR="000C5A45" w:rsidRDefault="000C5A45" w:rsidP="007D40F1">
      <w:pPr>
        <w:pStyle w:val="NoSpacing"/>
        <w:jc w:val="both"/>
        <w:rPr>
          <w:rFonts w:ascii="Garamond" w:hAnsi="Garamond"/>
          <w:sz w:val="24"/>
          <w:szCs w:val="24"/>
        </w:rPr>
      </w:pPr>
    </w:p>
    <w:p w:rsidR="009E018D" w:rsidRPr="00F5237D" w:rsidRDefault="009E018D" w:rsidP="009E018D">
      <w:pPr>
        <w:pStyle w:val="Default"/>
        <w:jc w:val="both"/>
        <w:rPr>
          <w:rFonts w:ascii="Garamond" w:hAnsi="Garamond"/>
          <w:b/>
          <w:bCs/>
          <w:i/>
          <w:iCs/>
        </w:rPr>
      </w:pPr>
      <w:r w:rsidRPr="00F5237D">
        <w:rPr>
          <w:rFonts w:ascii="Garamond" w:hAnsi="Garamond"/>
          <w:b/>
          <w:bCs/>
          <w:i/>
          <w:iCs/>
        </w:rPr>
        <w:t>Whether the best judgment assessment order passed without giving the assessee an opportunity of being heard is valid in a case where the notice under section 16(4) has already been given?</w:t>
      </w:r>
    </w:p>
    <w:p w:rsidR="009E018D" w:rsidRDefault="009E018D" w:rsidP="009E018D">
      <w:pPr>
        <w:pStyle w:val="NoSpacing"/>
        <w:jc w:val="both"/>
        <w:rPr>
          <w:rFonts w:ascii="Garamond" w:hAnsi="Garamond"/>
          <w:b/>
          <w:bCs/>
          <w:i/>
          <w:iCs/>
          <w:sz w:val="24"/>
          <w:szCs w:val="24"/>
          <w:u w:val="single"/>
        </w:rPr>
      </w:pPr>
      <w:r>
        <w:rPr>
          <w:rFonts w:ascii="Garamond" w:hAnsi="Garamond"/>
          <w:b/>
          <w:bCs/>
          <w:i/>
          <w:iCs/>
          <w:sz w:val="24"/>
          <w:szCs w:val="24"/>
          <w:u w:val="single"/>
        </w:rPr>
        <w:t>CWT v. Motor and General Finance Limited (Del)</w:t>
      </w:r>
    </w:p>
    <w:p w:rsidR="00E80444" w:rsidRDefault="00E80444" w:rsidP="009E018D">
      <w:pPr>
        <w:pStyle w:val="NoSpacing"/>
        <w:jc w:val="both"/>
        <w:rPr>
          <w:rFonts w:ascii="Garamond" w:hAnsi="Garamond"/>
          <w:sz w:val="24"/>
          <w:szCs w:val="24"/>
        </w:rPr>
      </w:pPr>
      <w:r>
        <w:rPr>
          <w:rFonts w:ascii="Garamond" w:hAnsi="Garamond"/>
          <w:sz w:val="24"/>
          <w:szCs w:val="24"/>
        </w:rPr>
        <w:t>AO can make best judgment assessment after giving an opportunity of being heard to the assessee by issue of notice in case where:-</w:t>
      </w:r>
    </w:p>
    <w:p w:rsidR="00E80444" w:rsidRDefault="00E80444" w:rsidP="009E018D">
      <w:pPr>
        <w:pStyle w:val="NoSpacing"/>
        <w:jc w:val="both"/>
        <w:rPr>
          <w:rFonts w:ascii="Garamond" w:hAnsi="Garamond"/>
          <w:sz w:val="24"/>
          <w:szCs w:val="24"/>
        </w:rPr>
      </w:pPr>
      <w:r>
        <w:rPr>
          <w:rFonts w:ascii="Garamond" w:hAnsi="Garamond"/>
          <w:sz w:val="24"/>
          <w:szCs w:val="24"/>
        </w:rPr>
        <w:t>a) a person fails to file the return</w:t>
      </w:r>
    </w:p>
    <w:p w:rsidR="00E80444" w:rsidRDefault="00E80444" w:rsidP="009E018D">
      <w:pPr>
        <w:pStyle w:val="NoSpacing"/>
        <w:jc w:val="both"/>
        <w:rPr>
          <w:rFonts w:ascii="Garamond" w:hAnsi="Garamond"/>
          <w:sz w:val="24"/>
          <w:szCs w:val="24"/>
        </w:rPr>
      </w:pPr>
      <w:r>
        <w:rPr>
          <w:rFonts w:ascii="Garamond" w:hAnsi="Garamond"/>
          <w:sz w:val="24"/>
          <w:szCs w:val="24"/>
        </w:rPr>
        <w:t>b) he fails to comply with all the terms of notice issued</w:t>
      </w:r>
    </w:p>
    <w:p w:rsidR="009E018D" w:rsidRDefault="00E80444" w:rsidP="00E80444">
      <w:pPr>
        <w:pStyle w:val="NoSpacing"/>
        <w:jc w:val="both"/>
        <w:rPr>
          <w:rFonts w:ascii="Garamond" w:hAnsi="Garamond"/>
          <w:sz w:val="24"/>
          <w:szCs w:val="24"/>
        </w:rPr>
      </w:pPr>
      <w:r>
        <w:rPr>
          <w:rFonts w:ascii="Garamond" w:hAnsi="Garamond"/>
          <w:sz w:val="24"/>
          <w:szCs w:val="24"/>
        </w:rPr>
        <w:t>No notice/opportunity of being heard is required where a notice u/s 16(4) has been issued prior to making of best judgment assessment</w:t>
      </w:r>
    </w:p>
    <w:p w:rsidR="009E018D" w:rsidRDefault="009E018D" w:rsidP="009E018D">
      <w:pPr>
        <w:pStyle w:val="NoSpacing"/>
        <w:jc w:val="both"/>
        <w:rPr>
          <w:rFonts w:ascii="Garamond" w:hAnsi="Garamond"/>
          <w:sz w:val="24"/>
          <w:szCs w:val="24"/>
        </w:rPr>
      </w:pPr>
    </w:p>
    <w:p w:rsidR="007D40F1" w:rsidRPr="00AD584E" w:rsidRDefault="00AD584E" w:rsidP="007D40F1">
      <w:pPr>
        <w:pStyle w:val="NoSpacing"/>
        <w:jc w:val="both"/>
        <w:rPr>
          <w:rFonts w:ascii="Garamond" w:hAnsi="Garamond"/>
          <w:b/>
          <w:bCs/>
          <w:i/>
          <w:iCs/>
          <w:sz w:val="24"/>
          <w:szCs w:val="24"/>
        </w:rPr>
      </w:pPr>
      <w:r w:rsidRPr="00AD584E">
        <w:rPr>
          <w:rFonts w:ascii="Garamond" w:hAnsi="Garamond"/>
          <w:b/>
          <w:bCs/>
          <w:i/>
          <w:iCs/>
          <w:sz w:val="24"/>
          <w:szCs w:val="24"/>
        </w:rPr>
        <w:t>In case the share capital is raised in a foreign country and repatriated to India on need basis from time to time for approved uses, can the gain arising on the balance sheet date due to fluctuation in foreign exchange, in respect of that part of share capital which is to be used as working capital, be treated as a revenue receipt?</w:t>
      </w:r>
    </w:p>
    <w:p w:rsidR="007D40F1" w:rsidRPr="00AB625D" w:rsidRDefault="007D40F1" w:rsidP="007D40F1">
      <w:pPr>
        <w:pStyle w:val="NoSpacing"/>
        <w:jc w:val="both"/>
        <w:rPr>
          <w:rFonts w:ascii="Garamond" w:hAnsi="Garamond"/>
          <w:b/>
          <w:bCs/>
          <w:i/>
          <w:iCs/>
          <w:sz w:val="24"/>
          <w:szCs w:val="24"/>
          <w:u w:val="single"/>
        </w:rPr>
      </w:pPr>
      <w:r w:rsidRPr="00AB625D">
        <w:rPr>
          <w:rFonts w:ascii="Garamond" w:hAnsi="Garamond"/>
          <w:b/>
          <w:bCs/>
          <w:i/>
          <w:iCs/>
          <w:sz w:val="24"/>
          <w:szCs w:val="24"/>
          <w:u w:val="single"/>
        </w:rPr>
        <w:t>CIT v. Jagatjit Industries Ltd (Del)</w:t>
      </w:r>
    </w:p>
    <w:p w:rsidR="00CC7D74" w:rsidRDefault="00707BA9" w:rsidP="007D40F1">
      <w:pPr>
        <w:pStyle w:val="NoSpacing"/>
        <w:jc w:val="both"/>
        <w:rPr>
          <w:rFonts w:ascii="Garamond" w:hAnsi="Garamond"/>
          <w:sz w:val="24"/>
          <w:szCs w:val="24"/>
        </w:rPr>
      </w:pPr>
      <w:r w:rsidRPr="00707BA9">
        <w:rPr>
          <w:rFonts w:ascii="Garamond" w:hAnsi="Garamond"/>
          <w:sz w:val="24"/>
          <w:szCs w:val="24"/>
        </w:rPr>
        <w:t>HC held that</w:t>
      </w:r>
      <w:r>
        <w:rPr>
          <w:rFonts w:ascii="Garamond" w:hAnsi="Garamond"/>
          <w:sz w:val="24"/>
          <w:szCs w:val="24"/>
        </w:rPr>
        <w:t xml:space="preserve"> capital raised whether in India or outside, can be utilised both for the purpose of acquiring fixed assets &amp; to meet other expenses of organisation, i.e. working capital. For determining the nature of receipts, due consideration should be given to the source of funds &amp; not to the</w:t>
      </w:r>
      <w:r w:rsidR="00637B2F">
        <w:rPr>
          <w:rFonts w:ascii="Garamond" w:hAnsi="Garamond"/>
          <w:sz w:val="24"/>
          <w:szCs w:val="24"/>
        </w:rPr>
        <w:t xml:space="preserve"> ultimate use of funds.</w:t>
      </w:r>
    </w:p>
    <w:p w:rsidR="00D232FB" w:rsidRPr="00D232FB" w:rsidRDefault="00D232FB" w:rsidP="007D40F1">
      <w:pPr>
        <w:pStyle w:val="NoSpacing"/>
        <w:jc w:val="both"/>
        <w:rPr>
          <w:rFonts w:ascii="Garamond" w:hAnsi="Garamond"/>
          <w:sz w:val="24"/>
          <w:szCs w:val="24"/>
        </w:rPr>
      </w:pPr>
      <w:r>
        <w:rPr>
          <w:rFonts w:ascii="Garamond" w:hAnsi="Garamond"/>
          <w:sz w:val="24"/>
          <w:szCs w:val="24"/>
        </w:rPr>
        <w:t xml:space="preserve">Entire gain has to be treated as </w:t>
      </w:r>
      <w:r>
        <w:rPr>
          <w:rFonts w:ascii="Garamond" w:hAnsi="Garamond"/>
          <w:sz w:val="24"/>
          <w:szCs w:val="24"/>
          <w:u w:val="single"/>
        </w:rPr>
        <w:t>capital receipt</w:t>
      </w:r>
      <w:r>
        <w:rPr>
          <w:rFonts w:ascii="Garamond" w:hAnsi="Garamond"/>
          <w:sz w:val="24"/>
          <w:szCs w:val="24"/>
        </w:rPr>
        <w:t xml:space="preserve"> as source of fund in this case is capital in nature</w:t>
      </w:r>
    </w:p>
    <w:p w:rsidR="00CC7D74" w:rsidRDefault="00CC7D74" w:rsidP="007D40F1">
      <w:pPr>
        <w:pStyle w:val="NoSpacing"/>
        <w:jc w:val="both"/>
        <w:rPr>
          <w:rFonts w:ascii="Garamond" w:hAnsi="Garamond"/>
          <w:sz w:val="24"/>
          <w:szCs w:val="24"/>
          <w:highlight w:val="yellow"/>
        </w:rPr>
      </w:pPr>
    </w:p>
    <w:p w:rsidR="00966D76" w:rsidRPr="00C9539C" w:rsidRDefault="00966D76" w:rsidP="00966D76">
      <w:pPr>
        <w:pStyle w:val="Default"/>
        <w:jc w:val="both"/>
        <w:rPr>
          <w:rFonts w:ascii="Garamond" w:hAnsi="Garamond"/>
          <w:b/>
          <w:bCs/>
          <w:i/>
          <w:iCs/>
        </w:rPr>
      </w:pPr>
      <w:r>
        <w:rPr>
          <w:rFonts w:ascii="Garamond" w:hAnsi="Garamond"/>
          <w:b/>
          <w:bCs/>
          <w:i/>
          <w:iCs/>
        </w:rPr>
        <w:t>C</w:t>
      </w:r>
      <w:r w:rsidRPr="00C9539C">
        <w:rPr>
          <w:rFonts w:ascii="Garamond" w:hAnsi="Garamond"/>
          <w:b/>
          <w:bCs/>
          <w:i/>
          <w:iCs/>
        </w:rPr>
        <w:t>an the unabsorbed depreciation be allowed to be carried forward where the return is not filed within due date?</w:t>
      </w:r>
    </w:p>
    <w:p w:rsidR="00966D76" w:rsidRDefault="00966D76" w:rsidP="00966D76">
      <w:pPr>
        <w:pStyle w:val="NoSpacing"/>
        <w:jc w:val="both"/>
        <w:rPr>
          <w:rFonts w:ascii="Garamond" w:hAnsi="Garamond"/>
          <w:b/>
          <w:bCs/>
          <w:i/>
          <w:iCs/>
          <w:sz w:val="24"/>
          <w:szCs w:val="24"/>
          <w:u w:val="single"/>
        </w:rPr>
      </w:pPr>
      <w:r>
        <w:rPr>
          <w:rFonts w:ascii="Garamond" w:hAnsi="Garamond"/>
          <w:b/>
          <w:bCs/>
          <w:i/>
          <w:iCs/>
          <w:sz w:val="24"/>
          <w:szCs w:val="24"/>
          <w:u w:val="single"/>
        </w:rPr>
        <w:t>CIT v. Govind Nagar Sugar Ltd. (Del)</w:t>
      </w:r>
    </w:p>
    <w:p w:rsidR="00966D76" w:rsidRDefault="00966D76" w:rsidP="00966D76">
      <w:pPr>
        <w:pStyle w:val="NoSpacing"/>
        <w:jc w:val="both"/>
        <w:rPr>
          <w:rFonts w:ascii="Garamond" w:hAnsi="Garamond"/>
          <w:sz w:val="24"/>
          <w:szCs w:val="24"/>
        </w:rPr>
      </w:pPr>
      <w:r>
        <w:rPr>
          <w:rFonts w:ascii="Garamond" w:hAnsi="Garamond"/>
          <w:sz w:val="24"/>
          <w:szCs w:val="24"/>
        </w:rPr>
        <w:t>As per 32(2), unabsorbed depreciation becomes part of next year’s depreciation allowance &amp; is allowed to be set off as per provisions of Income Tax Act 1961, irrespective of whether return of earlier year was filed within due date or not</w:t>
      </w:r>
    </w:p>
    <w:p w:rsidR="00966D76" w:rsidRDefault="00966D76" w:rsidP="00966D76">
      <w:pPr>
        <w:pStyle w:val="NoSpacing"/>
        <w:jc w:val="both"/>
        <w:rPr>
          <w:rFonts w:ascii="Garamond" w:hAnsi="Garamond"/>
          <w:sz w:val="24"/>
          <w:szCs w:val="24"/>
        </w:rPr>
      </w:pPr>
      <w:r>
        <w:rPr>
          <w:rFonts w:ascii="Garamond" w:hAnsi="Garamond"/>
          <w:sz w:val="24"/>
          <w:szCs w:val="24"/>
        </w:rPr>
        <w:t xml:space="preserve">HC held unabsorbed depreciation will be </w:t>
      </w:r>
      <w:r w:rsidRPr="0085627B">
        <w:rPr>
          <w:rFonts w:ascii="Garamond" w:hAnsi="Garamond"/>
          <w:sz w:val="24"/>
          <w:szCs w:val="24"/>
          <w:u w:val="single"/>
        </w:rPr>
        <w:t>allowed to be carried forward</w:t>
      </w:r>
      <w:r>
        <w:rPr>
          <w:rFonts w:ascii="Garamond" w:hAnsi="Garamond"/>
          <w:sz w:val="24"/>
          <w:szCs w:val="24"/>
        </w:rPr>
        <w:t xml:space="preserve"> even though return was not filed within due date or not</w:t>
      </w:r>
    </w:p>
    <w:p w:rsidR="00712074" w:rsidRDefault="00712074" w:rsidP="007D40F1">
      <w:pPr>
        <w:pStyle w:val="NoSpacing"/>
        <w:jc w:val="both"/>
        <w:rPr>
          <w:rFonts w:ascii="Garamond" w:hAnsi="Garamond"/>
          <w:sz w:val="24"/>
          <w:szCs w:val="24"/>
        </w:rPr>
      </w:pPr>
    </w:p>
    <w:p w:rsidR="0076265D" w:rsidRPr="00A14755" w:rsidRDefault="00A14755" w:rsidP="007D40F1">
      <w:pPr>
        <w:pStyle w:val="NoSpacing"/>
        <w:jc w:val="both"/>
        <w:rPr>
          <w:rFonts w:ascii="Garamond" w:hAnsi="Garamond"/>
          <w:b/>
          <w:bCs/>
          <w:i/>
          <w:iCs/>
          <w:sz w:val="24"/>
          <w:szCs w:val="24"/>
        </w:rPr>
      </w:pPr>
      <w:r w:rsidRPr="00A14755">
        <w:rPr>
          <w:rFonts w:ascii="Garamond" w:hAnsi="Garamond"/>
          <w:b/>
          <w:bCs/>
          <w:i/>
          <w:iCs/>
          <w:sz w:val="24"/>
          <w:szCs w:val="24"/>
        </w:rPr>
        <w:t>What is the nature of expenditure incurred on demolition and re-erection of a cell room and expenditure incurred on purchase of pumping set, mono block pump and two transformers, which were parts of a bigger plant - revenue or capital?</w:t>
      </w:r>
    </w:p>
    <w:p w:rsidR="007D40F1" w:rsidRPr="00AB625D" w:rsidRDefault="007D40F1" w:rsidP="007D40F1">
      <w:pPr>
        <w:pStyle w:val="NoSpacing"/>
        <w:jc w:val="both"/>
        <w:rPr>
          <w:rFonts w:ascii="Garamond" w:hAnsi="Garamond"/>
          <w:b/>
          <w:bCs/>
          <w:i/>
          <w:iCs/>
          <w:sz w:val="24"/>
          <w:szCs w:val="24"/>
          <w:u w:val="single"/>
        </w:rPr>
      </w:pPr>
      <w:r w:rsidRPr="00AB625D">
        <w:rPr>
          <w:rFonts w:ascii="Garamond" w:hAnsi="Garamond"/>
          <w:b/>
          <w:bCs/>
          <w:i/>
          <w:iCs/>
          <w:sz w:val="24"/>
          <w:szCs w:val="24"/>
          <w:u w:val="single"/>
        </w:rPr>
        <w:t>CIT v. Modi Industries Ltd. (Del)</w:t>
      </w:r>
    </w:p>
    <w:p w:rsidR="00AB533B" w:rsidRDefault="00AB533B" w:rsidP="007D40F1">
      <w:pPr>
        <w:pStyle w:val="NoSpacing"/>
        <w:jc w:val="both"/>
        <w:rPr>
          <w:rFonts w:ascii="Garamond" w:hAnsi="Garamond"/>
          <w:sz w:val="24"/>
          <w:szCs w:val="24"/>
        </w:rPr>
      </w:pPr>
      <w:r>
        <w:rPr>
          <w:rFonts w:ascii="Garamond" w:hAnsi="Garamond"/>
          <w:sz w:val="24"/>
          <w:szCs w:val="24"/>
        </w:rPr>
        <w:t>Current repairs refers to expenses effected to preserve &amp; maintain an already existing asset &amp; the object of expense must not be to bring a new asset into existence or to obtain a new advantage</w:t>
      </w:r>
    </w:p>
    <w:p w:rsidR="006B610F" w:rsidRDefault="006B610F" w:rsidP="007D40F1">
      <w:pPr>
        <w:pStyle w:val="NoSpacing"/>
        <w:jc w:val="both"/>
        <w:rPr>
          <w:rFonts w:ascii="Garamond" w:hAnsi="Garamond"/>
          <w:sz w:val="24"/>
          <w:szCs w:val="24"/>
        </w:rPr>
      </w:pPr>
      <w:r>
        <w:rPr>
          <w:rFonts w:ascii="Garamond" w:hAnsi="Garamond"/>
          <w:sz w:val="24"/>
          <w:szCs w:val="24"/>
        </w:rPr>
        <w:t>However if a part of building is demolished &amp; a new structure is erected on that place, it has to be treated as capital expense</w:t>
      </w:r>
    </w:p>
    <w:p w:rsidR="00EE63D7" w:rsidRDefault="0062110A" w:rsidP="007D40F1">
      <w:pPr>
        <w:pStyle w:val="NoSpacing"/>
        <w:jc w:val="both"/>
        <w:rPr>
          <w:rFonts w:ascii="Garamond" w:hAnsi="Garamond"/>
          <w:sz w:val="24"/>
          <w:szCs w:val="24"/>
        </w:rPr>
      </w:pPr>
      <w:r>
        <w:rPr>
          <w:rFonts w:ascii="Garamond" w:hAnsi="Garamond"/>
          <w:sz w:val="24"/>
          <w:szCs w:val="24"/>
        </w:rPr>
        <w:lastRenderedPageBreak/>
        <w:t>Here expense incurred on cell room was capital expense</w:t>
      </w:r>
      <w:r w:rsidR="00EE63D7">
        <w:rPr>
          <w:rFonts w:ascii="Garamond" w:hAnsi="Garamond"/>
          <w:sz w:val="24"/>
          <w:szCs w:val="24"/>
        </w:rPr>
        <w:t>. Whereas</w:t>
      </w:r>
      <w:r>
        <w:rPr>
          <w:rFonts w:ascii="Garamond" w:hAnsi="Garamond"/>
          <w:sz w:val="24"/>
          <w:szCs w:val="24"/>
        </w:rPr>
        <w:t xml:space="preserve"> purchase of pumping set etc were not stand alone equipment, but were part of bigger plant. </w:t>
      </w:r>
    </w:p>
    <w:p w:rsidR="0062110A" w:rsidRPr="00EE63D7" w:rsidRDefault="00966D76" w:rsidP="007D40F1">
      <w:pPr>
        <w:pStyle w:val="NoSpacing"/>
        <w:jc w:val="both"/>
        <w:rPr>
          <w:rFonts w:ascii="Garamond" w:hAnsi="Garamond"/>
          <w:sz w:val="24"/>
          <w:szCs w:val="24"/>
        </w:rPr>
      </w:pPr>
      <w:r>
        <w:rPr>
          <w:rFonts w:ascii="Garamond" w:hAnsi="Garamond"/>
          <w:sz w:val="24"/>
          <w:szCs w:val="24"/>
        </w:rPr>
        <w:sym w:font="Symbol" w:char="F05C"/>
      </w:r>
      <w:r w:rsidR="0062110A">
        <w:rPr>
          <w:rFonts w:ascii="Garamond" w:hAnsi="Garamond"/>
          <w:sz w:val="24"/>
          <w:szCs w:val="24"/>
        </w:rPr>
        <w:t xml:space="preserve"> it would be treated as replacement of those parts &amp; expense would be </w:t>
      </w:r>
      <w:r w:rsidR="0062110A">
        <w:rPr>
          <w:rFonts w:ascii="Garamond" w:hAnsi="Garamond"/>
          <w:sz w:val="24"/>
          <w:szCs w:val="24"/>
          <w:u w:val="single"/>
        </w:rPr>
        <w:t>eligible for deduction u/s 37(1)</w:t>
      </w:r>
    </w:p>
    <w:p w:rsidR="00966D76" w:rsidRDefault="00966D76" w:rsidP="00966D76">
      <w:pPr>
        <w:pStyle w:val="NoSpacing"/>
        <w:jc w:val="both"/>
        <w:rPr>
          <w:rFonts w:ascii="Garamond" w:hAnsi="Garamond"/>
          <w:sz w:val="24"/>
          <w:szCs w:val="24"/>
          <w:highlight w:val="yellow"/>
        </w:rPr>
      </w:pPr>
    </w:p>
    <w:p w:rsidR="00966D76" w:rsidRPr="00712074" w:rsidRDefault="00966D76" w:rsidP="00966D76">
      <w:pPr>
        <w:pStyle w:val="NoSpacing"/>
        <w:jc w:val="both"/>
        <w:rPr>
          <w:rFonts w:ascii="Garamond" w:hAnsi="Garamond"/>
          <w:b/>
          <w:bCs/>
          <w:i/>
          <w:iCs/>
          <w:sz w:val="24"/>
          <w:szCs w:val="24"/>
          <w:highlight w:val="yellow"/>
        </w:rPr>
      </w:pPr>
      <w:r w:rsidRPr="00712074">
        <w:rPr>
          <w:rFonts w:ascii="Garamond" w:hAnsi="Garamond"/>
          <w:b/>
          <w:bCs/>
          <w:i/>
          <w:iCs/>
          <w:sz w:val="24"/>
          <w:szCs w:val="24"/>
        </w:rPr>
        <w:t>In case there is no possibility of recovery of loan given by a NBFC, which is an NPA as per RBI guidelines, can the interest on such loan be treated as income of the NBFC, following mercantile sy</w:t>
      </w:r>
      <w:r>
        <w:rPr>
          <w:rFonts w:ascii="Garamond" w:hAnsi="Garamond"/>
          <w:b/>
          <w:bCs/>
          <w:i/>
          <w:iCs/>
          <w:sz w:val="24"/>
          <w:szCs w:val="24"/>
        </w:rPr>
        <w:t>s</w:t>
      </w:r>
      <w:r w:rsidRPr="00712074">
        <w:rPr>
          <w:rFonts w:ascii="Garamond" w:hAnsi="Garamond"/>
          <w:b/>
          <w:bCs/>
          <w:i/>
          <w:iCs/>
          <w:sz w:val="24"/>
          <w:szCs w:val="24"/>
        </w:rPr>
        <w:t>tem of accounting?</w:t>
      </w:r>
    </w:p>
    <w:p w:rsidR="00966D76" w:rsidRPr="00AB625D" w:rsidRDefault="00966D76" w:rsidP="00966D76">
      <w:pPr>
        <w:pStyle w:val="NoSpacing"/>
        <w:jc w:val="both"/>
        <w:rPr>
          <w:rFonts w:ascii="Garamond" w:hAnsi="Garamond"/>
          <w:b/>
          <w:bCs/>
          <w:i/>
          <w:iCs/>
          <w:sz w:val="24"/>
          <w:szCs w:val="24"/>
          <w:u w:val="single"/>
        </w:rPr>
      </w:pPr>
      <w:r w:rsidRPr="00AB625D">
        <w:rPr>
          <w:rFonts w:ascii="Garamond" w:hAnsi="Garamond"/>
          <w:b/>
          <w:bCs/>
          <w:i/>
          <w:iCs/>
          <w:sz w:val="24"/>
          <w:szCs w:val="24"/>
          <w:u w:val="single"/>
        </w:rPr>
        <w:t>DIT v. Brahamputra Capital Financial Services Ltd. (Del)</w:t>
      </w:r>
    </w:p>
    <w:p w:rsidR="00966D76" w:rsidRDefault="00966D76" w:rsidP="00966D76">
      <w:pPr>
        <w:pStyle w:val="NoSpacing"/>
        <w:jc w:val="both"/>
        <w:rPr>
          <w:rFonts w:ascii="Garamond" w:hAnsi="Garamond"/>
          <w:sz w:val="24"/>
          <w:szCs w:val="24"/>
        </w:rPr>
      </w:pPr>
      <w:r>
        <w:rPr>
          <w:rFonts w:ascii="Garamond" w:hAnsi="Garamond"/>
          <w:sz w:val="24"/>
          <w:szCs w:val="24"/>
        </w:rPr>
        <w:t xml:space="preserve">There was no real accrual of interest in the hands of assessee &amp; hence it would </w:t>
      </w:r>
      <w:r w:rsidRPr="00D13F76">
        <w:rPr>
          <w:rFonts w:ascii="Garamond" w:hAnsi="Garamond"/>
          <w:sz w:val="24"/>
          <w:szCs w:val="24"/>
          <w:u w:val="single"/>
        </w:rPr>
        <w:t>not be chargeable to tax</w:t>
      </w:r>
    </w:p>
    <w:p w:rsidR="00966D76" w:rsidRDefault="00966D76" w:rsidP="007D40F1">
      <w:pPr>
        <w:pStyle w:val="NoSpacing"/>
        <w:jc w:val="both"/>
        <w:rPr>
          <w:rFonts w:ascii="Garamond" w:hAnsi="Garamond"/>
          <w:sz w:val="24"/>
          <w:szCs w:val="24"/>
        </w:rPr>
      </w:pPr>
    </w:p>
    <w:p w:rsidR="00AB625D" w:rsidRDefault="00A14755" w:rsidP="007D40F1">
      <w:pPr>
        <w:pStyle w:val="NoSpacing"/>
        <w:jc w:val="both"/>
        <w:rPr>
          <w:rFonts w:ascii="Garamond" w:hAnsi="Garamond"/>
          <w:b/>
          <w:bCs/>
          <w:i/>
          <w:iCs/>
          <w:sz w:val="24"/>
          <w:szCs w:val="24"/>
        </w:rPr>
      </w:pPr>
      <w:r w:rsidRPr="00CF06CB">
        <w:rPr>
          <w:rFonts w:ascii="Garamond" w:hAnsi="Garamond"/>
          <w:b/>
          <w:bCs/>
          <w:i/>
          <w:iCs/>
          <w:sz w:val="24"/>
          <w:szCs w:val="24"/>
        </w:rPr>
        <w:t>Can the provisions of section 41(1) be invoked both in respect of waiver of working capital loan utilized for day-to-day business operations and in respect of waiver of term loan taken for purchasing a capital asset?</w:t>
      </w:r>
    </w:p>
    <w:p w:rsidR="007D40F1" w:rsidRPr="00AB625D" w:rsidRDefault="007D40F1" w:rsidP="007D40F1">
      <w:pPr>
        <w:pStyle w:val="NoSpacing"/>
        <w:jc w:val="both"/>
        <w:rPr>
          <w:rFonts w:ascii="Garamond" w:hAnsi="Garamond"/>
          <w:b/>
          <w:bCs/>
          <w:i/>
          <w:iCs/>
          <w:sz w:val="24"/>
          <w:szCs w:val="24"/>
          <w:u w:val="single"/>
        </w:rPr>
      </w:pPr>
      <w:r w:rsidRPr="00AB625D">
        <w:rPr>
          <w:rFonts w:ascii="Garamond" w:hAnsi="Garamond"/>
          <w:b/>
          <w:bCs/>
          <w:i/>
          <w:iCs/>
          <w:sz w:val="24"/>
          <w:szCs w:val="24"/>
          <w:u w:val="single"/>
        </w:rPr>
        <w:t>Rollatainers Ltd.v. CIT (Del)</w:t>
      </w:r>
    </w:p>
    <w:p w:rsidR="00A14755" w:rsidRDefault="00EE63D7" w:rsidP="007D40F1">
      <w:pPr>
        <w:pStyle w:val="NoSpacing"/>
        <w:jc w:val="both"/>
        <w:rPr>
          <w:rFonts w:ascii="Garamond" w:hAnsi="Garamond"/>
          <w:sz w:val="24"/>
          <w:szCs w:val="24"/>
        </w:rPr>
      </w:pPr>
      <w:r>
        <w:rPr>
          <w:rFonts w:ascii="Garamond" w:hAnsi="Garamond"/>
          <w:sz w:val="24"/>
          <w:szCs w:val="24"/>
        </w:rPr>
        <w:t xml:space="preserve">Provisions of 41(1) are attracted i.r.o waiver of working capital loan utilised for day to day business operations, since it amounts remission of trading liability. However 41(1) is not attracted in case of waiver of term loan for purchasing capital assets since it cannot be treated as remission/cessation of trading liability </w:t>
      </w:r>
    </w:p>
    <w:p w:rsidR="00EE63D7" w:rsidRDefault="00EE63D7" w:rsidP="007D40F1">
      <w:pPr>
        <w:pStyle w:val="NoSpacing"/>
        <w:jc w:val="both"/>
        <w:rPr>
          <w:rFonts w:ascii="Garamond" w:hAnsi="Garamond"/>
          <w:sz w:val="24"/>
          <w:szCs w:val="24"/>
        </w:rPr>
      </w:pPr>
      <w:r>
        <w:rPr>
          <w:rFonts w:ascii="Garamond" w:hAnsi="Garamond"/>
          <w:sz w:val="24"/>
          <w:szCs w:val="24"/>
        </w:rPr>
        <w:t>41(4) will not attract for waiver of interest on term/working capital loan since interest not allowed in PY due to non payment</w:t>
      </w:r>
    </w:p>
    <w:p w:rsidR="00A14755" w:rsidRDefault="00A14755" w:rsidP="007D40F1">
      <w:pPr>
        <w:pStyle w:val="NoSpacing"/>
        <w:jc w:val="both"/>
        <w:rPr>
          <w:rFonts w:ascii="Garamond" w:hAnsi="Garamond"/>
          <w:sz w:val="24"/>
          <w:szCs w:val="24"/>
        </w:rPr>
      </w:pPr>
    </w:p>
    <w:p w:rsidR="00A14755" w:rsidRPr="006E4767" w:rsidRDefault="00A14755" w:rsidP="007D40F1">
      <w:pPr>
        <w:pStyle w:val="NoSpacing"/>
        <w:jc w:val="both"/>
        <w:rPr>
          <w:rFonts w:ascii="Garamond" w:hAnsi="Garamond"/>
          <w:b/>
          <w:bCs/>
          <w:i/>
          <w:iCs/>
          <w:sz w:val="24"/>
          <w:szCs w:val="24"/>
        </w:rPr>
      </w:pPr>
      <w:r w:rsidRPr="006E4767">
        <w:rPr>
          <w:rFonts w:ascii="Garamond" w:hAnsi="Garamond"/>
          <w:b/>
          <w:bCs/>
          <w:i/>
          <w:iCs/>
          <w:sz w:val="24"/>
          <w:szCs w:val="24"/>
        </w:rPr>
        <w:t>Can a company engaged in the business of owning, running and managing hotels claim interest on borrowed funds, used by it for investing in the equity share capital of a wholly owned subsidiary company, as deduction where the subsidiary company was formed for exercising effective control of new hotels acquired by the parent company under its management?</w:t>
      </w:r>
    </w:p>
    <w:p w:rsidR="007D40F1" w:rsidRPr="006E4767" w:rsidRDefault="007D40F1" w:rsidP="007D40F1">
      <w:pPr>
        <w:pStyle w:val="NoSpacing"/>
        <w:jc w:val="both"/>
        <w:rPr>
          <w:rFonts w:ascii="Garamond" w:hAnsi="Garamond"/>
          <w:b/>
          <w:bCs/>
          <w:i/>
          <w:iCs/>
          <w:sz w:val="24"/>
          <w:szCs w:val="24"/>
        </w:rPr>
      </w:pPr>
      <w:r w:rsidRPr="006E4767">
        <w:rPr>
          <w:rFonts w:ascii="Garamond" w:hAnsi="Garamond"/>
          <w:b/>
          <w:bCs/>
          <w:i/>
          <w:iCs/>
          <w:sz w:val="24"/>
          <w:szCs w:val="24"/>
        </w:rPr>
        <w:t>CIT v. Tulip Star Hotels Ltd. (Del)</w:t>
      </w:r>
    </w:p>
    <w:p w:rsidR="00A14755" w:rsidRDefault="00BA1FB4" w:rsidP="007D40F1">
      <w:pPr>
        <w:pStyle w:val="NoSpacing"/>
        <w:jc w:val="both"/>
        <w:rPr>
          <w:rFonts w:ascii="Garamond" w:hAnsi="Garamond"/>
          <w:sz w:val="24"/>
          <w:szCs w:val="24"/>
        </w:rPr>
      </w:pPr>
      <w:r>
        <w:rPr>
          <w:rFonts w:ascii="Garamond" w:hAnsi="Garamond"/>
          <w:sz w:val="24"/>
          <w:szCs w:val="24"/>
        </w:rPr>
        <w:t>36(1)(iii) – amount of interest paid i.r.o capital borrowed for business/profession is allowable as deduction. HC held that assessee was in the business of owning, running, &amp; managing hotels. Subsidiary Co was formed to carry the business of parent Co in a more efficient manner &amp; the expenditure incurred was for business purpose &amp; allowable u/s 36(1)(iii)</w:t>
      </w:r>
    </w:p>
    <w:p w:rsidR="006E4767" w:rsidRDefault="006E4767" w:rsidP="007D40F1">
      <w:pPr>
        <w:pStyle w:val="NoSpacing"/>
        <w:jc w:val="both"/>
        <w:rPr>
          <w:rFonts w:ascii="Garamond" w:hAnsi="Garamond"/>
          <w:sz w:val="24"/>
          <w:szCs w:val="24"/>
        </w:rPr>
      </w:pPr>
    </w:p>
    <w:p w:rsidR="00E16777" w:rsidRPr="00A56AF7" w:rsidRDefault="00E16777" w:rsidP="00E16777">
      <w:pPr>
        <w:pStyle w:val="Default"/>
        <w:jc w:val="both"/>
        <w:rPr>
          <w:rFonts w:ascii="Garamond" w:hAnsi="Garamond"/>
          <w:b/>
          <w:bCs/>
          <w:i/>
          <w:iCs/>
        </w:rPr>
      </w:pPr>
      <w:r w:rsidRPr="00A56AF7">
        <w:rPr>
          <w:rFonts w:ascii="Garamond" w:hAnsi="Garamond"/>
          <w:b/>
          <w:bCs/>
          <w:i/>
          <w:iCs/>
        </w:rPr>
        <w:t>Can the expenditure incurred on the assessee-lawyer's heart surgery be allowed as business expenditure under section 31 by treating it as current repairs considering heart as plant and machinery or under section 37 by treating it as expenditure incurred wholly and exclusively for purposes of business or profession?</w:t>
      </w:r>
    </w:p>
    <w:p w:rsidR="006E4767" w:rsidRPr="00B43504" w:rsidRDefault="00E16777" w:rsidP="007D40F1">
      <w:pPr>
        <w:pStyle w:val="NoSpacing"/>
        <w:jc w:val="both"/>
        <w:rPr>
          <w:rFonts w:ascii="Garamond" w:hAnsi="Garamond"/>
          <w:b/>
          <w:bCs/>
          <w:i/>
          <w:iCs/>
          <w:sz w:val="24"/>
          <w:szCs w:val="24"/>
        </w:rPr>
      </w:pPr>
      <w:r w:rsidRPr="00A56AF7">
        <w:rPr>
          <w:rFonts w:ascii="Garamond" w:hAnsi="Garamond"/>
          <w:b/>
          <w:bCs/>
          <w:i/>
          <w:iCs/>
          <w:sz w:val="24"/>
          <w:szCs w:val="24"/>
        </w:rPr>
        <w:t>Shanti Bhushan v. CIT (Del)</w:t>
      </w:r>
    </w:p>
    <w:p w:rsidR="00E16777" w:rsidRDefault="00E16777" w:rsidP="007D40F1">
      <w:pPr>
        <w:pStyle w:val="NoSpacing"/>
        <w:jc w:val="both"/>
        <w:rPr>
          <w:rFonts w:ascii="Garamond" w:hAnsi="Garamond"/>
          <w:sz w:val="24"/>
          <w:szCs w:val="24"/>
        </w:rPr>
      </w:pPr>
      <w:r>
        <w:rPr>
          <w:rFonts w:ascii="Garamond" w:hAnsi="Garamond"/>
          <w:sz w:val="24"/>
          <w:szCs w:val="24"/>
        </w:rPr>
        <w:t xml:space="preserve">Herat is not plant &amp; machinery for business/profession of assessee. Thus expense on heart surgery is not allowable as repairs u/s 31 </w:t>
      </w:r>
    </w:p>
    <w:p w:rsidR="00E16777" w:rsidRDefault="00E16777" w:rsidP="007D40F1">
      <w:pPr>
        <w:pStyle w:val="NoSpacing"/>
        <w:jc w:val="both"/>
        <w:rPr>
          <w:rFonts w:ascii="Garamond" w:hAnsi="Garamond"/>
          <w:sz w:val="24"/>
          <w:szCs w:val="24"/>
        </w:rPr>
      </w:pPr>
      <w:r>
        <w:rPr>
          <w:rFonts w:ascii="Garamond" w:hAnsi="Garamond"/>
          <w:sz w:val="24"/>
          <w:szCs w:val="24"/>
        </w:rPr>
        <w:t>As per 37, expense must be incurred wholly &amp; exclusively for the purpose of assessee’s profession. There is no direct nexus between expense on heart surgery &amp;his efficiency in professional field.</w:t>
      </w:r>
    </w:p>
    <w:p w:rsidR="00E16777" w:rsidRDefault="00E16777" w:rsidP="007D40F1">
      <w:pPr>
        <w:pStyle w:val="NoSpacing"/>
        <w:jc w:val="both"/>
        <w:rPr>
          <w:rFonts w:ascii="Garamond" w:hAnsi="Garamond"/>
          <w:sz w:val="24"/>
          <w:szCs w:val="24"/>
        </w:rPr>
      </w:pPr>
      <w:r>
        <w:rPr>
          <w:rFonts w:ascii="Garamond" w:hAnsi="Garamond"/>
          <w:sz w:val="24"/>
          <w:szCs w:val="24"/>
        </w:rPr>
        <w:sym w:font="Symbol" w:char="F05C"/>
      </w:r>
      <w:r>
        <w:rPr>
          <w:rFonts w:ascii="Garamond" w:hAnsi="Garamond"/>
          <w:sz w:val="24"/>
          <w:szCs w:val="24"/>
        </w:rPr>
        <w:t xml:space="preserve"> </w:t>
      </w:r>
      <w:r w:rsidR="00701F15">
        <w:rPr>
          <w:rFonts w:ascii="Garamond" w:hAnsi="Garamond"/>
          <w:sz w:val="24"/>
          <w:szCs w:val="24"/>
        </w:rPr>
        <w:t>Claim</w:t>
      </w:r>
      <w:r>
        <w:rPr>
          <w:rFonts w:ascii="Garamond" w:hAnsi="Garamond"/>
          <w:sz w:val="24"/>
          <w:szCs w:val="24"/>
        </w:rPr>
        <w:t xml:space="preserve"> for allowing expense u/s 37 is also </w:t>
      </w:r>
      <w:r w:rsidRPr="00E16777">
        <w:rPr>
          <w:rFonts w:ascii="Garamond" w:hAnsi="Garamond"/>
          <w:sz w:val="24"/>
          <w:szCs w:val="24"/>
          <w:u w:val="single"/>
        </w:rPr>
        <w:t>not tenable</w:t>
      </w:r>
    </w:p>
    <w:p w:rsidR="006E4767" w:rsidRDefault="006E4767" w:rsidP="007D40F1">
      <w:pPr>
        <w:pStyle w:val="NoSpacing"/>
        <w:jc w:val="both"/>
        <w:rPr>
          <w:rFonts w:ascii="Garamond" w:hAnsi="Garamond"/>
          <w:sz w:val="24"/>
          <w:szCs w:val="24"/>
        </w:rPr>
      </w:pPr>
    </w:p>
    <w:p w:rsidR="000C5A45" w:rsidRPr="00B31CF8" w:rsidRDefault="000C5A45" w:rsidP="000C5A45">
      <w:pPr>
        <w:pStyle w:val="NoSpacing"/>
        <w:jc w:val="both"/>
        <w:rPr>
          <w:rFonts w:ascii="Garamond" w:hAnsi="Garamond"/>
          <w:b/>
          <w:bCs/>
          <w:i/>
          <w:iCs/>
        </w:rPr>
      </w:pPr>
      <w:r w:rsidRPr="00B31CF8">
        <w:rPr>
          <w:rFonts w:ascii="Garamond" w:hAnsi="Garamond"/>
          <w:b/>
          <w:bCs/>
          <w:i/>
          <w:iCs/>
        </w:rPr>
        <w:t>Can the assessee claim exemption under section 54F, on account of capital gain arising on transfer of depreciable assets held for more than 36 months i.e. a long term capital asset, though the same is deemed as capital gain arising on transfer of short-term capital asset by virtue of section 50?</w:t>
      </w:r>
    </w:p>
    <w:p w:rsidR="000C5A45" w:rsidRPr="00C14EEC" w:rsidRDefault="000C5A45" w:rsidP="000C5A45">
      <w:pPr>
        <w:pStyle w:val="NoSpacing"/>
        <w:jc w:val="both"/>
        <w:rPr>
          <w:rFonts w:ascii="Garamond" w:hAnsi="Garamond"/>
          <w:b/>
          <w:bCs/>
          <w:i/>
          <w:iCs/>
          <w:sz w:val="24"/>
          <w:szCs w:val="24"/>
          <w:u w:val="single"/>
        </w:rPr>
      </w:pPr>
      <w:r w:rsidRPr="00C14EEC">
        <w:rPr>
          <w:rFonts w:ascii="Garamond" w:hAnsi="Garamond"/>
          <w:b/>
          <w:bCs/>
          <w:i/>
          <w:iCs/>
          <w:sz w:val="24"/>
          <w:szCs w:val="24"/>
          <w:u w:val="single"/>
        </w:rPr>
        <w:t>CIT v. Rajiv Shukla (Del)</w:t>
      </w:r>
    </w:p>
    <w:p w:rsidR="000C5A45" w:rsidRPr="001716E4" w:rsidRDefault="000C5A45" w:rsidP="000C5A45">
      <w:pPr>
        <w:pStyle w:val="NoSpacing"/>
        <w:jc w:val="both"/>
        <w:rPr>
          <w:rFonts w:ascii="Garamond" w:hAnsi="Garamond"/>
          <w:sz w:val="24"/>
          <w:szCs w:val="24"/>
        </w:rPr>
      </w:pPr>
      <w:r>
        <w:rPr>
          <w:rFonts w:ascii="Garamond" w:hAnsi="Garamond"/>
          <w:sz w:val="24"/>
          <w:szCs w:val="24"/>
        </w:rPr>
        <w:t xml:space="preserve">Exemption u/s 54F </w:t>
      </w:r>
      <w:r>
        <w:rPr>
          <w:rFonts w:ascii="Garamond" w:hAnsi="Garamond"/>
          <w:sz w:val="24"/>
          <w:szCs w:val="24"/>
          <w:u w:val="single"/>
        </w:rPr>
        <w:t>cannot be denied</w:t>
      </w:r>
      <w:r>
        <w:rPr>
          <w:rFonts w:ascii="Garamond" w:hAnsi="Garamond"/>
          <w:sz w:val="24"/>
          <w:szCs w:val="24"/>
        </w:rPr>
        <w:t xml:space="preserve"> on account of fiction created by section 50</w:t>
      </w:r>
    </w:p>
    <w:p w:rsidR="000C5A45" w:rsidRDefault="000C5A45" w:rsidP="007D40F1">
      <w:pPr>
        <w:pStyle w:val="NoSpacing"/>
        <w:jc w:val="both"/>
        <w:rPr>
          <w:rFonts w:ascii="Garamond" w:hAnsi="Garamond"/>
          <w:sz w:val="24"/>
          <w:szCs w:val="24"/>
        </w:rPr>
      </w:pPr>
    </w:p>
    <w:p w:rsidR="000C5A45" w:rsidRPr="004531C9" w:rsidRDefault="000C5A45" w:rsidP="000C5A45">
      <w:pPr>
        <w:pStyle w:val="Default"/>
        <w:jc w:val="both"/>
        <w:rPr>
          <w:rFonts w:ascii="Garamond" w:hAnsi="Garamond"/>
          <w:b/>
          <w:bCs/>
          <w:i/>
          <w:iCs/>
        </w:rPr>
      </w:pPr>
      <w:r w:rsidRPr="004531C9">
        <w:rPr>
          <w:rFonts w:ascii="Garamond" w:hAnsi="Garamond"/>
          <w:b/>
          <w:bCs/>
          <w:i/>
          <w:iCs/>
        </w:rPr>
        <w:t>Would expenditure incurred on feasibility study conducted for examining proposals for technological advancement relating to the existing business be classified as revenue expenditure, where project was abandoned without creating new asset?</w:t>
      </w:r>
    </w:p>
    <w:p w:rsidR="000C5A45" w:rsidRPr="00C14EEC" w:rsidRDefault="000C5A45" w:rsidP="000C5A45">
      <w:pPr>
        <w:pStyle w:val="NoSpacing"/>
        <w:jc w:val="both"/>
        <w:rPr>
          <w:rFonts w:ascii="Garamond" w:hAnsi="Garamond"/>
          <w:b/>
          <w:bCs/>
          <w:i/>
          <w:iCs/>
          <w:sz w:val="24"/>
          <w:szCs w:val="24"/>
          <w:u w:val="single"/>
        </w:rPr>
      </w:pPr>
      <w:r w:rsidRPr="00C14EEC">
        <w:rPr>
          <w:rFonts w:ascii="Garamond" w:hAnsi="Garamond"/>
          <w:b/>
          <w:bCs/>
          <w:i/>
          <w:iCs/>
          <w:sz w:val="24"/>
          <w:szCs w:val="24"/>
          <w:u w:val="single"/>
        </w:rPr>
        <w:lastRenderedPageBreak/>
        <w:t>CIT v. Priya Village Road shows Ltd (Del)</w:t>
      </w:r>
    </w:p>
    <w:p w:rsidR="000C5A45" w:rsidRPr="00AB1219" w:rsidRDefault="000C5A45" w:rsidP="000C5A45">
      <w:pPr>
        <w:pStyle w:val="NoSpacing"/>
        <w:jc w:val="both"/>
        <w:rPr>
          <w:rFonts w:ascii="Garamond" w:hAnsi="Garamond"/>
          <w:sz w:val="24"/>
          <w:szCs w:val="24"/>
        </w:rPr>
      </w:pPr>
      <w:r>
        <w:rPr>
          <w:rFonts w:ascii="Garamond" w:hAnsi="Garamond"/>
          <w:sz w:val="24"/>
          <w:szCs w:val="24"/>
        </w:rPr>
        <w:t xml:space="preserve">Relevant factor for determining whether expenditure incurred on </w:t>
      </w:r>
      <w:r>
        <w:rPr>
          <w:rFonts w:ascii="Garamond" w:hAnsi="Garamond"/>
          <w:sz w:val="24"/>
          <w:szCs w:val="24"/>
          <w:u w:val="single"/>
        </w:rPr>
        <w:t>feasibility study</w:t>
      </w:r>
      <w:r>
        <w:rPr>
          <w:rFonts w:ascii="Garamond" w:hAnsi="Garamond"/>
          <w:sz w:val="24"/>
          <w:szCs w:val="24"/>
        </w:rPr>
        <w:t xml:space="preserve"> conducted for examining proposals for technological advancement relating existing business be classified as revenue/ capital expenditure depends on whether new business/asset comes into existence, i.e. if there is no creation of new asset, expense can be treated as revenue in nature</w:t>
      </w:r>
    </w:p>
    <w:p w:rsidR="000C5A45" w:rsidRDefault="000C5A45" w:rsidP="007D40F1">
      <w:pPr>
        <w:pStyle w:val="NoSpacing"/>
        <w:jc w:val="both"/>
        <w:rPr>
          <w:rFonts w:ascii="Garamond" w:hAnsi="Garamond"/>
          <w:sz w:val="24"/>
          <w:szCs w:val="24"/>
        </w:rPr>
      </w:pPr>
    </w:p>
    <w:p w:rsidR="00E16777" w:rsidRPr="00E16777" w:rsidRDefault="00E16777" w:rsidP="00E16777">
      <w:pPr>
        <w:pStyle w:val="Default"/>
        <w:jc w:val="both"/>
        <w:rPr>
          <w:rFonts w:ascii="Garamond" w:hAnsi="Garamond"/>
          <w:b/>
          <w:bCs/>
          <w:i/>
          <w:iCs/>
        </w:rPr>
      </w:pPr>
      <w:r w:rsidRPr="00E16777">
        <w:rPr>
          <w:rFonts w:ascii="Garamond" w:hAnsi="Garamond"/>
          <w:b/>
          <w:bCs/>
          <w:i/>
          <w:iCs/>
        </w:rPr>
        <w:t>Can the Assessing Officer bring to tax the actual profits as per books of accounts, if the same is higher than 10% of receipts which are deemed to be the profits under section 44BBB in case of a foreign company engaged in turnkey project?</w:t>
      </w:r>
    </w:p>
    <w:p w:rsidR="00E16777" w:rsidRPr="00BE60C3" w:rsidRDefault="00E16777" w:rsidP="00E16777">
      <w:pPr>
        <w:pStyle w:val="NoSpacing"/>
        <w:jc w:val="both"/>
        <w:rPr>
          <w:rFonts w:ascii="Garamond" w:hAnsi="Garamond"/>
          <w:b/>
          <w:bCs/>
          <w:i/>
          <w:iCs/>
          <w:sz w:val="24"/>
          <w:szCs w:val="24"/>
          <w:u w:val="single"/>
        </w:rPr>
      </w:pPr>
      <w:r w:rsidRPr="00BE60C3">
        <w:rPr>
          <w:rFonts w:ascii="Garamond" w:hAnsi="Garamond"/>
          <w:b/>
          <w:bCs/>
          <w:i/>
          <w:iCs/>
          <w:sz w:val="24"/>
          <w:szCs w:val="24"/>
          <w:u w:val="single"/>
        </w:rPr>
        <w:t>DIT v. DSD Noell GmbH (Del)</w:t>
      </w:r>
    </w:p>
    <w:p w:rsidR="00E16777" w:rsidRDefault="0000264E" w:rsidP="007D40F1">
      <w:pPr>
        <w:pStyle w:val="NoSpacing"/>
        <w:jc w:val="both"/>
        <w:rPr>
          <w:rFonts w:ascii="Garamond" w:hAnsi="Garamond"/>
          <w:sz w:val="24"/>
          <w:szCs w:val="24"/>
        </w:rPr>
      </w:pPr>
      <w:r>
        <w:rPr>
          <w:rFonts w:ascii="Garamond" w:hAnsi="Garamond"/>
          <w:sz w:val="24"/>
          <w:szCs w:val="24"/>
        </w:rPr>
        <w:t>AO can’t bring into tax the actual profit as per books of accounts, even if the same is higher than 10% of receipts which are deemed to be profit u/s 44BBB in the case of foreign Co engaged in turnkey project, provided assessee has fulfilled all the conditions mentioned u/s 44BBB</w:t>
      </w:r>
    </w:p>
    <w:p w:rsidR="00225A09" w:rsidRDefault="00225A09" w:rsidP="00225A09">
      <w:pPr>
        <w:pStyle w:val="NoSpacing"/>
        <w:jc w:val="both"/>
        <w:rPr>
          <w:rFonts w:ascii="Garamond" w:eastAsia="Times New Roman" w:hAnsi="Garamond" w:cs="Arial"/>
          <w:sz w:val="24"/>
          <w:szCs w:val="24"/>
        </w:rPr>
      </w:pPr>
    </w:p>
    <w:p w:rsidR="00225A09" w:rsidRPr="000C5A45" w:rsidRDefault="00225A09" w:rsidP="00225A09">
      <w:pPr>
        <w:pStyle w:val="NoSpacing"/>
        <w:jc w:val="both"/>
        <w:rPr>
          <w:rFonts w:ascii="Garamond" w:eastAsia="Times New Roman" w:hAnsi="Garamond" w:cs="Arial"/>
          <w:b/>
          <w:bCs/>
          <w:i/>
          <w:iCs/>
          <w:sz w:val="24"/>
          <w:szCs w:val="24"/>
          <w:u w:val="single"/>
        </w:rPr>
      </w:pPr>
      <w:r w:rsidRPr="000C5A45">
        <w:rPr>
          <w:rFonts w:ascii="Garamond" w:eastAsia="Times New Roman" w:hAnsi="Garamond" w:cs="Arial"/>
          <w:b/>
          <w:bCs/>
          <w:i/>
          <w:iCs/>
          <w:sz w:val="24"/>
          <w:szCs w:val="24"/>
        </w:rPr>
        <w:t>Would the provisions of deemed dividend under section 2(22)(e) be attracted in respect of financial transactions entered into in the normal course of business?</w:t>
      </w:r>
    </w:p>
    <w:p w:rsidR="00225A09" w:rsidRPr="000C5A45" w:rsidRDefault="00225A09" w:rsidP="00225A09">
      <w:pPr>
        <w:pStyle w:val="NoSpacing"/>
        <w:jc w:val="both"/>
        <w:rPr>
          <w:rFonts w:ascii="Garamond" w:hAnsi="Garamond"/>
          <w:b/>
          <w:bCs/>
          <w:i/>
          <w:iCs/>
          <w:sz w:val="24"/>
          <w:szCs w:val="24"/>
          <w:u w:val="single"/>
        </w:rPr>
      </w:pPr>
      <w:r w:rsidRPr="000C5A45">
        <w:rPr>
          <w:rFonts w:ascii="Garamond" w:hAnsi="Garamond"/>
          <w:b/>
          <w:bCs/>
          <w:i/>
          <w:iCs/>
          <w:sz w:val="24"/>
          <w:szCs w:val="24"/>
          <w:u w:val="single"/>
        </w:rPr>
        <w:t>CI</w:t>
      </w:r>
      <w:r>
        <w:rPr>
          <w:rFonts w:ascii="Garamond" w:hAnsi="Garamond"/>
          <w:b/>
          <w:bCs/>
          <w:i/>
          <w:iCs/>
          <w:sz w:val="24"/>
          <w:szCs w:val="24"/>
          <w:u w:val="single"/>
        </w:rPr>
        <w:t>T v. Ambassador Travels (P) Ltd (Del)</w:t>
      </w:r>
      <w:r w:rsidRPr="000C5A45">
        <w:rPr>
          <w:rFonts w:ascii="Garamond" w:hAnsi="Garamond"/>
          <w:b/>
          <w:bCs/>
          <w:i/>
          <w:iCs/>
          <w:sz w:val="24"/>
          <w:szCs w:val="24"/>
          <w:u w:val="single"/>
        </w:rPr>
        <w:t xml:space="preserve">  </w:t>
      </w:r>
    </w:p>
    <w:p w:rsidR="00225A09" w:rsidRDefault="00B43504" w:rsidP="007D40F1">
      <w:pPr>
        <w:pStyle w:val="NoSpacing"/>
        <w:jc w:val="both"/>
        <w:rPr>
          <w:rFonts w:ascii="Garamond" w:hAnsi="Garamond"/>
          <w:sz w:val="24"/>
          <w:szCs w:val="24"/>
        </w:rPr>
      </w:pPr>
      <w:r>
        <w:rPr>
          <w:rFonts w:ascii="Garamond" w:hAnsi="Garamond"/>
          <w:sz w:val="24"/>
          <w:szCs w:val="24"/>
        </w:rPr>
        <w:t>HC held that such financial transactions cannot under any circumstances be treated as loans or advances received by assessee from these concerns for the purpose of sec 2(22)(e)</w:t>
      </w:r>
    </w:p>
    <w:p w:rsidR="000C5A45" w:rsidRDefault="000C5A45" w:rsidP="007D40F1">
      <w:pPr>
        <w:pStyle w:val="NoSpacing"/>
        <w:jc w:val="both"/>
        <w:rPr>
          <w:rFonts w:ascii="Garamond" w:hAnsi="Garamond"/>
          <w:sz w:val="24"/>
          <w:szCs w:val="24"/>
        </w:rPr>
      </w:pPr>
    </w:p>
    <w:p w:rsidR="008E37EC" w:rsidRPr="00F04485" w:rsidRDefault="008E37EC" w:rsidP="008E37EC">
      <w:pPr>
        <w:pStyle w:val="NoSpacing"/>
        <w:jc w:val="both"/>
        <w:rPr>
          <w:rFonts w:ascii="Garamond" w:hAnsi="Garamond"/>
          <w:b/>
          <w:bCs/>
          <w:i/>
          <w:iCs/>
          <w:sz w:val="24"/>
          <w:szCs w:val="24"/>
        </w:rPr>
      </w:pPr>
      <w:r w:rsidRPr="00F04485">
        <w:rPr>
          <w:rFonts w:ascii="Garamond" w:hAnsi="Garamond"/>
          <w:b/>
          <w:bCs/>
          <w:i/>
          <w:iCs/>
          <w:sz w:val="24"/>
          <w:szCs w:val="24"/>
        </w:rPr>
        <w:t>Can the Assessing Officer reassess issues other than the issues in respect of which proceedings were initiated u/s 147 when the original "reason to believe" on basis of which the notice was issued ceased to exist?</w:t>
      </w:r>
    </w:p>
    <w:p w:rsidR="008E37EC" w:rsidRPr="00F04485" w:rsidRDefault="008E37EC" w:rsidP="008E37EC">
      <w:pPr>
        <w:pStyle w:val="NoSpacing"/>
        <w:jc w:val="both"/>
        <w:rPr>
          <w:rFonts w:ascii="Garamond" w:hAnsi="Garamond"/>
          <w:b/>
          <w:bCs/>
          <w:i/>
          <w:iCs/>
          <w:sz w:val="24"/>
          <w:szCs w:val="24"/>
          <w:u w:val="single"/>
        </w:rPr>
      </w:pPr>
      <w:r w:rsidRPr="00F04485">
        <w:rPr>
          <w:rFonts w:ascii="Garamond" w:hAnsi="Garamond"/>
          <w:b/>
          <w:bCs/>
          <w:i/>
          <w:iCs/>
          <w:sz w:val="24"/>
          <w:szCs w:val="24"/>
          <w:u w:val="single"/>
        </w:rPr>
        <w:t>Ranbaxy Laboratories Ltd.v. CIT (Del)</w:t>
      </w:r>
    </w:p>
    <w:p w:rsidR="00225A09" w:rsidRDefault="009406F8" w:rsidP="007D40F1">
      <w:pPr>
        <w:pStyle w:val="NoSpacing"/>
        <w:jc w:val="both"/>
        <w:rPr>
          <w:rFonts w:ascii="Garamond" w:hAnsi="Garamond"/>
          <w:sz w:val="24"/>
          <w:szCs w:val="24"/>
        </w:rPr>
      </w:pPr>
      <w:r>
        <w:rPr>
          <w:rFonts w:ascii="Garamond" w:hAnsi="Garamond"/>
          <w:sz w:val="24"/>
          <w:szCs w:val="24"/>
        </w:rPr>
        <w:t xml:space="preserve">As per 147, AO may assess or reassess such income </w:t>
      </w:r>
      <w:r>
        <w:rPr>
          <w:rFonts w:ascii="Garamond" w:hAnsi="Garamond"/>
          <w:sz w:val="24"/>
          <w:szCs w:val="24"/>
          <w:u w:val="single"/>
        </w:rPr>
        <w:t>and also</w:t>
      </w:r>
      <w:r>
        <w:rPr>
          <w:rFonts w:ascii="Garamond" w:hAnsi="Garamond"/>
          <w:sz w:val="24"/>
          <w:szCs w:val="24"/>
        </w:rPr>
        <w:t xml:space="preserve"> any other income chargeable to tax which has escaped assessment &amp; which comes to his notice in the course of proceeding under this section</w:t>
      </w:r>
    </w:p>
    <w:p w:rsidR="009406F8" w:rsidRDefault="009406F8" w:rsidP="007D40F1">
      <w:pPr>
        <w:pStyle w:val="NoSpacing"/>
        <w:jc w:val="both"/>
        <w:rPr>
          <w:rFonts w:ascii="Garamond" w:hAnsi="Garamond"/>
          <w:sz w:val="24"/>
          <w:szCs w:val="24"/>
        </w:rPr>
      </w:pPr>
      <w:r>
        <w:rPr>
          <w:rFonts w:ascii="Garamond" w:hAnsi="Garamond"/>
          <w:sz w:val="24"/>
          <w:szCs w:val="24"/>
        </w:rPr>
        <w:t>But AO can</w:t>
      </w:r>
      <w:r w:rsidR="00EC74F4">
        <w:rPr>
          <w:rFonts w:ascii="Garamond" w:hAnsi="Garamond"/>
          <w:sz w:val="24"/>
          <w:szCs w:val="24"/>
        </w:rPr>
        <w:t>’</w:t>
      </w:r>
      <w:r>
        <w:rPr>
          <w:rFonts w:ascii="Garamond" w:hAnsi="Garamond"/>
          <w:sz w:val="24"/>
          <w:szCs w:val="24"/>
        </w:rPr>
        <w:t xml:space="preserve">t reassess the issues </w:t>
      </w:r>
      <w:r>
        <w:rPr>
          <w:rFonts w:ascii="Garamond" w:hAnsi="Garamond"/>
          <w:sz w:val="24"/>
          <w:szCs w:val="24"/>
          <w:u w:val="single"/>
        </w:rPr>
        <w:t>independently</w:t>
      </w:r>
      <w:r>
        <w:rPr>
          <w:rFonts w:ascii="Garamond" w:hAnsi="Garamond"/>
          <w:sz w:val="24"/>
          <w:szCs w:val="24"/>
        </w:rPr>
        <w:t xml:space="preserve"> which comes to his notice subsequently during proceedings, if original </w:t>
      </w:r>
      <w:r>
        <w:rPr>
          <w:rFonts w:ascii="Garamond" w:hAnsi="Garamond"/>
          <w:i/>
          <w:iCs/>
          <w:sz w:val="24"/>
          <w:szCs w:val="24"/>
        </w:rPr>
        <w:t>reason to believe</w:t>
      </w:r>
      <w:r>
        <w:rPr>
          <w:rFonts w:ascii="Garamond" w:hAnsi="Garamond"/>
          <w:sz w:val="24"/>
          <w:szCs w:val="24"/>
        </w:rPr>
        <w:t xml:space="preserve"> on the basis of which the notice was issued ceases to exists</w:t>
      </w:r>
    </w:p>
    <w:p w:rsidR="009406F8" w:rsidRPr="009406F8" w:rsidRDefault="009406F8" w:rsidP="007D40F1">
      <w:pPr>
        <w:pStyle w:val="NoSpacing"/>
        <w:jc w:val="both"/>
        <w:rPr>
          <w:rFonts w:ascii="Garamond" w:hAnsi="Garamond"/>
          <w:sz w:val="24"/>
          <w:szCs w:val="24"/>
        </w:rPr>
      </w:pPr>
      <w:r>
        <w:rPr>
          <w:rFonts w:ascii="Garamond" w:hAnsi="Garamond"/>
          <w:sz w:val="24"/>
          <w:szCs w:val="24"/>
        </w:rPr>
        <w:t>If he intends to do so, a fresh notice u/s 148 would be necessary</w:t>
      </w:r>
    </w:p>
    <w:p w:rsidR="00225A09" w:rsidRDefault="00225A09" w:rsidP="00225A09">
      <w:pPr>
        <w:pStyle w:val="NoSpacing"/>
        <w:jc w:val="both"/>
        <w:rPr>
          <w:rFonts w:ascii="Garamond" w:hAnsi="Garamond"/>
          <w:sz w:val="24"/>
          <w:szCs w:val="24"/>
        </w:rPr>
      </w:pPr>
    </w:p>
    <w:p w:rsidR="00225A09" w:rsidRPr="000F6C14" w:rsidRDefault="00225A09" w:rsidP="00225A09">
      <w:pPr>
        <w:pStyle w:val="Default"/>
        <w:jc w:val="both"/>
        <w:rPr>
          <w:rFonts w:ascii="Garamond" w:hAnsi="Garamond"/>
          <w:b/>
          <w:bCs/>
          <w:i/>
          <w:iCs/>
        </w:rPr>
      </w:pPr>
      <w:r w:rsidRPr="000F6C14">
        <w:rPr>
          <w:rFonts w:ascii="Garamond" w:hAnsi="Garamond"/>
          <w:b/>
          <w:bCs/>
          <w:i/>
          <w:iCs/>
        </w:rPr>
        <w:t xml:space="preserve">Can an assessee not claiming deduction under section 80-IB in the initial years claim the said deduction for the remaining years during the period of eligibility, if the conditions are satisfied? </w:t>
      </w:r>
    </w:p>
    <w:p w:rsidR="00225A09" w:rsidRPr="000F6C14" w:rsidRDefault="00225A09" w:rsidP="00225A09">
      <w:pPr>
        <w:pStyle w:val="NoSpacing"/>
        <w:jc w:val="both"/>
        <w:rPr>
          <w:rFonts w:ascii="Garamond" w:hAnsi="Garamond"/>
          <w:b/>
          <w:bCs/>
          <w:i/>
          <w:iCs/>
          <w:sz w:val="24"/>
          <w:szCs w:val="24"/>
          <w:u w:val="single"/>
        </w:rPr>
      </w:pPr>
      <w:r w:rsidRPr="000F6C14">
        <w:rPr>
          <w:rFonts w:ascii="Garamond" w:hAnsi="Garamond"/>
          <w:b/>
          <w:bCs/>
          <w:i/>
          <w:iCs/>
          <w:sz w:val="24"/>
          <w:szCs w:val="24"/>
          <w:u w:val="single"/>
        </w:rPr>
        <w:t>Praveen Soni v. CIT (Del)</w:t>
      </w:r>
    </w:p>
    <w:p w:rsidR="00225A09" w:rsidRDefault="00225A09" w:rsidP="00225A09">
      <w:pPr>
        <w:pStyle w:val="NoSpacing"/>
        <w:jc w:val="both"/>
        <w:rPr>
          <w:rFonts w:ascii="Garamond" w:hAnsi="Garamond"/>
          <w:sz w:val="24"/>
          <w:szCs w:val="24"/>
        </w:rPr>
      </w:pPr>
      <w:r>
        <w:rPr>
          <w:rFonts w:ascii="Garamond" w:hAnsi="Garamond"/>
          <w:sz w:val="24"/>
          <w:szCs w:val="24"/>
        </w:rPr>
        <w:t>Even if assessee has not claimed deduction u/s 80-IB in the initial years, he can claim the said deduction for the remaining years upto the period for which his entitlement would accrue, provided conditions u/s 80IB are fulfilled</w:t>
      </w:r>
    </w:p>
    <w:p w:rsidR="00904753" w:rsidRDefault="00904753" w:rsidP="00904753">
      <w:pPr>
        <w:pStyle w:val="NoSpacing"/>
        <w:jc w:val="both"/>
        <w:rPr>
          <w:rFonts w:ascii="Garamond" w:hAnsi="Garamond"/>
          <w:sz w:val="24"/>
          <w:szCs w:val="24"/>
        </w:rPr>
      </w:pPr>
    </w:p>
    <w:p w:rsidR="00904753" w:rsidRPr="00011E48" w:rsidRDefault="00904753" w:rsidP="00904753">
      <w:pPr>
        <w:pStyle w:val="NoSpacing"/>
        <w:jc w:val="both"/>
        <w:rPr>
          <w:rFonts w:ascii="Garamond" w:hAnsi="Garamond"/>
          <w:b/>
          <w:bCs/>
          <w:i/>
          <w:iCs/>
          <w:sz w:val="24"/>
          <w:szCs w:val="24"/>
        </w:rPr>
      </w:pPr>
      <w:r w:rsidRPr="00011E48">
        <w:rPr>
          <w:rFonts w:ascii="Garamond" w:hAnsi="Garamond"/>
          <w:b/>
          <w:bCs/>
          <w:i/>
          <w:iCs/>
          <w:sz w:val="24"/>
          <w:szCs w:val="24"/>
        </w:rPr>
        <w:t>Can the Tribunal exercise its power of rectification under section 254(2) to recall its order in entirety, where there is a mistake apparent from record?</w:t>
      </w:r>
    </w:p>
    <w:p w:rsidR="00904753" w:rsidRPr="00011E48" w:rsidRDefault="00904753" w:rsidP="00904753">
      <w:pPr>
        <w:pStyle w:val="NoSpacing"/>
        <w:jc w:val="both"/>
        <w:rPr>
          <w:rFonts w:ascii="Garamond" w:hAnsi="Garamond"/>
          <w:b/>
          <w:bCs/>
          <w:i/>
          <w:iCs/>
          <w:sz w:val="24"/>
          <w:szCs w:val="24"/>
          <w:u w:val="single"/>
        </w:rPr>
      </w:pPr>
      <w:r w:rsidRPr="00011E48">
        <w:rPr>
          <w:rFonts w:ascii="Garamond" w:hAnsi="Garamond"/>
          <w:b/>
          <w:bCs/>
          <w:i/>
          <w:iCs/>
          <w:sz w:val="24"/>
          <w:szCs w:val="24"/>
          <w:u w:val="single"/>
        </w:rPr>
        <w:t>Lachman Dass Bhatia Hingwala (P) Ltd.</w:t>
      </w:r>
      <w:r>
        <w:rPr>
          <w:rFonts w:ascii="Garamond" w:hAnsi="Garamond"/>
          <w:b/>
          <w:bCs/>
          <w:i/>
          <w:iCs/>
          <w:sz w:val="24"/>
          <w:szCs w:val="24"/>
          <w:u w:val="single"/>
        </w:rPr>
        <w:t xml:space="preserve"> </w:t>
      </w:r>
      <w:r w:rsidRPr="00011E48">
        <w:rPr>
          <w:rFonts w:ascii="Garamond" w:hAnsi="Garamond"/>
          <w:b/>
          <w:bCs/>
          <w:i/>
          <w:iCs/>
          <w:sz w:val="24"/>
          <w:szCs w:val="24"/>
          <w:u w:val="single"/>
        </w:rPr>
        <w:t>v. ACIT (Del)</w:t>
      </w:r>
    </w:p>
    <w:p w:rsidR="00904753" w:rsidRDefault="00904753" w:rsidP="00904753">
      <w:pPr>
        <w:pStyle w:val="NoSpacing"/>
        <w:jc w:val="both"/>
        <w:rPr>
          <w:rFonts w:ascii="Garamond" w:hAnsi="Garamond"/>
          <w:sz w:val="24"/>
          <w:szCs w:val="24"/>
        </w:rPr>
      </w:pPr>
      <w:r>
        <w:rPr>
          <w:rFonts w:ascii="Garamond" w:hAnsi="Garamond"/>
          <w:sz w:val="24"/>
          <w:szCs w:val="24"/>
        </w:rPr>
        <w:t>Tribunal while exercising the power of rectification can recall its order in entirety, if is satisfied that prejudice has resulted to the party which is attributable to Tribunal’s mistake, error, or omission &amp; error committed is apparent</w:t>
      </w:r>
    </w:p>
    <w:p w:rsidR="00904753" w:rsidRDefault="00904753" w:rsidP="00904753">
      <w:pPr>
        <w:pStyle w:val="NoSpacing"/>
        <w:jc w:val="both"/>
        <w:rPr>
          <w:rFonts w:ascii="Garamond" w:hAnsi="Garamond"/>
          <w:sz w:val="24"/>
          <w:szCs w:val="24"/>
        </w:rPr>
      </w:pPr>
    </w:p>
    <w:p w:rsidR="00904753" w:rsidRPr="00BF23B9" w:rsidRDefault="00904753" w:rsidP="00904753">
      <w:pPr>
        <w:pStyle w:val="Default"/>
        <w:jc w:val="both"/>
        <w:rPr>
          <w:rFonts w:ascii="Garamond" w:hAnsi="Garamond"/>
          <w:b/>
          <w:bCs/>
          <w:i/>
          <w:iCs/>
        </w:rPr>
      </w:pPr>
      <w:r w:rsidRPr="00BF23B9">
        <w:rPr>
          <w:rFonts w:ascii="Garamond" w:hAnsi="Garamond"/>
          <w:b/>
          <w:bCs/>
          <w:i/>
          <w:iCs/>
        </w:rPr>
        <w:t>Do the tips collected by hotel and disbursed to employees constitute salary to attract the provisions for tax deduction at source under section 192?</w:t>
      </w:r>
    </w:p>
    <w:p w:rsidR="00904753" w:rsidRPr="007601C7" w:rsidRDefault="00904753" w:rsidP="00904753">
      <w:pPr>
        <w:pStyle w:val="NoSpacing"/>
        <w:jc w:val="both"/>
        <w:rPr>
          <w:rFonts w:ascii="Garamond" w:hAnsi="Garamond"/>
          <w:b/>
          <w:bCs/>
          <w:i/>
          <w:iCs/>
          <w:sz w:val="24"/>
          <w:szCs w:val="24"/>
          <w:u w:val="single"/>
        </w:rPr>
      </w:pPr>
      <w:r w:rsidRPr="007601C7">
        <w:rPr>
          <w:rFonts w:ascii="Garamond" w:hAnsi="Garamond"/>
          <w:b/>
          <w:bCs/>
          <w:i/>
          <w:iCs/>
          <w:sz w:val="24"/>
          <w:szCs w:val="24"/>
          <w:u w:val="single"/>
        </w:rPr>
        <w:t>CIT (TDS) v. ITC Ltd (Del)</w:t>
      </w:r>
    </w:p>
    <w:p w:rsidR="00904753" w:rsidRDefault="00904753" w:rsidP="00904753">
      <w:pPr>
        <w:pStyle w:val="NoSpacing"/>
        <w:jc w:val="both"/>
        <w:rPr>
          <w:rFonts w:ascii="Garamond" w:hAnsi="Garamond"/>
          <w:sz w:val="24"/>
          <w:szCs w:val="24"/>
        </w:rPr>
      </w:pPr>
      <w:r>
        <w:rPr>
          <w:rFonts w:ascii="Garamond" w:hAnsi="Garamond"/>
          <w:sz w:val="24"/>
          <w:szCs w:val="24"/>
        </w:rPr>
        <w:t xml:space="preserve">Employer is not liable for tip paid directly to employee by customer. If tip is charged in bill, it would constitute income &amp; thus taxable; Co is obliged to deduct TDS </w:t>
      </w:r>
    </w:p>
    <w:p w:rsidR="00904753" w:rsidRDefault="00904753" w:rsidP="00904753">
      <w:pPr>
        <w:pStyle w:val="NoSpacing"/>
        <w:jc w:val="both"/>
        <w:rPr>
          <w:rFonts w:ascii="Garamond" w:hAnsi="Garamond"/>
          <w:sz w:val="24"/>
          <w:szCs w:val="24"/>
        </w:rPr>
      </w:pPr>
      <w:r>
        <w:rPr>
          <w:rFonts w:ascii="Garamond" w:hAnsi="Garamond"/>
          <w:sz w:val="24"/>
          <w:szCs w:val="24"/>
        </w:rPr>
        <w:lastRenderedPageBreak/>
        <w:t>Since there was no dishonest intention by assessee they could not be made liable for levy of penalty u/s 201 but payment of interest is mandatory. Interest is not penal &amp; cannot be waived on the basis of penalty was not intentional</w:t>
      </w:r>
    </w:p>
    <w:p w:rsidR="00904753" w:rsidRPr="005E5A62" w:rsidRDefault="00904753" w:rsidP="00904753">
      <w:pPr>
        <w:pStyle w:val="NoSpacing"/>
        <w:jc w:val="both"/>
        <w:rPr>
          <w:rFonts w:ascii="Garamond" w:hAnsi="Garamond"/>
          <w:b/>
          <w:bCs/>
          <w:i/>
          <w:iCs/>
          <w:sz w:val="24"/>
          <w:szCs w:val="24"/>
        </w:rPr>
      </w:pPr>
    </w:p>
    <w:p w:rsidR="00904753" w:rsidRPr="00D03D8A" w:rsidRDefault="00904753" w:rsidP="00904753">
      <w:pPr>
        <w:pStyle w:val="NoSpacing"/>
        <w:jc w:val="both"/>
        <w:rPr>
          <w:rFonts w:ascii="Garamond" w:hAnsi="Garamond"/>
          <w:b/>
          <w:bCs/>
          <w:i/>
          <w:iCs/>
          <w:sz w:val="24"/>
          <w:szCs w:val="24"/>
          <w:u w:val="single"/>
        </w:rPr>
      </w:pPr>
      <w:r w:rsidRPr="00D03D8A">
        <w:rPr>
          <w:rFonts w:ascii="Garamond" w:hAnsi="Garamond"/>
          <w:b/>
          <w:bCs/>
          <w:i/>
          <w:iCs/>
          <w:sz w:val="24"/>
          <w:szCs w:val="24"/>
        </w:rPr>
        <w:t>Can difference between published price and minimum fixed commercial price be treated as additional special commission in the hands of the agents of an airline company to attr</w:t>
      </w:r>
      <w:r>
        <w:rPr>
          <w:rFonts w:ascii="Garamond" w:hAnsi="Garamond"/>
          <w:b/>
          <w:bCs/>
          <w:i/>
          <w:iCs/>
          <w:sz w:val="24"/>
          <w:szCs w:val="24"/>
        </w:rPr>
        <w:t>act TDS provisions u/s</w:t>
      </w:r>
      <w:r w:rsidRPr="00D03D8A">
        <w:rPr>
          <w:rFonts w:ascii="Garamond" w:hAnsi="Garamond"/>
          <w:b/>
          <w:bCs/>
          <w:i/>
          <w:iCs/>
          <w:sz w:val="24"/>
          <w:szCs w:val="24"/>
        </w:rPr>
        <w:t xml:space="preserve"> 194H, where the airline company has no information about the exact rate at which tickets are ultimately sold by the agents?</w:t>
      </w:r>
    </w:p>
    <w:p w:rsidR="00904753" w:rsidRPr="00D03D8A" w:rsidRDefault="00904753" w:rsidP="00904753">
      <w:pPr>
        <w:pStyle w:val="NoSpacing"/>
        <w:jc w:val="both"/>
        <w:rPr>
          <w:rFonts w:ascii="Garamond" w:hAnsi="Garamond"/>
          <w:b/>
          <w:bCs/>
          <w:i/>
          <w:iCs/>
          <w:sz w:val="24"/>
          <w:szCs w:val="24"/>
          <w:u w:val="single"/>
        </w:rPr>
      </w:pPr>
      <w:r w:rsidRPr="00D03D8A">
        <w:rPr>
          <w:rFonts w:ascii="Garamond" w:hAnsi="Garamond"/>
          <w:b/>
          <w:bCs/>
          <w:i/>
          <w:iCs/>
          <w:sz w:val="24"/>
          <w:szCs w:val="24"/>
          <w:u w:val="single"/>
        </w:rPr>
        <w:t>CIT v. Qatar Airways (Bom)</w:t>
      </w:r>
    </w:p>
    <w:p w:rsidR="00904753" w:rsidRDefault="00904753" w:rsidP="00904753">
      <w:pPr>
        <w:pStyle w:val="NoSpacing"/>
        <w:jc w:val="both"/>
        <w:rPr>
          <w:rFonts w:ascii="Garamond" w:hAnsi="Garamond"/>
          <w:sz w:val="24"/>
          <w:szCs w:val="24"/>
        </w:rPr>
      </w:pPr>
      <w:r>
        <w:rPr>
          <w:rFonts w:ascii="Garamond" w:hAnsi="Garamond"/>
          <w:sz w:val="24"/>
          <w:szCs w:val="24"/>
        </w:rPr>
        <w:t>In case of commissions to agents by airline Co on sale of tickets, no TDS on difference between published price &amp; minimum fixed commercial price, though it is taxable as income in the hands of agent</w:t>
      </w:r>
    </w:p>
    <w:p w:rsidR="00225A09" w:rsidRDefault="00225A09" w:rsidP="00225A09">
      <w:pPr>
        <w:pStyle w:val="NoSpacing"/>
        <w:jc w:val="both"/>
        <w:rPr>
          <w:rFonts w:ascii="Garamond" w:hAnsi="Garamond"/>
          <w:sz w:val="24"/>
          <w:szCs w:val="24"/>
        </w:rPr>
      </w:pPr>
    </w:p>
    <w:p w:rsidR="00225A09" w:rsidRPr="00890461" w:rsidRDefault="00225A09" w:rsidP="00225A09">
      <w:pPr>
        <w:pStyle w:val="Default"/>
        <w:jc w:val="both"/>
        <w:rPr>
          <w:rFonts w:ascii="Garamond" w:hAnsi="Garamond"/>
          <w:b/>
          <w:bCs/>
          <w:i/>
          <w:iCs/>
        </w:rPr>
      </w:pPr>
      <w:r w:rsidRPr="00890461">
        <w:rPr>
          <w:rFonts w:ascii="Garamond" w:hAnsi="Garamond"/>
          <w:b/>
          <w:bCs/>
          <w:i/>
          <w:iCs/>
        </w:rPr>
        <w:t>Can an industrial undertaking engaged in manufacturing or producing articles or things treat the persons employed by it through agency (including contractors) as "workers" to qualify for claim of deduction under section 80-IB?</w:t>
      </w:r>
    </w:p>
    <w:p w:rsidR="00225A09" w:rsidRPr="00FC7E07" w:rsidRDefault="00225A09" w:rsidP="00225A09">
      <w:pPr>
        <w:pStyle w:val="NoSpacing"/>
        <w:jc w:val="both"/>
        <w:rPr>
          <w:rFonts w:ascii="Garamond" w:hAnsi="Garamond"/>
          <w:b/>
          <w:bCs/>
          <w:i/>
          <w:iCs/>
          <w:sz w:val="24"/>
          <w:szCs w:val="24"/>
          <w:u w:val="single"/>
        </w:rPr>
      </w:pPr>
      <w:r w:rsidRPr="00FC7E07">
        <w:rPr>
          <w:rFonts w:ascii="Garamond" w:hAnsi="Garamond"/>
          <w:b/>
          <w:bCs/>
          <w:i/>
          <w:iCs/>
          <w:sz w:val="24"/>
          <w:szCs w:val="24"/>
          <w:u w:val="single"/>
        </w:rPr>
        <w:t>CIT v. Jyoti Plastic Works Private Limited (Bom)</w:t>
      </w:r>
    </w:p>
    <w:p w:rsidR="00225A09" w:rsidRPr="00DC11FE" w:rsidRDefault="00225A09" w:rsidP="00225A09">
      <w:pPr>
        <w:pStyle w:val="NoSpacing"/>
        <w:jc w:val="both"/>
        <w:rPr>
          <w:rFonts w:ascii="Garamond" w:hAnsi="Garamond"/>
          <w:sz w:val="24"/>
          <w:szCs w:val="24"/>
        </w:rPr>
      </w:pPr>
      <w:r>
        <w:rPr>
          <w:rFonts w:ascii="Garamond" w:hAnsi="Garamond"/>
          <w:sz w:val="24"/>
          <w:szCs w:val="24"/>
        </w:rPr>
        <w:t xml:space="preserve">The word </w:t>
      </w:r>
      <w:r>
        <w:rPr>
          <w:rFonts w:ascii="Garamond" w:hAnsi="Garamond"/>
          <w:i/>
          <w:iCs/>
          <w:sz w:val="24"/>
          <w:szCs w:val="24"/>
        </w:rPr>
        <w:t>worker</w:t>
      </w:r>
      <w:r>
        <w:rPr>
          <w:rFonts w:ascii="Garamond" w:hAnsi="Garamond"/>
          <w:sz w:val="24"/>
          <w:szCs w:val="24"/>
        </w:rPr>
        <w:t xml:space="preserve"> is not defined in Income Tax Act or u/s 80 IB. Therefore worker may be person employed b assessee directly /through any agency (including contractor) in the manufacturing activity carried on by the assessee. Employment by 10/20/more workers are relevant &amp; not mode &amp; manner in which they are employed. Therefore </w:t>
      </w:r>
      <w:r>
        <w:rPr>
          <w:rFonts w:ascii="Garamond" w:hAnsi="Garamond"/>
          <w:sz w:val="24"/>
          <w:szCs w:val="24"/>
          <w:u w:val="single"/>
        </w:rPr>
        <w:t>deduction is available</w:t>
      </w:r>
    </w:p>
    <w:p w:rsidR="000C5A45" w:rsidRDefault="000C5A45" w:rsidP="007D40F1">
      <w:pPr>
        <w:pStyle w:val="NoSpacing"/>
        <w:jc w:val="both"/>
        <w:rPr>
          <w:rFonts w:ascii="Garamond" w:hAnsi="Garamond"/>
          <w:sz w:val="24"/>
          <w:szCs w:val="24"/>
        </w:rPr>
      </w:pPr>
    </w:p>
    <w:p w:rsidR="00C263CF" w:rsidRPr="00C263CF" w:rsidRDefault="00C263CF" w:rsidP="00C263CF">
      <w:pPr>
        <w:pStyle w:val="Default"/>
        <w:jc w:val="both"/>
        <w:rPr>
          <w:rFonts w:ascii="Garamond" w:hAnsi="Garamond"/>
          <w:b/>
          <w:bCs/>
          <w:i/>
          <w:iCs/>
        </w:rPr>
      </w:pPr>
      <w:r w:rsidRPr="00C263CF">
        <w:rPr>
          <w:rFonts w:ascii="Garamond" w:hAnsi="Garamond"/>
          <w:b/>
          <w:bCs/>
          <w:i/>
          <w:iCs/>
        </w:rPr>
        <w:t>Can "moneys payable" in respect of a building sold by the assessee (which has to be reduced from the opening written down value of the block of assets for calculating depreciation) be construed as the fair market value of the asset instead of the actual sale price?</w:t>
      </w:r>
    </w:p>
    <w:p w:rsidR="007D40F1" w:rsidRPr="00BE60C3" w:rsidRDefault="007D40F1" w:rsidP="007D40F1">
      <w:pPr>
        <w:pStyle w:val="NoSpacing"/>
        <w:jc w:val="both"/>
        <w:rPr>
          <w:rFonts w:ascii="Garamond" w:hAnsi="Garamond"/>
          <w:b/>
          <w:bCs/>
          <w:i/>
          <w:iCs/>
          <w:sz w:val="24"/>
          <w:szCs w:val="24"/>
          <w:u w:val="single"/>
        </w:rPr>
      </w:pPr>
      <w:r w:rsidRPr="00BE60C3">
        <w:rPr>
          <w:rFonts w:ascii="Garamond" w:hAnsi="Garamond"/>
          <w:b/>
          <w:bCs/>
          <w:i/>
          <w:iCs/>
          <w:sz w:val="24"/>
          <w:szCs w:val="24"/>
          <w:u w:val="single"/>
        </w:rPr>
        <w:t>CIT v. Cable Corporation of India Ltd.  (Bom)</w:t>
      </w:r>
    </w:p>
    <w:p w:rsidR="00353459" w:rsidRDefault="00FD2694" w:rsidP="000C5A45">
      <w:pPr>
        <w:pStyle w:val="NoSpacing"/>
        <w:jc w:val="both"/>
        <w:rPr>
          <w:rFonts w:ascii="Garamond" w:eastAsia="Times New Roman" w:hAnsi="Garamond" w:cs="Arial"/>
          <w:sz w:val="24"/>
          <w:szCs w:val="24"/>
        </w:rPr>
      </w:pPr>
      <w:r>
        <w:rPr>
          <w:rFonts w:ascii="Garamond" w:eastAsia="Times New Roman" w:hAnsi="Garamond" w:cs="Arial"/>
          <w:sz w:val="24"/>
          <w:szCs w:val="24"/>
        </w:rPr>
        <w:t xml:space="preserve">Opening WDV of a block of asset has to be adjusted by the amount for which an asset is actually sold &amp; not by its market value. </w:t>
      </w:r>
    </w:p>
    <w:p w:rsidR="0000264E" w:rsidRDefault="00FD2694" w:rsidP="000C5A45">
      <w:pPr>
        <w:pStyle w:val="NoSpacing"/>
        <w:jc w:val="both"/>
        <w:rPr>
          <w:rFonts w:ascii="Garamond" w:eastAsia="Times New Roman" w:hAnsi="Garamond" w:cs="Arial"/>
          <w:sz w:val="24"/>
          <w:szCs w:val="24"/>
        </w:rPr>
      </w:pPr>
      <w:r>
        <w:rPr>
          <w:rFonts w:ascii="Garamond" w:eastAsia="Times New Roman" w:hAnsi="Garamond" w:cs="Arial"/>
          <w:sz w:val="24"/>
          <w:szCs w:val="24"/>
        </w:rPr>
        <w:t>In case of scrap, amount of scrap (FMV) has to be reduced by has to be reduced to arrive at closing WDV</w:t>
      </w:r>
    </w:p>
    <w:p w:rsidR="0000264E" w:rsidRDefault="0000264E" w:rsidP="000C5A45">
      <w:pPr>
        <w:pStyle w:val="NoSpacing"/>
        <w:jc w:val="both"/>
        <w:rPr>
          <w:rFonts w:ascii="Garamond" w:eastAsia="Times New Roman" w:hAnsi="Garamond" w:cs="Arial"/>
          <w:sz w:val="24"/>
          <w:szCs w:val="24"/>
        </w:rPr>
      </w:pPr>
    </w:p>
    <w:p w:rsidR="000C5A45" w:rsidRPr="003B0A0A" w:rsidRDefault="000C5A45" w:rsidP="000C5A45">
      <w:pPr>
        <w:pStyle w:val="Default"/>
        <w:jc w:val="both"/>
        <w:rPr>
          <w:rFonts w:ascii="Garamond" w:hAnsi="Garamond"/>
          <w:b/>
          <w:bCs/>
          <w:i/>
          <w:iCs/>
        </w:rPr>
      </w:pPr>
      <w:r w:rsidRPr="003B0A0A">
        <w:rPr>
          <w:rFonts w:ascii="Garamond" w:hAnsi="Garamond"/>
          <w:b/>
          <w:bCs/>
          <w:i/>
          <w:iCs/>
        </w:rPr>
        <w:t xml:space="preserve">What can be the tests to determine "substantial part of business" of lending company for the purpose of application of exclusion provision under section 2(22)? </w:t>
      </w:r>
    </w:p>
    <w:p w:rsidR="000C5A45" w:rsidRPr="0097107D" w:rsidRDefault="000C5A45" w:rsidP="000C5A45">
      <w:pPr>
        <w:pStyle w:val="NoSpacing"/>
        <w:jc w:val="both"/>
        <w:rPr>
          <w:rFonts w:ascii="Garamond" w:eastAsia="Times New Roman" w:hAnsi="Garamond" w:cs="Arial"/>
          <w:b/>
          <w:bCs/>
          <w:i/>
          <w:iCs/>
          <w:sz w:val="24"/>
          <w:szCs w:val="24"/>
          <w:u w:val="single"/>
        </w:rPr>
      </w:pPr>
      <w:r w:rsidRPr="0097107D">
        <w:rPr>
          <w:rFonts w:ascii="Garamond" w:eastAsia="Times New Roman" w:hAnsi="Garamond" w:cs="Arial"/>
          <w:b/>
          <w:bCs/>
          <w:i/>
          <w:iCs/>
          <w:sz w:val="24"/>
          <w:szCs w:val="24"/>
          <w:u w:val="single"/>
        </w:rPr>
        <w:t xml:space="preserve">CIT v. Parle Plastics Ltd. </w:t>
      </w:r>
      <w:r w:rsidRPr="0097107D">
        <w:rPr>
          <w:rFonts w:ascii="Garamond" w:hAnsi="Garamond"/>
          <w:b/>
          <w:bCs/>
          <w:i/>
          <w:iCs/>
          <w:sz w:val="24"/>
          <w:szCs w:val="24"/>
          <w:u w:val="single"/>
        </w:rPr>
        <w:t>(Bom)</w:t>
      </w:r>
    </w:p>
    <w:p w:rsidR="000C5A45" w:rsidRDefault="000C5A45" w:rsidP="000C5A45">
      <w:pPr>
        <w:pStyle w:val="NoSpacing"/>
        <w:jc w:val="both"/>
        <w:rPr>
          <w:rFonts w:ascii="Garamond" w:eastAsia="Times New Roman" w:hAnsi="Garamond" w:cs="Arial"/>
          <w:sz w:val="24"/>
          <w:szCs w:val="24"/>
        </w:rPr>
      </w:pPr>
      <w:r>
        <w:rPr>
          <w:rFonts w:ascii="Garamond" w:eastAsia="Times New Roman" w:hAnsi="Garamond" w:cs="Arial"/>
          <w:sz w:val="24"/>
          <w:szCs w:val="24"/>
        </w:rPr>
        <w:t>u/s 2(22) dividend doesn’t include any advance/loan made to a shareholder by a Co in the ordinary course of its business, where the lending of money is a substantial part of business of Co. Factors to be considered for determining substantial part of business for the purpose of 2(22) are:-</w:t>
      </w:r>
    </w:p>
    <w:p w:rsidR="000C5A45" w:rsidRDefault="000C5A45" w:rsidP="000C5A45">
      <w:pPr>
        <w:pStyle w:val="NoSpacing"/>
        <w:jc w:val="both"/>
        <w:rPr>
          <w:rFonts w:ascii="Garamond" w:eastAsia="Times New Roman" w:hAnsi="Garamond" w:cs="Arial"/>
          <w:sz w:val="24"/>
          <w:szCs w:val="24"/>
        </w:rPr>
      </w:pPr>
      <w:r>
        <w:rPr>
          <w:rFonts w:ascii="Garamond" w:eastAsia="Times New Roman" w:hAnsi="Garamond" w:cs="Arial"/>
          <w:sz w:val="24"/>
          <w:szCs w:val="24"/>
        </w:rPr>
        <w:t>major part that constitutes majority of the whole; substantial part of turnover; more than 50% of total profit; percentage of manpower used; capital employed for specific division; substantial part of total assets</w:t>
      </w:r>
    </w:p>
    <w:p w:rsidR="00A56AF7" w:rsidRPr="00353459" w:rsidRDefault="000C5A45" w:rsidP="007D40F1">
      <w:pPr>
        <w:pStyle w:val="NoSpacing"/>
        <w:jc w:val="both"/>
        <w:rPr>
          <w:rFonts w:ascii="Garamond" w:eastAsia="Times New Roman" w:hAnsi="Garamond" w:cs="Arial"/>
          <w:sz w:val="24"/>
          <w:szCs w:val="24"/>
        </w:rPr>
      </w:pPr>
      <w:r>
        <w:rPr>
          <w:rFonts w:ascii="Garamond" w:eastAsia="Times New Roman" w:hAnsi="Garamond" w:cs="Arial"/>
          <w:sz w:val="24"/>
          <w:szCs w:val="24"/>
        </w:rPr>
        <w:t>If lending of money was a substantial part of business of lending Co, money given by it by way of advance/loan to the assessee cannot be regarded as dividend</w:t>
      </w:r>
    </w:p>
    <w:p w:rsidR="00FE7120" w:rsidRPr="003F2519" w:rsidRDefault="00FE7120" w:rsidP="007D40F1">
      <w:pPr>
        <w:pStyle w:val="NoSpacing"/>
        <w:jc w:val="both"/>
        <w:rPr>
          <w:rFonts w:ascii="Garamond" w:hAnsi="Garamond"/>
          <w:sz w:val="24"/>
          <w:szCs w:val="24"/>
        </w:rPr>
      </w:pPr>
    </w:p>
    <w:p w:rsidR="003F2519" w:rsidRPr="003F2519" w:rsidRDefault="003F2519" w:rsidP="003F2519">
      <w:pPr>
        <w:pStyle w:val="Default"/>
        <w:jc w:val="both"/>
        <w:rPr>
          <w:rFonts w:ascii="Garamond" w:hAnsi="Garamond"/>
          <w:b/>
          <w:bCs/>
          <w:i/>
          <w:iCs/>
        </w:rPr>
      </w:pPr>
      <w:r w:rsidRPr="003F2519">
        <w:rPr>
          <w:rFonts w:ascii="Garamond" w:hAnsi="Garamond"/>
          <w:b/>
          <w:bCs/>
          <w:i/>
          <w:iCs/>
        </w:rPr>
        <w:t>Would the expenditure incurred for issue and collection of convertible debentures be treated as revenue expenditure or capital expenditure?</w:t>
      </w:r>
    </w:p>
    <w:p w:rsidR="007D40F1" w:rsidRPr="00C14EEC" w:rsidRDefault="007D40F1" w:rsidP="007D40F1">
      <w:pPr>
        <w:pStyle w:val="NoSpacing"/>
        <w:jc w:val="both"/>
        <w:rPr>
          <w:rFonts w:ascii="Garamond" w:hAnsi="Garamond"/>
          <w:b/>
          <w:bCs/>
          <w:i/>
          <w:iCs/>
          <w:sz w:val="24"/>
          <w:szCs w:val="24"/>
          <w:u w:val="single"/>
        </w:rPr>
      </w:pPr>
      <w:r w:rsidRPr="00C14EEC">
        <w:rPr>
          <w:rFonts w:ascii="Garamond" w:hAnsi="Garamond"/>
          <w:b/>
          <w:bCs/>
          <w:i/>
          <w:iCs/>
          <w:sz w:val="24"/>
          <w:szCs w:val="24"/>
          <w:u w:val="single"/>
        </w:rPr>
        <w:t>CIT v ITC Hotels Ltd (Kar)</w:t>
      </w:r>
    </w:p>
    <w:p w:rsidR="00FE7120" w:rsidRDefault="00FE7120" w:rsidP="007D40F1">
      <w:pPr>
        <w:pStyle w:val="NoSpacing"/>
        <w:jc w:val="both"/>
        <w:rPr>
          <w:rFonts w:ascii="Garamond" w:hAnsi="Garamond"/>
          <w:sz w:val="24"/>
          <w:szCs w:val="24"/>
        </w:rPr>
      </w:pPr>
      <w:r>
        <w:rPr>
          <w:rFonts w:ascii="Garamond" w:hAnsi="Garamond"/>
          <w:sz w:val="24"/>
          <w:szCs w:val="24"/>
        </w:rPr>
        <w:t xml:space="preserve">It is </w:t>
      </w:r>
      <w:r>
        <w:rPr>
          <w:rFonts w:ascii="Garamond" w:hAnsi="Garamond"/>
          <w:sz w:val="24"/>
          <w:szCs w:val="24"/>
          <w:u w:val="single"/>
        </w:rPr>
        <w:t>revenue expense</w:t>
      </w:r>
      <w:r>
        <w:rPr>
          <w:rFonts w:ascii="Garamond" w:hAnsi="Garamond"/>
          <w:sz w:val="24"/>
          <w:szCs w:val="24"/>
        </w:rPr>
        <w:t xml:space="preserve"> even in case of convertible debentures [Karnataka HC]</w:t>
      </w:r>
    </w:p>
    <w:p w:rsidR="003F2519" w:rsidRDefault="00FE7120" w:rsidP="007D40F1">
      <w:pPr>
        <w:pStyle w:val="NoSpacing"/>
        <w:jc w:val="both"/>
        <w:rPr>
          <w:rFonts w:ascii="Garamond" w:hAnsi="Garamond"/>
          <w:sz w:val="24"/>
          <w:szCs w:val="24"/>
        </w:rPr>
      </w:pPr>
      <w:r>
        <w:rPr>
          <w:rFonts w:ascii="Garamond" w:hAnsi="Garamond"/>
          <w:sz w:val="24"/>
          <w:szCs w:val="24"/>
        </w:rPr>
        <w:t xml:space="preserve">However Ahmadabad HC in another case held that convertible debentures have characteristics of equity shares, it cannot be termed as debt &amp; therefore proportionate issue expense of such debentures that relates to the equity base of Co has to be treated as </w:t>
      </w:r>
      <w:r>
        <w:rPr>
          <w:rFonts w:ascii="Garamond" w:hAnsi="Garamond"/>
          <w:sz w:val="24"/>
          <w:szCs w:val="24"/>
          <w:u w:val="single"/>
        </w:rPr>
        <w:t>capital expense</w:t>
      </w:r>
    </w:p>
    <w:p w:rsidR="00FE7120" w:rsidRDefault="00FE7120"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0C5A45" w:rsidRPr="0097107D" w:rsidRDefault="000C5A45" w:rsidP="000C5A45">
      <w:pPr>
        <w:pStyle w:val="Default"/>
        <w:jc w:val="both"/>
        <w:rPr>
          <w:rFonts w:ascii="Garamond" w:hAnsi="Garamond"/>
          <w:b/>
          <w:bCs/>
          <w:i/>
          <w:iCs/>
        </w:rPr>
      </w:pPr>
      <w:r w:rsidRPr="0097107D">
        <w:rPr>
          <w:rFonts w:ascii="Garamond" w:hAnsi="Garamond"/>
          <w:b/>
          <w:bCs/>
          <w:i/>
          <w:iCs/>
        </w:rPr>
        <w:lastRenderedPageBreak/>
        <w:t xml:space="preserve">Can exemption under section 54 be claimed in respect of more than one residential flat acquired by the assessee under a joint development agreement with a builder, wherein the property owned by the assessee was developed by the builder who constructed eight residential flats in the said property, four of which were given to the assessee? </w:t>
      </w:r>
    </w:p>
    <w:p w:rsidR="000C5A45" w:rsidRPr="0097107D" w:rsidRDefault="000C5A45" w:rsidP="000C5A45">
      <w:pPr>
        <w:pStyle w:val="NoSpacing"/>
        <w:jc w:val="both"/>
        <w:rPr>
          <w:rFonts w:ascii="Garamond" w:hAnsi="Garamond"/>
          <w:b/>
          <w:bCs/>
          <w:i/>
          <w:iCs/>
          <w:sz w:val="24"/>
          <w:szCs w:val="24"/>
          <w:u w:val="single"/>
        </w:rPr>
      </w:pPr>
      <w:r w:rsidRPr="0097107D">
        <w:rPr>
          <w:rFonts w:ascii="Garamond" w:hAnsi="Garamond"/>
          <w:b/>
          <w:bCs/>
          <w:i/>
          <w:iCs/>
          <w:sz w:val="24"/>
          <w:szCs w:val="24"/>
          <w:u w:val="single"/>
        </w:rPr>
        <w:t>CIT v. Smt.K.G.Rukminiamma (Kar)</w:t>
      </w:r>
    </w:p>
    <w:p w:rsidR="000C5A45" w:rsidRDefault="000C5A45" w:rsidP="000C5A45">
      <w:pPr>
        <w:pStyle w:val="NoSpacing"/>
        <w:jc w:val="both"/>
        <w:rPr>
          <w:rFonts w:ascii="Garamond" w:hAnsi="Garamond"/>
          <w:sz w:val="24"/>
          <w:szCs w:val="24"/>
        </w:rPr>
      </w:pPr>
      <w:r>
        <w:rPr>
          <w:rFonts w:ascii="Garamond" w:hAnsi="Garamond"/>
          <w:sz w:val="24"/>
          <w:szCs w:val="24"/>
        </w:rPr>
        <w:t xml:space="preserve">Builder on his own expense constructed 8flats on the land of assessee &amp; handed over 4flats to assessee. Assessee will be </w:t>
      </w:r>
      <w:r>
        <w:rPr>
          <w:rFonts w:ascii="Garamond" w:hAnsi="Garamond"/>
          <w:sz w:val="24"/>
          <w:szCs w:val="24"/>
          <w:u w:val="single"/>
        </w:rPr>
        <w:t>entitled to get exemption</w:t>
      </w:r>
      <w:r>
        <w:rPr>
          <w:rFonts w:ascii="Garamond" w:hAnsi="Garamond"/>
          <w:sz w:val="24"/>
          <w:szCs w:val="24"/>
        </w:rPr>
        <w:t xml:space="preserve"> u/s 54 i.r.o all 4 flats as all are situated in the same residential building &amp; will constitute a single residential house for the purpose Sec. 54</w:t>
      </w:r>
    </w:p>
    <w:p w:rsidR="000C5A45" w:rsidRPr="00FE7120" w:rsidRDefault="000C5A45" w:rsidP="007D40F1">
      <w:pPr>
        <w:pStyle w:val="NoSpacing"/>
        <w:jc w:val="both"/>
        <w:rPr>
          <w:rFonts w:ascii="Garamond" w:hAnsi="Garamond"/>
          <w:sz w:val="24"/>
          <w:szCs w:val="24"/>
        </w:rPr>
      </w:pPr>
    </w:p>
    <w:p w:rsidR="00966D76" w:rsidRPr="0076265D" w:rsidRDefault="00966D76" w:rsidP="00966D76">
      <w:pPr>
        <w:pStyle w:val="NoSpacing"/>
        <w:jc w:val="both"/>
        <w:rPr>
          <w:rFonts w:ascii="Garamond" w:hAnsi="Garamond"/>
          <w:b/>
          <w:bCs/>
          <w:i/>
          <w:iCs/>
          <w:sz w:val="24"/>
          <w:szCs w:val="24"/>
        </w:rPr>
      </w:pPr>
      <w:r w:rsidRPr="0076265D">
        <w:rPr>
          <w:rFonts w:ascii="Garamond" w:hAnsi="Garamond"/>
          <w:b/>
          <w:bCs/>
          <w:i/>
          <w:iCs/>
          <w:sz w:val="24"/>
          <w:szCs w:val="24"/>
        </w:rPr>
        <w:t>Would refund of excise duty and grant of interest subsidy under the incentive scheme formulated by Central Government for public interest, namely, to accelerate industrial development, generate employment and create opportunities for self-employment in state of Jammu and Kashmir be treated as a revenue receipt or a capital receipt?</w:t>
      </w:r>
    </w:p>
    <w:p w:rsidR="00966D76" w:rsidRPr="00C14EEC" w:rsidRDefault="00966D76" w:rsidP="00966D76">
      <w:pPr>
        <w:pStyle w:val="NoSpacing"/>
        <w:jc w:val="both"/>
        <w:rPr>
          <w:rFonts w:ascii="Garamond" w:hAnsi="Garamond"/>
          <w:b/>
          <w:bCs/>
          <w:i/>
          <w:iCs/>
          <w:sz w:val="24"/>
          <w:szCs w:val="24"/>
          <w:u w:val="single"/>
        </w:rPr>
      </w:pPr>
      <w:r w:rsidRPr="00C14EEC">
        <w:rPr>
          <w:rFonts w:ascii="Garamond" w:hAnsi="Garamond"/>
          <w:b/>
          <w:bCs/>
          <w:i/>
          <w:iCs/>
          <w:sz w:val="24"/>
          <w:szCs w:val="24"/>
          <w:u w:val="single"/>
        </w:rPr>
        <w:t>Sree Balaji Alloys v. CIT (JK)</w:t>
      </w:r>
    </w:p>
    <w:p w:rsidR="00966D76" w:rsidRDefault="00966D76" w:rsidP="00966D76">
      <w:pPr>
        <w:pStyle w:val="NoSpacing"/>
        <w:jc w:val="both"/>
        <w:rPr>
          <w:rFonts w:ascii="Garamond" w:hAnsi="Garamond"/>
          <w:sz w:val="24"/>
          <w:szCs w:val="24"/>
        </w:rPr>
      </w:pPr>
      <w:r>
        <w:rPr>
          <w:rFonts w:ascii="Garamond" w:hAnsi="Garamond"/>
          <w:sz w:val="24"/>
          <w:szCs w:val="24"/>
        </w:rPr>
        <w:t>Refund of excise duty &amp; grant of interest subsidy for public purpose is capital receipt &amp; not taxable</w:t>
      </w:r>
    </w:p>
    <w:p w:rsidR="00AB1219" w:rsidRDefault="00AB1219" w:rsidP="007D40F1">
      <w:pPr>
        <w:pStyle w:val="NoSpacing"/>
        <w:jc w:val="both"/>
        <w:rPr>
          <w:rFonts w:ascii="Garamond" w:hAnsi="Garamond"/>
          <w:sz w:val="24"/>
          <w:szCs w:val="24"/>
        </w:rPr>
      </w:pPr>
    </w:p>
    <w:p w:rsidR="00E6151A" w:rsidRPr="00E6151A" w:rsidRDefault="00E6151A" w:rsidP="00E6151A">
      <w:pPr>
        <w:pStyle w:val="Default"/>
        <w:jc w:val="both"/>
        <w:rPr>
          <w:rFonts w:ascii="Garamond" w:hAnsi="Garamond"/>
          <w:b/>
          <w:bCs/>
          <w:i/>
          <w:iCs/>
        </w:rPr>
      </w:pPr>
      <w:r w:rsidRPr="00E6151A">
        <w:rPr>
          <w:rFonts w:ascii="Garamond" w:hAnsi="Garamond"/>
          <w:b/>
          <w:bCs/>
          <w:i/>
          <w:iCs/>
        </w:rPr>
        <w:t>Is the assessee entitled to depreciation on value of goodwill considering it as "other business or commercial rights of similar nature" within the meaning of an intangible asset?</w:t>
      </w:r>
    </w:p>
    <w:p w:rsidR="007D40F1" w:rsidRPr="00C14EEC" w:rsidRDefault="007D40F1" w:rsidP="007D40F1">
      <w:pPr>
        <w:pStyle w:val="NoSpacing"/>
        <w:jc w:val="both"/>
        <w:rPr>
          <w:rFonts w:ascii="Garamond" w:hAnsi="Garamond"/>
          <w:b/>
          <w:bCs/>
          <w:i/>
          <w:iCs/>
          <w:sz w:val="24"/>
          <w:szCs w:val="24"/>
          <w:u w:val="single"/>
        </w:rPr>
      </w:pPr>
      <w:r w:rsidRPr="00C14EEC">
        <w:rPr>
          <w:rFonts w:ascii="Garamond" w:hAnsi="Garamond"/>
          <w:b/>
          <w:bCs/>
          <w:i/>
          <w:iCs/>
          <w:sz w:val="24"/>
          <w:szCs w:val="24"/>
          <w:u w:val="single"/>
        </w:rPr>
        <w:t>B.Raveendran Pillai v. CIT (Ker)</w:t>
      </w:r>
    </w:p>
    <w:p w:rsidR="00E6151A" w:rsidRPr="00F64EFF" w:rsidRDefault="00F64EFF" w:rsidP="007D40F1">
      <w:pPr>
        <w:pStyle w:val="NoSpacing"/>
        <w:jc w:val="both"/>
        <w:rPr>
          <w:rFonts w:ascii="Garamond" w:hAnsi="Garamond"/>
          <w:sz w:val="24"/>
          <w:szCs w:val="24"/>
          <w:u w:val="single"/>
        </w:rPr>
      </w:pPr>
      <w:r>
        <w:rPr>
          <w:rFonts w:ascii="Garamond" w:hAnsi="Garamond"/>
          <w:sz w:val="24"/>
          <w:szCs w:val="24"/>
        </w:rPr>
        <w:t xml:space="preserve">Payment for acquiring </w:t>
      </w:r>
      <w:r>
        <w:rPr>
          <w:rFonts w:ascii="Garamond" w:hAnsi="Garamond"/>
          <w:sz w:val="24"/>
          <w:szCs w:val="24"/>
          <w:u w:val="single"/>
        </w:rPr>
        <w:t xml:space="preserve">business &amp; commercial </w:t>
      </w:r>
      <w:r>
        <w:rPr>
          <w:rFonts w:ascii="Garamond" w:hAnsi="Garamond"/>
          <w:sz w:val="24"/>
          <w:szCs w:val="24"/>
        </w:rPr>
        <w:t xml:space="preserve">interest is comparable with trademark, franchise, copyright etc. Hence </w:t>
      </w:r>
      <w:r>
        <w:rPr>
          <w:rFonts w:ascii="Garamond" w:hAnsi="Garamond"/>
          <w:sz w:val="24"/>
          <w:szCs w:val="24"/>
          <w:u w:val="single"/>
        </w:rPr>
        <w:t>depreciation is allowable on such goodwill</w:t>
      </w:r>
      <w:r w:rsidRPr="00F64EFF">
        <w:rPr>
          <w:rFonts w:ascii="Garamond" w:hAnsi="Garamond"/>
          <w:sz w:val="24"/>
          <w:szCs w:val="24"/>
        </w:rPr>
        <w:t xml:space="preserve"> being commercial right</w:t>
      </w:r>
    </w:p>
    <w:p w:rsidR="00E6151A" w:rsidRDefault="00E6151A" w:rsidP="007D40F1">
      <w:pPr>
        <w:pStyle w:val="NoSpacing"/>
        <w:jc w:val="both"/>
        <w:rPr>
          <w:rFonts w:ascii="Garamond" w:hAnsi="Garamond"/>
          <w:sz w:val="24"/>
          <w:szCs w:val="24"/>
        </w:rPr>
      </w:pPr>
    </w:p>
    <w:p w:rsidR="00517642" w:rsidRPr="00517642" w:rsidRDefault="00517642" w:rsidP="00517642">
      <w:pPr>
        <w:pStyle w:val="Default"/>
        <w:jc w:val="both"/>
        <w:rPr>
          <w:rFonts w:ascii="Garamond" w:hAnsi="Garamond"/>
          <w:b/>
          <w:bCs/>
          <w:i/>
          <w:iCs/>
        </w:rPr>
      </w:pPr>
      <w:r>
        <w:rPr>
          <w:rFonts w:ascii="Garamond" w:hAnsi="Garamond"/>
          <w:b/>
          <w:bCs/>
          <w:i/>
          <w:iCs/>
        </w:rPr>
        <w:t>Can EPABX &amp;</w:t>
      </w:r>
      <w:r w:rsidRPr="00517642">
        <w:rPr>
          <w:rFonts w:ascii="Garamond" w:hAnsi="Garamond"/>
          <w:b/>
          <w:bCs/>
          <w:i/>
          <w:iCs/>
        </w:rPr>
        <w:t xml:space="preserve"> mobile phones be treated as computers to be entitled to higher depreciation at 60%?</w:t>
      </w:r>
    </w:p>
    <w:p w:rsidR="007D40F1" w:rsidRPr="00BE60C3" w:rsidRDefault="007D40F1" w:rsidP="007D40F1">
      <w:pPr>
        <w:pStyle w:val="NoSpacing"/>
        <w:jc w:val="both"/>
        <w:rPr>
          <w:rFonts w:ascii="Garamond" w:hAnsi="Garamond"/>
          <w:b/>
          <w:bCs/>
          <w:i/>
          <w:iCs/>
          <w:sz w:val="24"/>
          <w:szCs w:val="24"/>
          <w:u w:val="single"/>
        </w:rPr>
      </w:pPr>
      <w:r w:rsidRPr="00BE60C3">
        <w:rPr>
          <w:rFonts w:ascii="Garamond" w:hAnsi="Garamond"/>
          <w:b/>
          <w:bCs/>
          <w:i/>
          <w:iCs/>
          <w:sz w:val="24"/>
          <w:szCs w:val="24"/>
          <w:u w:val="single"/>
        </w:rPr>
        <w:t>Federal Bank Ltd.</w:t>
      </w:r>
      <w:r w:rsidR="00415896" w:rsidRPr="00BE60C3">
        <w:rPr>
          <w:rFonts w:ascii="Garamond" w:hAnsi="Garamond"/>
          <w:b/>
          <w:bCs/>
          <w:i/>
          <w:iCs/>
          <w:sz w:val="24"/>
          <w:szCs w:val="24"/>
          <w:u w:val="single"/>
        </w:rPr>
        <w:t xml:space="preserve"> </w:t>
      </w:r>
      <w:r w:rsidRPr="00BE60C3">
        <w:rPr>
          <w:rFonts w:ascii="Garamond" w:hAnsi="Garamond"/>
          <w:b/>
          <w:bCs/>
          <w:i/>
          <w:iCs/>
          <w:sz w:val="24"/>
          <w:szCs w:val="24"/>
          <w:u w:val="single"/>
        </w:rPr>
        <w:t>v. ACIT (Ker)</w:t>
      </w:r>
    </w:p>
    <w:p w:rsidR="00517642" w:rsidRPr="006A1CF4" w:rsidRDefault="006A1CF4" w:rsidP="007D40F1">
      <w:pPr>
        <w:pStyle w:val="NoSpacing"/>
        <w:jc w:val="both"/>
        <w:rPr>
          <w:rFonts w:ascii="Garamond" w:hAnsi="Garamond"/>
          <w:sz w:val="24"/>
          <w:szCs w:val="24"/>
        </w:rPr>
      </w:pPr>
      <w:r>
        <w:rPr>
          <w:rFonts w:ascii="Garamond" w:hAnsi="Garamond"/>
          <w:sz w:val="24"/>
          <w:szCs w:val="24"/>
        </w:rPr>
        <w:t xml:space="preserve">HC held that communication device that EPABX &amp; mobile phones </w:t>
      </w:r>
      <w:r>
        <w:rPr>
          <w:rFonts w:ascii="Garamond" w:hAnsi="Garamond"/>
          <w:sz w:val="24"/>
          <w:szCs w:val="24"/>
          <w:u w:val="single"/>
        </w:rPr>
        <w:t>can’t be treated as computers</w:t>
      </w:r>
      <w:r>
        <w:rPr>
          <w:rFonts w:ascii="Garamond" w:hAnsi="Garamond"/>
          <w:sz w:val="24"/>
          <w:szCs w:val="24"/>
        </w:rPr>
        <w:t>. Hence communication devices are not entitled to higher depreciation @ 60%</w:t>
      </w:r>
    </w:p>
    <w:p w:rsidR="00225A09" w:rsidRDefault="00225A09" w:rsidP="00225A09">
      <w:pPr>
        <w:pStyle w:val="NoSpacing"/>
        <w:jc w:val="both"/>
        <w:rPr>
          <w:rFonts w:ascii="Garamond" w:hAnsi="Garamond"/>
          <w:sz w:val="24"/>
          <w:szCs w:val="24"/>
        </w:rPr>
      </w:pPr>
    </w:p>
    <w:p w:rsidR="00225A09" w:rsidRPr="00033A01" w:rsidRDefault="00225A09" w:rsidP="00225A09">
      <w:pPr>
        <w:pStyle w:val="Default"/>
        <w:jc w:val="both"/>
        <w:rPr>
          <w:rFonts w:ascii="Garamond" w:hAnsi="Garamond"/>
          <w:b/>
          <w:bCs/>
          <w:i/>
          <w:iCs/>
        </w:rPr>
      </w:pPr>
      <w:r w:rsidRPr="00033A01">
        <w:rPr>
          <w:rFonts w:ascii="Garamond" w:hAnsi="Garamond"/>
          <w:b/>
          <w:bCs/>
          <w:i/>
          <w:iCs/>
        </w:rPr>
        <w:t xml:space="preserve">Can winnings of prize money on unsold lottery tickets held by the distributor of lottery tickets be assessed as business income and be subject to normal rates of tax instead of the rates prescribed under section 11566? </w:t>
      </w:r>
    </w:p>
    <w:p w:rsidR="00225A09" w:rsidRPr="00EF55E3" w:rsidRDefault="00225A09" w:rsidP="00225A09">
      <w:pPr>
        <w:pStyle w:val="NoSpacing"/>
        <w:jc w:val="both"/>
        <w:rPr>
          <w:rFonts w:ascii="Garamond" w:hAnsi="Garamond"/>
          <w:b/>
          <w:bCs/>
          <w:i/>
          <w:iCs/>
          <w:sz w:val="24"/>
          <w:szCs w:val="24"/>
          <w:u w:val="single"/>
        </w:rPr>
      </w:pPr>
      <w:r w:rsidRPr="00EF55E3">
        <w:rPr>
          <w:rFonts w:ascii="Garamond" w:hAnsi="Garamond"/>
          <w:b/>
          <w:bCs/>
          <w:i/>
          <w:iCs/>
          <w:sz w:val="24"/>
          <w:szCs w:val="24"/>
          <w:u w:val="single"/>
        </w:rPr>
        <w:t>CIT v. Manjoo and Co. (Ker)</w:t>
      </w:r>
    </w:p>
    <w:p w:rsidR="00225A09" w:rsidRDefault="00B06FAD" w:rsidP="00225A09">
      <w:pPr>
        <w:pStyle w:val="NoSpacing"/>
        <w:jc w:val="both"/>
        <w:rPr>
          <w:rFonts w:ascii="Garamond" w:eastAsia="Times New Roman" w:hAnsi="Garamond" w:cs="Arial"/>
          <w:sz w:val="24"/>
          <w:szCs w:val="24"/>
        </w:rPr>
      </w:pPr>
      <w:r>
        <w:rPr>
          <w:rFonts w:ascii="Garamond" w:eastAsia="Times New Roman" w:hAnsi="Garamond" w:cs="Arial"/>
          <w:sz w:val="24"/>
          <w:szCs w:val="24"/>
        </w:rPr>
        <w:t>Winning of prize money on unsold lottery tickets held by the distributor of lottery tickets</w:t>
      </w:r>
      <w:r w:rsidR="00D926C4">
        <w:rPr>
          <w:rFonts w:ascii="Garamond" w:eastAsia="Times New Roman" w:hAnsi="Garamond" w:cs="Arial"/>
          <w:sz w:val="24"/>
          <w:szCs w:val="24"/>
        </w:rPr>
        <w:t xml:space="preserve"> will be subject to special rate of tax u/s 115BB, i.e. </w:t>
      </w:r>
      <w:r w:rsidR="00D926C4" w:rsidRPr="00F7031E">
        <w:rPr>
          <w:rFonts w:ascii="Garamond" w:eastAsia="Times New Roman" w:hAnsi="Garamond" w:cs="Arial"/>
          <w:sz w:val="24"/>
          <w:szCs w:val="24"/>
          <w:u w:val="single"/>
        </w:rPr>
        <w:t>30% would apply, irrespective of head under which such income falls</w:t>
      </w:r>
    </w:p>
    <w:p w:rsidR="00225A09" w:rsidRDefault="00225A09" w:rsidP="00225A09">
      <w:pPr>
        <w:pStyle w:val="NoSpacing"/>
        <w:jc w:val="both"/>
        <w:rPr>
          <w:rFonts w:ascii="Garamond" w:eastAsia="Times New Roman" w:hAnsi="Garamond" w:cs="Arial"/>
          <w:sz w:val="24"/>
          <w:szCs w:val="24"/>
        </w:rPr>
      </w:pPr>
    </w:p>
    <w:p w:rsidR="00904753" w:rsidRPr="005E5A62" w:rsidRDefault="00904753" w:rsidP="00904753">
      <w:pPr>
        <w:pStyle w:val="NoSpacing"/>
        <w:jc w:val="both"/>
        <w:rPr>
          <w:rFonts w:ascii="Garamond" w:hAnsi="Garamond"/>
          <w:b/>
          <w:bCs/>
          <w:i/>
          <w:iCs/>
          <w:sz w:val="24"/>
          <w:szCs w:val="24"/>
          <w:u w:val="single"/>
        </w:rPr>
      </w:pPr>
      <w:r w:rsidRPr="005E5A62">
        <w:rPr>
          <w:rFonts w:ascii="Garamond" w:hAnsi="Garamond"/>
          <w:b/>
          <w:bCs/>
          <w:i/>
          <w:iCs/>
          <w:sz w:val="24"/>
          <w:szCs w:val="24"/>
        </w:rPr>
        <w:t>Can discount given on supply of SIM cards and recharge coupons by a telecom company to its distributors under a prepaid scheme be treated as commission to attract the TDS provisions u/s194H?</w:t>
      </w:r>
    </w:p>
    <w:p w:rsidR="00904753" w:rsidRPr="005E5A62" w:rsidRDefault="00904753" w:rsidP="00904753">
      <w:pPr>
        <w:pStyle w:val="NoSpacing"/>
        <w:jc w:val="both"/>
        <w:rPr>
          <w:rFonts w:ascii="Garamond" w:hAnsi="Garamond"/>
          <w:b/>
          <w:bCs/>
          <w:i/>
          <w:iCs/>
          <w:sz w:val="24"/>
          <w:szCs w:val="24"/>
          <w:u w:val="single"/>
        </w:rPr>
      </w:pPr>
      <w:r w:rsidRPr="005E5A62">
        <w:rPr>
          <w:rFonts w:ascii="Garamond" w:hAnsi="Garamond"/>
          <w:b/>
          <w:bCs/>
          <w:i/>
          <w:iCs/>
          <w:sz w:val="24"/>
          <w:szCs w:val="24"/>
          <w:u w:val="single"/>
        </w:rPr>
        <w:t>Vodafone Essar Cellular Ltd.v. ACIT (TDS) (Ker)</w:t>
      </w:r>
    </w:p>
    <w:p w:rsidR="00904753" w:rsidRPr="00E37CC1" w:rsidRDefault="00904753" w:rsidP="00904753">
      <w:pPr>
        <w:pStyle w:val="NoSpacing"/>
        <w:jc w:val="both"/>
        <w:rPr>
          <w:rFonts w:ascii="Garamond" w:hAnsi="Garamond"/>
          <w:sz w:val="24"/>
          <w:szCs w:val="24"/>
          <w:u w:val="single"/>
        </w:rPr>
      </w:pPr>
      <w:r>
        <w:rPr>
          <w:rFonts w:ascii="Garamond" w:hAnsi="Garamond"/>
          <w:sz w:val="24"/>
          <w:szCs w:val="24"/>
        </w:rPr>
        <w:t xml:space="preserve">It is to be treated as commission u/s 194H on which </w:t>
      </w:r>
      <w:r>
        <w:rPr>
          <w:rFonts w:ascii="Garamond" w:hAnsi="Garamond"/>
          <w:sz w:val="24"/>
          <w:szCs w:val="24"/>
          <w:u w:val="single"/>
        </w:rPr>
        <w:t>tax is to be deducted</w:t>
      </w:r>
    </w:p>
    <w:p w:rsidR="00225A09" w:rsidRDefault="00225A09" w:rsidP="007D40F1">
      <w:pPr>
        <w:pStyle w:val="NoSpacing"/>
        <w:jc w:val="both"/>
        <w:rPr>
          <w:rFonts w:ascii="Garamond" w:hAnsi="Garamond"/>
          <w:sz w:val="24"/>
          <w:szCs w:val="24"/>
        </w:rPr>
      </w:pPr>
    </w:p>
    <w:p w:rsidR="00517642" w:rsidRPr="00651DF0" w:rsidRDefault="00651DF0" w:rsidP="00651DF0">
      <w:pPr>
        <w:pStyle w:val="Default"/>
        <w:jc w:val="both"/>
        <w:rPr>
          <w:rFonts w:ascii="Garamond" w:hAnsi="Garamond"/>
          <w:b/>
          <w:bCs/>
          <w:i/>
          <w:iCs/>
        </w:rPr>
      </w:pPr>
      <w:r w:rsidRPr="00651DF0">
        <w:rPr>
          <w:rFonts w:ascii="Garamond" w:hAnsi="Garamond"/>
          <w:b/>
          <w:bCs/>
          <w:i/>
          <w:iCs/>
        </w:rPr>
        <w:t>Can the waiver of principal amount of loan taken for purchase of capital asset by the bank be treated as "benefit arising out of business" or "a remission of trading liability" for taxability as business income of the company?</w:t>
      </w:r>
    </w:p>
    <w:p w:rsidR="007D40F1" w:rsidRPr="00C14EEC" w:rsidRDefault="007D40F1" w:rsidP="007D40F1">
      <w:pPr>
        <w:pStyle w:val="NoSpacing"/>
        <w:jc w:val="both"/>
        <w:rPr>
          <w:rFonts w:ascii="Garamond" w:hAnsi="Garamond"/>
          <w:b/>
          <w:bCs/>
          <w:i/>
          <w:iCs/>
          <w:sz w:val="24"/>
          <w:szCs w:val="24"/>
          <w:u w:val="single"/>
        </w:rPr>
      </w:pPr>
      <w:r w:rsidRPr="00C14EEC">
        <w:rPr>
          <w:rFonts w:ascii="Garamond" w:hAnsi="Garamond"/>
          <w:b/>
          <w:bCs/>
          <w:i/>
          <w:iCs/>
          <w:sz w:val="24"/>
          <w:szCs w:val="24"/>
          <w:u w:val="single"/>
        </w:rPr>
        <w:t>Iskraemeco Regent Ltd.</w:t>
      </w:r>
      <w:r w:rsidR="005C4D4B" w:rsidRPr="00C14EEC">
        <w:rPr>
          <w:rFonts w:ascii="Garamond" w:hAnsi="Garamond"/>
          <w:b/>
          <w:bCs/>
          <w:i/>
          <w:iCs/>
          <w:sz w:val="24"/>
          <w:szCs w:val="24"/>
          <w:u w:val="single"/>
        </w:rPr>
        <w:t xml:space="preserve"> </w:t>
      </w:r>
      <w:r w:rsidRPr="00C14EEC">
        <w:rPr>
          <w:rFonts w:ascii="Garamond" w:hAnsi="Garamond"/>
          <w:b/>
          <w:bCs/>
          <w:i/>
          <w:iCs/>
          <w:sz w:val="24"/>
          <w:szCs w:val="24"/>
          <w:u w:val="single"/>
        </w:rPr>
        <w:t>v. CIT (Mad)</w:t>
      </w:r>
    </w:p>
    <w:p w:rsidR="00B31CF8" w:rsidRDefault="005C4D4B" w:rsidP="007D40F1">
      <w:pPr>
        <w:pStyle w:val="NoSpacing"/>
        <w:jc w:val="both"/>
        <w:rPr>
          <w:rFonts w:ascii="Garamond" w:hAnsi="Garamond"/>
          <w:sz w:val="24"/>
          <w:szCs w:val="24"/>
        </w:rPr>
      </w:pPr>
      <w:r>
        <w:rPr>
          <w:rFonts w:ascii="Garamond" w:hAnsi="Garamond"/>
          <w:sz w:val="24"/>
          <w:szCs w:val="24"/>
        </w:rPr>
        <w:t>Waiver of a portion of a loan for purchase of capital asset, would not amount to remission of trading liability u/s 41(1)</w:t>
      </w:r>
    </w:p>
    <w:p w:rsidR="00651DF0" w:rsidRDefault="005C4D4B" w:rsidP="007D40F1">
      <w:pPr>
        <w:pStyle w:val="NoSpacing"/>
        <w:jc w:val="both"/>
        <w:rPr>
          <w:rFonts w:ascii="Garamond" w:hAnsi="Garamond"/>
          <w:sz w:val="24"/>
          <w:szCs w:val="24"/>
        </w:rPr>
      </w:pPr>
      <w:r>
        <w:rPr>
          <w:rFonts w:ascii="Garamond" w:hAnsi="Garamond"/>
          <w:sz w:val="24"/>
          <w:szCs w:val="24"/>
        </w:rPr>
        <w:t>Such waiver cannot be treated as a benefit arising out of business &amp; consequently sec 28(iv) will not apply for such loan transaction</w:t>
      </w:r>
      <w:r w:rsidR="009E018D">
        <w:rPr>
          <w:rFonts w:ascii="Garamond" w:hAnsi="Garamond"/>
          <w:sz w:val="24"/>
          <w:szCs w:val="24"/>
        </w:rPr>
        <w:t xml:space="preserve"> </w:t>
      </w:r>
    </w:p>
    <w:p w:rsidR="00FC7E07" w:rsidRDefault="00FC7E07" w:rsidP="007D40F1">
      <w:pPr>
        <w:pStyle w:val="NoSpacing"/>
        <w:jc w:val="both"/>
        <w:rPr>
          <w:rFonts w:ascii="Garamond" w:hAnsi="Garamond"/>
          <w:sz w:val="24"/>
          <w:szCs w:val="24"/>
        </w:rPr>
      </w:pPr>
    </w:p>
    <w:p w:rsidR="00FC7E07" w:rsidRPr="00FC7E07" w:rsidRDefault="00FC7E07" w:rsidP="00FC7E07">
      <w:pPr>
        <w:pStyle w:val="Default"/>
        <w:jc w:val="both"/>
        <w:rPr>
          <w:rFonts w:ascii="Garamond" w:hAnsi="Garamond"/>
          <w:b/>
          <w:bCs/>
          <w:i/>
          <w:iCs/>
          <w:u w:val="single"/>
        </w:rPr>
      </w:pPr>
      <w:r w:rsidRPr="00FC7E07">
        <w:rPr>
          <w:rFonts w:ascii="Garamond" w:hAnsi="Garamond"/>
          <w:b/>
          <w:bCs/>
          <w:i/>
          <w:iCs/>
        </w:rPr>
        <w:lastRenderedPageBreak/>
        <w:t xml:space="preserve">Would the procurements of parts and assembling them to make windmill fall within the meaning of "manufacture" and "production" to be entitled for deduction under section 8016? </w:t>
      </w:r>
    </w:p>
    <w:p w:rsidR="00FC7E07" w:rsidRPr="00FC7E07" w:rsidRDefault="00FC7E07" w:rsidP="00FC7E07">
      <w:pPr>
        <w:pStyle w:val="NoSpacing"/>
        <w:jc w:val="both"/>
        <w:rPr>
          <w:rFonts w:ascii="Garamond" w:hAnsi="Garamond"/>
          <w:b/>
          <w:bCs/>
          <w:i/>
          <w:iCs/>
          <w:sz w:val="24"/>
          <w:szCs w:val="24"/>
          <w:u w:val="single"/>
        </w:rPr>
      </w:pPr>
      <w:r w:rsidRPr="00FC7E07">
        <w:rPr>
          <w:rFonts w:ascii="Garamond" w:hAnsi="Garamond"/>
          <w:b/>
          <w:bCs/>
          <w:i/>
          <w:iCs/>
          <w:sz w:val="24"/>
          <w:szCs w:val="24"/>
          <w:u w:val="single"/>
        </w:rPr>
        <w:t>CIT v. Chiranjjeevi Wind Energy Ltd. (Mad)</w:t>
      </w:r>
    </w:p>
    <w:p w:rsidR="00FC7E07" w:rsidRDefault="00FC7E07" w:rsidP="00FC7E07">
      <w:pPr>
        <w:pStyle w:val="NoSpacing"/>
        <w:jc w:val="both"/>
        <w:rPr>
          <w:rFonts w:ascii="Garamond" w:hAnsi="Garamond"/>
          <w:sz w:val="24"/>
          <w:szCs w:val="24"/>
        </w:rPr>
      </w:pPr>
      <w:r>
        <w:rPr>
          <w:rFonts w:ascii="Garamond" w:hAnsi="Garamond"/>
          <w:sz w:val="24"/>
          <w:szCs w:val="24"/>
        </w:rPr>
        <w:t>Different parts procured couldn’t be treated as a windmill individually. These different parts had distinctive names &amp; only when assembled together they gets transformed into an ultimate commercially known product called windmill. Thus such activity amounts to manufacture as well as production of a thing/article to qualify for deduction u/s 80 IB</w:t>
      </w:r>
    </w:p>
    <w:p w:rsidR="00890461" w:rsidRDefault="00890461" w:rsidP="007D40F1">
      <w:pPr>
        <w:pStyle w:val="NoSpacing"/>
        <w:jc w:val="both"/>
        <w:rPr>
          <w:rFonts w:ascii="Garamond" w:hAnsi="Garamond"/>
          <w:sz w:val="24"/>
          <w:szCs w:val="24"/>
        </w:rPr>
      </w:pPr>
    </w:p>
    <w:p w:rsidR="00890461" w:rsidRPr="00582C6F" w:rsidRDefault="001B4290" w:rsidP="007D40F1">
      <w:pPr>
        <w:pStyle w:val="NoSpacing"/>
        <w:jc w:val="both"/>
        <w:rPr>
          <w:rFonts w:ascii="Garamond" w:hAnsi="Garamond"/>
          <w:b/>
          <w:bCs/>
          <w:i/>
          <w:iCs/>
          <w:sz w:val="24"/>
          <w:szCs w:val="24"/>
        </w:rPr>
      </w:pPr>
      <w:r w:rsidRPr="00582C6F">
        <w:rPr>
          <w:rFonts w:ascii="Garamond" w:hAnsi="Garamond"/>
          <w:b/>
          <w:bCs/>
          <w:i/>
          <w:iCs/>
          <w:sz w:val="24"/>
          <w:szCs w:val="24"/>
        </w:rPr>
        <w:t>Would grant of transport subsidy, interest subsidy and refund of excise duty qualify for deduction under section 80-IB?</w:t>
      </w:r>
    </w:p>
    <w:p w:rsidR="007D40F1" w:rsidRPr="001B4290" w:rsidRDefault="007D40F1" w:rsidP="007D40F1">
      <w:pPr>
        <w:pStyle w:val="NoSpacing"/>
        <w:jc w:val="both"/>
        <w:rPr>
          <w:rFonts w:ascii="Garamond" w:hAnsi="Garamond"/>
          <w:b/>
          <w:bCs/>
          <w:i/>
          <w:iCs/>
          <w:sz w:val="24"/>
          <w:szCs w:val="24"/>
          <w:u w:val="single"/>
        </w:rPr>
      </w:pPr>
      <w:r w:rsidRPr="001B4290">
        <w:rPr>
          <w:rFonts w:ascii="Garamond" w:hAnsi="Garamond"/>
          <w:b/>
          <w:bCs/>
          <w:i/>
          <w:iCs/>
          <w:sz w:val="24"/>
          <w:szCs w:val="24"/>
          <w:u w:val="single"/>
        </w:rPr>
        <w:t>CIT v. Meghalaya Steels Ltd. (Gauhati)</w:t>
      </w:r>
    </w:p>
    <w:p w:rsidR="001B4290" w:rsidRDefault="00E50B2E" w:rsidP="007D40F1">
      <w:pPr>
        <w:pStyle w:val="NoSpacing"/>
        <w:jc w:val="both"/>
        <w:rPr>
          <w:rFonts w:ascii="Garamond" w:hAnsi="Garamond"/>
          <w:sz w:val="24"/>
          <w:szCs w:val="24"/>
        </w:rPr>
      </w:pPr>
      <w:r>
        <w:rPr>
          <w:rFonts w:ascii="Garamond" w:hAnsi="Garamond"/>
          <w:sz w:val="24"/>
          <w:szCs w:val="24"/>
        </w:rPr>
        <w:t>Transport subsidy &amp; interest subsidy were revenue receipts, granted after setting up of new industries &amp; commencement of product. It has no nexus with P/G derived from industry activity. Hence subsidies are not eligible for deduction u/s 80IB</w:t>
      </w:r>
    </w:p>
    <w:p w:rsidR="00E50B2E" w:rsidRDefault="00E50B2E" w:rsidP="007D40F1">
      <w:pPr>
        <w:pStyle w:val="NoSpacing"/>
        <w:jc w:val="both"/>
        <w:rPr>
          <w:rFonts w:ascii="Garamond" w:hAnsi="Garamond"/>
          <w:sz w:val="24"/>
          <w:szCs w:val="24"/>
        </w:rPr>
      </w:pPr>
      <w:r>
        <w:rPr>
          <w:rFonts w:ascii="Garamond" w:hAnsi="Garamond"/>
          <w:sz w:val="24"/>
          <w:szCs w:val="24"/>
        </w:rPr>
        <w:t>Payment of excise duty &amp; refund of excise duty had direct nexus with manufacturing activity, being a profit linked incentive. Payment of excise duty had to be taken into account for the purpose of sec 80IB</w:t>
      </w:r>
    </w:p>
    <w:p w:rsidR="001B4290" w:rsidRDefault="001B4290" w:rsidP="007D40F1">
      <w:pPr>
        <w:pStyle w:val="NoSpacing"/>
        <w:jc w:val="both"/>
        <w:rPr>
          <w:rFonts w:ascii="Garamond" w:hAnsi="Garamond"/>
          <w:sz w:val="24"/>
          <w:szCs w:val="24"/>
        </w:rPr>
      </w:pPr>
    </w:p>
    <w:p w:rsidR="001B4290" w:rsidRPr="00626522" w:rsidRDefault="00626522" w:rsidP="00626522">
      <w:pPr>
        <w:pStyle w:val="NoSpacing"/>
        <w:jc w:val="both"/>
        <w:rPr>
          <w:rFonts w:ascii="Garamond" w:hAnsi="Garamond"/>
          <w:b/>
          <w:bCs/>
          <w:i/>
          <w:iCs/>
          <w:sz w:val="24"/>
          <w:szCs w:val="24"/>
        </w:rPr>
      </w:pPr>
      <w:r w:rsidRPr="00626522">
        <w:rPr>
          <w:rFonts w:ascii="Garamond" w:hAnsi="Garamond"/>
          <w:b/>
          <w:bCs/>
          <w:i/>
          <w:iCs/>
          <w:sz w:val="24"/>
          <w:szCs w:val="24"/>
        </w:rPr>
        <w:t>Would non-resident match referees and umpires in the games played in India fall within the meaning of sportsmen to attract taxability u/s 115BBA, and consequently attract the TDS provisions u/s 194E in the hands of the payer?</w:t>
      </w:r>
    </w:p>
    <w:p w:rsidR="007D40F1" w:rsidRPr="00626522" w:rsidRDefault="007D40F1" w:rsidP="007D40F1">
      <w:pPr>
        <w:pStyle w:val="NoSpacing"/>
        <w:jc w:val="both"/>
        <w:rPr>
          <w:rFonts w:ascii="Garamond" w:hAnsi="Garamond"/>
          <w:b/>
          <w:bCs/>
          <w:i/>
          <w:iCs/>
          <w:sz w:val="24"/>
          <w:szCs w:val="24"/>
          <w:u w:val="single"/>
        </w:rPr>
      </w:pPr>
      <w:r w:rsidRPr="00626522">
        <w:rPr>
          <w:rFonts w:ascii="Garamond" w:hAnsi="Garamond"/>
          <w:b/>
          <w:bCs/>
          <w:i/>
          <w:iCs/>
          <w:sz w:val="24"/>
          <w:szCs w:val="24"/>
          <w:u w:val="single"/>
        </w:rPr>
        <w:t>Indcom v. Commissioner of Income-tax (TDS) (Cal)</w:t>
      </w:r>
    </w:p>
    <w:p w:rsidR="00321D62" w:rsidRDefault="00E867BC" w:rsidP="007D40F1">
      <w:pPr>
        <w:pStyle w:val="NoSpacing"/>
        <w:jc w:val="both"/>
        <w:rPr>
          <w:rFonts w:ascii="Garamond" w:hAnsi="Garamond"/>
          <w:sz w:val="24"/>
          <w:szCs w:val="24"/>
        </w:rPr>
      </w:pPr>
      <w:r>
        <w:rPr>
          <w:rFonts w:ascii="Garamond" w:hAnsi="Garamond"/>
          <w:sz w:val="24"/>
          <w:szCs w:val="24"/>
        </w:rPr>
        <w:t xml:space="preserve">Umpires &amp; match referees cannot be said to be either non resident sportsmen (including athlete) or non resident sports association/institution to attract provision of sec 115BBA &amp; 194E. Further sec 194F also does not cover non-resident match referees &amp; umpires (as professionals) because sec 194F are attracted only in case where the deductee is a resident individual. </w:t>
      </w:r>
    </w:p>
    <w:p w:rsidR="00D07F89" w:rsidRDefault="00D07F89" w:rsidP="007D40F1">
      <w:pPr>
        <w:pStyle w:val="NoSpacing"/>
        <w:jc w:val="both"/>
        <w:rPr>
          <w:rFonts w:ascii="Garamond" w:hAnsi="Garamond"/>
          <w:sz w:val="24"/>
          <w:szCs w:val="24"/>
        </w:rPr>
      </w:pPr>
      <w:r>
        <w:rPr>
          <w:rFonts w:ascii="Garamond" w:hAnsi="Garamond"/>
          <w:sz w:val="24"/>
          <w:szCs w:val="24"/>
        </w:rPr>
        <w:t>However income has accrued &amp; arisen in India to non resident match referees &amp; umpires, TDS provision of 195 would be attracted &amp;</w:t>
      </w:r>
      <w:r w:rsidR="003C0B2B">
        <w:rPr>
          <w:rFonts w:ascii="Garamond" w:hAnsi="Garamond"/>
          <w:sz w:val="24"/>
          <w:szCs w:val="24"/>
        </w:rPr>
        <w:t xml:space="preserve"> tax would be deductible at the rates in force [i.e. not tax deductible u/s 194E, but under 195]</w:t>
      </w:r>
    </w:p>
    <w:p w:rsidR="00F11428" w:rsidRDefault="00F11428" w:rsidP="007D40F1">
      <w:pPr>
        <w:pStyle w:val="NoSpacing"/>
        <w:jc w:val="both"/>
        <w:rPr>
          <w:rFonts w:ascii="Garamond" w:hAnsi="Garamond"/>
          <w:sz w:val="24"/>
          <w:szCs w:val="24"/>
        </w:rPr>
      </w:pPr>
    </w:p>
    <w:p w:rsidR="00321D62" w:rsidRPr="00321D62" w:rsidRDefault="00321D62" w:rsidP="00321D62">
      <w:pPr>
        <w:pStyle w:val="Default"/>
        <w:jc w:val="both"/>
        <w:rPr>
          <w:rFonts w:ascii="Garamond" w:hAnsi="Garamond"/>
          <w:b/>
          <w:bCs/>
          <w:i/>
          <w:iCs/>
        </w:rPr>
      </w:pPr>
      <w:r w:rsidRPr="00321D62">
        <w:rPr>
          <w:rFonts w:ascii="Garamond" w:hAnsi="Garamond"/>
          <w:b/>
          <w:bCs/>
          <w:i/>
          <w:iCs/>
        </w:rPr>
        <w:t>In case of change of incumbent of an office, can the successor Assessing Officer initiate reassessment proceedings on the ground of change of opinion in relation to an issue which the predecessor Assessing Officer, who had framed the original assessment, had already applied his mind and come to a conclusion?</w:t>
      </w:r>
    </w:p>
    <w:p w:rsidR="007D40F1" w:rsidRPr="00A853AE" w:rsidRDefault="007D40F1" w:rsidP="007D40F1">
      <w:pPr>
        <w:pStyle w:val="NoSpacing"/>
        <w:jc w:val="both"/>
        <w:rPr>
          <w:rFonts w:ascii="Garamond" w:hAnsi="Garamond"/>
          <w:b/>
          <w:bCs/>
          <w:i/>
          <w:iCs/>
          <w:sz w:val="24"/>
          <w:szCs w:val="24"/>
          <w:u w:val="single"/>
        </w:rPr>
      </w:pPr>
      <w:r w:rsidRPr="00A853AE">
        <w:rPr>
          <w:rFonts w:ascii="Garamond" w:hAnsi="Garamond"/>
          <w:b/>
          <w:bCs/>
          <w:i/>
          <w:iCs/>
          <w:sz w:val="24"/>
          <w:szCs w:val="24"/>
          <w:u w:val="single"/>
        </w:rPr>
        <w:t>H.K. Buildcon Ltd.</w:t>
      </w:r>
      <w:r w:rsidR="00321D62" w:rsidRPr="00A853AE">
        <w:rPr>
          <w:rFonts w:ascii="Garamond" w:hAnsi="Garamond"/>
          <w:b/>
          <w:bCs/>
          <w:i/>
          <w:iCs/>
          <w:sz w:val="24"/>
          <w:szCs w:val="24"/>
          <w:u w:val="single"/>
        </w:rPr>
        <w:t xml:space="preserve"> </w:t>
      </w:r>
      <w:r w:rsidRPr="00A853AE">
        <w:rPr>
          <w:rFonts w:ascii="Garamond" w:hAnsi="Garamond"/>
          <w:b/>
          <w:bCs/>
          <w:i/>
          <w:iCs/>
          <w:sz w:val="24"/>
          <w:szCs w:val="24"/>
          <w:u w:val="single"/>
        </w:rPr>
        <w:t>v. Income-tax Officer (Guj)</w:t>
      </w:r>
    </w:p>
    <w:p w:rsidR="00321D62" w:rsidRDefault="00321D62" w:rsidP="007D40F1">
      <w:pPr>
        <w:pStyle w:val="NoSpacing"/>
        <w:jc w:val="both"/>
        <w:rPr>
          <w:rFonts w:ascii="Garamond" w:hAnsi="Garamond"/>
          <w:sz w:val="24"/>
          <w:szCs w:val="24"/>
        </w:rPr>
      </w:pPr>
      <w:r>
        <w:rPr>
          <w:rFonts w:ascii="Garamond" w:hAnsi="Garamond"/>
          <w:sz w:val="24"/>
          <w:szCs w:val="24"/>
        </w:rPr>
        <w:t>AO has the power only to reassess &amp; not to review. HC observed that in this case, there was nothing on record to show that income had escaped assessment i.r.o which successor AO received information subsequently from an external source</w:t>
      </w:r>
    </w:p>
    <w:p w:rsidR="00321D62" w:rsidRDefault="00321D62" w:rsidP="007D40F1">
      <w:pPr>
        <w:pStyle w:val="NoSpacing"/>
        <w:jc w:val="both"/>
        <w:rPr>
          <w:rFonts w:ascii="Garamond" w:hAnsi="Garamond"/>
          <w:sz w:val="24"/>
          <w:szCs w:val="24"/>
        </w:rPr>
      </w:pPr>
      <w:r>
        <w:rPr>
          <w:rFonts w:ascii="Garamond" w:hAnsi="Garamond"/>
          <w:sz w:val="24"/>
          <w:szCs w:val="24"/>
        </w:rPr>
        <w:t xml:space="preserve">Notice of reassessment was therefore </w:t>
      </w:r>
      <w:r w:rsidRPr="00B658FA">
        <w:rPr>
          <w:rFonts w:ascii="Garamond" w:hAnsi="Garamond"/>
          <w:sz w:val="24"/>
          <w:szCs w:val="24"/>
          <w:u w:val="single"/>
        </w:rPr>
        <w:t>not valid</w:t>
      </w:r>
    </w:p>
    <w:p w:rsidR="00321D62" w:rsidRDefault="00321D62" w:rsidP="007D40F1">
      <w:pPr>
        <w:pStyle w:val="NoSpacing"/>
        <w:jc w:val="both"/>
        <w:rPr>
          <w:rFonts w:ascii="Garamond" w:hAnsi="Garamond"/>
          <w:sz w:val="24"/>
          <w:szCs w:val="24"/>
        </w:rPr>
      </w:pPr>
    </w:p>
    <w:p w:rsidR="00321D62" w:rsidRPr="0012656B" w:rsidRDefault="00321D62" w:rsidP="00321D62">
      <w:pPr>
        <w:pStyle w:val="Default"/>
        <w:jc w:val="both"/>
        <w:rPr>
          <w:rFonts w:ascii="Garamond" w:hAnsi="Garamond"/>
          <w:b/>
          <w:bCs/>
          <w:i/>
          <w:iCs/>
        </w:rPr>
      </w:pPr>
      <w:r w:rsidRPr="0012656B">
        <w:rPr>
          <w:rFonts w:ascii="Garamond" w:hAnsi="Garamond"/>
          <w:b/>
          <w:bCs/>
          <w:i/>
          <w:iCs/>
        </w:rPr>
        <w:t>Can the payment made to contractors for hiring dumpers, by an assessee engaged in transportation of building material, be treated as rent for machinery or equipment to attract provisions of tax deduction at source under section 194-I?</w:t>
      </w:r>
    </w:p>
    <w:p w:rsidR="00321D62" w:rsidRPr="00A853AE" w:rsidRDefault="00321D62" w:rsidP="00321D62">
      <w:pPr>
        <w:pStyle w:val="NoSpacing"/>
        <w:jc w:val="both"/>
        <w:rPr>
          <w:rFonts w:ascii="Garamond" w:hAnsi="Garamond"/>
          <w:b/>
          <w:bCs/>
          <w:i/>
          <w:iCs/>
          <w:sz w:val="24"/>
          <w:szCs w:val="24"/>
          <w:u w:val="single"/>
        </w:rPr>
      </w:pPr>
      <w:r w:rsidRPr="00A853AE">
        <w:rPr>
          <w:rFonts w:ascii="Garamond" w:hAnsi="Garamond"/>
          <w:b/>
          <w:bCs/>
          <w:i/>
          <w:iCs/>
          <w:sz w:val="24"/>
          <w:szCs w:val="24"/>
          <w:u w:val="single"/>
        </w:rPr>
        <w:t>CIT (TDS) v. Shree Mahalaxmi Transport Co. (Guj)</w:t>
      </w:r>
    </w:p>
    <w:p w:rsidR="00321D62" w:rsidRDefault="00321D62" w:rsidP="00321D62">
      <w:pPr>
        <w:pStyle w:val="NoSpacing"/>
        <w:jc w:val="both"/>
        <w:rPr>
          <w:rFonts w:ascii="Garamond" w:hAnsi="Garamond"/>
          <w:sz w:val="24"/>
          <w:szCs w:val="24"/>
        </w:rPr>
      </w:pPr>
      <w:r>
        <w:rPr>
          <w:rFonts w:ascii="Garamond" w:hAnsi="Garamond"/>
          <w:sz w:val="24"/>
          <w:szCs w:val="24"/>
        </w:rPr>
        <w:t xml:space="preserve">Since assessee had given sub contracts to parties for transportation of goods &amp; has not taken machinery &amp; equipment for rent, such payment cannot be termed as rent for use of machinery &amp; section 194-I </w:t>
      </w:r>
      <w:r>
        <w:rPr>
          <w:rFonts w:ascii="Garamond" w:hAnsi="Garamond"/>
          <w:sz w:val="24"/>
          <w:szCs w:val="24"/>
          <w:u w:val="single"/>
        </w:rPr>
        <w:t>will not be applicable</w:t>
      </w:r>
    </w:p>
    <w:p w:rsidR="00321D62" w:rsidRDefault="00321D62"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F11428" w:rsidRPr="00F11428" w:rsidRDefault="00F11428" w:rsidP="00F11428">
      <w:pPr>
        <w:pStyle w:val="NoSpacing"/>
        <w:jc w:val="both"/>
        <w:rPr>
          <w:rFonts w:ascii="Garamond" w:hAnsi="Garamond"/>
          <w:b/>
          <w:bCs/>
          <w:i/>
          <w:iCs/>
          <w:sz w:val="24"/>
          <w:szCs w:val="24"/>
        </w:rPr>
      </w:pPr>
      <w:r w:rsidRPr="00F11428">
        <w:rPr>
          <w:rFonts w:ascii="Garamond" w:hAnsi="Garamond"/>
          <w:b/>
          <w:bCs/>
          <w:i/>
          <w:iCs/>
          <w:sz w:val="24"/>
          <w:szCs w:val="24"/>
        </w:rPr>
        <w:lastRenderedPageBreak/>
        <w:t>Would the words "shall be issued" used in section 149 mean 'mere signing of notice by the Assessing Officer' or 'handing over of the said notice in the hands of the proper officer for serving it to the assessee' to constitute a valid notice issued within the prescribed time limit?</w:t>
      </w:r>
    </w:p>
    <w:p w:rsidR="00F11428" w:rsidRPr="00F11428" w:rsidRDefault="00F11428" w:rsidP="00F11428">
      <w:pPr>
        <w:pStyle w:val="NoSpacing"/>
        <w:jc w:val="both"/>
        <w:rPr>
          <w:rFonts w:ascii="Garamond" w:hAnsi="Garamond"/>
          <w:b/>
          <w:bCs/>
          <w:i/>
          <w:iCs/>
          <w:sz w:val="24"/>
          <w:szCs w:val="24"/>
          <w:u w:val="single"/>
        </w:rPr>
      </w:pPr>
      <w:r w:rsidRPr="00F11428">
        <w:rPr>
          <w:rFonts w:ascii="Garamond" w:hAnsi="Garamond"/>
          <w:b/>
          <w:bCs/>
          <w:i/>
          <w:iCs/>
          <w:sz w:val="24"/>
          <w:szCs w:val="24"/>
          <w:u w:val="single"/>
        </w:rPr>
        <w:t>Kanubhai M. Patel (HUF) v. Hiren Bhatt or his successors to Office (Guj)</w:t>
      </w:r>
    </w:p>
    <w:p w:rsidR="007F2DD1" w:rsidRDefault="00692D9F" w:rsidP="007D40F1">
      <w:pPr>
        <w:pStyle w:val="NoSpacing"/>
        <w:jc w:val="both"/>
        <w:rPr>
          <w:rFonts w:ascii="Garamond" w:hAnsi="Garamond"/>
          <w:sz w:val="24"/>
          <w:szCs w:val="24"/>
        </w:rPr>
      </w:pPr>
      <w:r w:rsidRPr="00692D9F">
        <w:rPr>
          <w:rFonts w:ascii="Garamond" w:hAnsi="Garamond"/>
          <w:sz w:val="24"/>
          <w:szCs w:val="24"/>
        </w:rPr>
        <w:t>Would the words "</w:t>
      </w:r>
      <w:r w:rsidR="007F2DD1">
        <w:rPr>
          <w:rFonts w:ascii="Garamond" w:hAnsi="Garamond"/>
          <w:sz w:val="24"/>
          <w:szCs w:val="24"/>
        </w:rPr>
        <w:t>shall be issued" used in sec</w:t>
      </w:r>
      <w:r w:rsidRPr="00692D9F">
        <w:rPr>
          <w:rFonts w:ascii="Garamond" w:hAnsi="Garamond"/>
          <w:sz w:val="24"/>
          <w:szCs w:val="24"/>
        </w:rPr>
        <w:t xml:space="preserve"> 149 </w:t>
      </w:r>
      <w:r w:rsidR="007F2DD1" w:rsidRPr="007F2DD1">
        <w:rPr>
          <w:rFonts w:ascii="Garamond" w:hAnsi="Garamond"/>
          <w:sz w:val="24"/>
          <w:szCs w:val="24"/>
          <w:u w:val="single"/>
        </w:rPr>
        <w:t xml:space="preserve">would not </w:t>
      </w:r>
      <w:r w:rsidRPr="007F2DD1">
        <w:rPr>
          <w:rFonts w:ascii="Garamond" w:hAnsi="Garamond"/>
          <w:sz w:val="24"/>
          <w:szCs w:val="24"/>
          <w:u w:val="single"/>
        </w:rPr>
        <w:t>mean</w:t>
      </w:r>
      <w:r w:rsidRPr="00692D9F">
        <w:rPr>
          <w:rFonts w:ascii="Garamond" w:hAnsi="Garamond"/>
          <w:sz w:val="24"/>
          <w:szCs w:val="24"/>
        </w:rPr>
        <w:t xml:space="preserve"> 'mere signing of </w:t>
      </w:r>
      <w:r>
        <w:rPr>
          <w:rFonts w:ascii="Garamond" w:hAnsi="Garamond"/>
          <w:sz w:val="24"/>
          <w:szCs w:val="24"/>
        </w:rPr>
        <w:t>notice by the AO</w:t>
      </w:r>
      <w:r w:rsidR="007F2DD1">
        <w:rPr>
          <w:rFonts w:ascii="Garamond" w:hAnsi="Garamond"/>
          <w:sz w:val="24"/>
          <w:szCs w:val="24"/>
        </w:rPr>
        <w:t>, but it is necessary to ‘hand over of the said notice in the hands of proper officer for serving it to the assessee’ to constitute a valid notice issued within the prescribed time limit (i.e. date of dispatch will be date of issue)</w:t>
      </w:r>
    </w:p>
    <w:p w:rsidR="00F11428" w:rsidRPr="00692D9F" w:rsidRDefault="007F2DD1" w:rsidP="007D40F1">
      <w:pPr>
        <w:pStyle w:val="NoSpacing"/>
        <w:jc w:val="both"/>
        <w:rPr>
          <w:rFonts w:ascii="Garamond" w:hAnsi="Garamond"/>
          <w:sz w:val="24"/>
          <w:szCs w:val="24"/>
        </w:rPr>
      </w:pPr>
      <w:r>
        <w:rPr>
          <w:rFonts w:ascii="Garamond" w:hAnsi="Garamond"/>
          <w:sz w:val="24"/>
          <w:szCs w:val="24"/>
        </w:rPr>
        <w:t>[ notice will be time barred by limitation if issued after 6years from the end of relevant AY]</w:t>
      </w:r>
    </w:p>
    <w:p w:rsidR="008E37EC" w:rsidRDefault="008E37EC" w:rsidP="007D40F1">
      <w:pPr>
        <w:pStyle w:val="NoSpacing"/>
        <w:jc w:val="both"/>
        <w:rPr>
          <w:rFonts w:ascii="Garamond" w:hAnsi="Garamond"/>
          <w:sz w:val="24"/>
          <w:szCs w:val="24"/>
        </w:rPr>
      </w:pPr>
    </w:p>
    <w:p w:rsidR="00321D62" w:rsidRPr="00E627DD" w:rsidRDefault="00743B22" w:rsidP="00743B22">
      <w:pPr>
        <w:pStyle w:val="NoSpacing"/>
        <w:jc w:val="both"/>
        <w:rPr>
          <w:rFonts w:ascii="Garamond" w:hAnsi="Garamond"/>
          <w:b/>
          <w:bCs/>
          <w:i/>
          <w:iCs/>
          <w:sz w:val="24"/>
          <w:szCs w:val="24"/>
        </w:rPr>
      </w:pPr>
      <w:r w:rsidRPr="00E627DD">
        <w:rPr>
          <w:rFonts w:ascii="Garamond" w:hAnsi="Garamond"/>
          <w:b/>
          <w:bCs/>
          <w:i/>
          <w:iCs/>
          <w:sz w:val="24"/>
          <w:szCs w:val="24"/>
        </w:rPr>
        <w:t>Can the Assessing Officer issue notice u/s 154 to rectify a mistake apparent from record in the intimation u/s 143(1), after issue of a valid notice u/s 143(2)?</w:t>
      </w:r>
    </w:p>
    <w:p w:rsidR="007D40F1" w:rsidRPr="00E627DD" w:rsidRDefault="007D40F1" w:rsidP="007D40F1">
      <w:pPr>
        <w:pStyle w:val="NoSpacing"/>
        <w:jc w:val="both"/>
        <w:rPr>
          <w:rFonts w:ascii="Garamond" w:hAnsi="Garamond"/>
          <w:b/>
          <w:bCs/>
          <w:i/>
          <w:iCs/>
          <w:sz w:val="24"/>
          <w:szCs w:val="24"/>
          <w:u w:val="single"/>
        </w:rPr>
      </w:pPr>
      <w:r w:rsidRPr="00E627DD">
        <w:rPr>
          <w:rFonts w:ascii="Garamond" w:hAnsi="Garamond"/>
          <w:b/>
          <w:bCs/>
          <w:i/>
          <w:iCs/>
          <w:sz w:val="24"/>
          <w:szCs w:val="24"/>
          <w:u w:val="single"/>
        </w:rPr>
        <w:t>CIT v. Haryana State Handloom and Handicrafts Corporation Ltd. (P&amp;H)</w:t>
      </w:r>
    </w:p>
    <w:p w:rsidR="00163E30" w:rsidRDefault="00943C5D" w:rsidP="007D40F1">
      <w:pPr>
        <w:pStyle w:val="NoSpacing"/>
        <w:jc w:val="both"/>
        <w:rPr>
          <w:rFonts w:ascii="Garamond" w:hAnsi="Garamond"/>
          <w:sz w:val="24"/>
          <w:szCs w:val="24"/>
        </w:rPr>
      </w:pPr>
      <w:r>
        <w:rPr>
          <w:rFonts w:ascii="Garamond" w:hAnsi="Garamond"/>
          <w:sz w:val="24"/>
          <w:szCs w:val="24"/>
        </w:rPr>
        <w:t xml:space="preserve">Proceedings u/s 154 for rectification of intimation u/s 143(1) </w:t>
      </w:r>
      <w:r>
        <w:rPr>
          <w:rFonts w:ascii="Garamond" w:hAnsi="Garamond"/>
          <w:sz w:val="24"/>
          <w:szCs w:val="24"/>
          <w:u w:val="single"/>
        </w:rPr>
        <w:t>cannot</w:t>
      </w:r>
      <w:r>
        <w:rPr>
          <w:rFonts w:ascii="Garamond" w:hAnsi="Garamond"/>
          <w:sz w:val="24"/>
          <w:szCs w:val="24"/>
        </w:rPr>
        <w:t xml:space="preserve"> be </w:t>
      </w:r>
      <w:r w:rsidR="00D67EE1">
        <w:rPr>
          <w:rFonts w:ascii="Garamond" w:hAnsi="Garamond"/>
          <w:sz w:val="24"/>
          <w:szCs w:val="24"/>
        </w:rPr>
        <w:t>initiated after issuance of notice u/s 143(2) by AO to assessee because the scope of the proceedings u/s 143(2) is wider than power to rectify mistake apparent from record u/s 154 &amp; thus if notice has been issued u/s 143(2)</w:t>
      </w:r>
      <w:r w:rsidR="008830C9">
        <w:rPr>
          <w:rFonts w:ascii="Garamond" w:hAnsi="Garamond"/>
          <w:sz w:val="24"/>
          <w:szCs w:val="24"/>
        </w:rPr>
        <w:t>, rectification apparent from record can be done under the proceedings u/s 143(3) itself [CIT v Punjab National Bank]</w:t>
      </w:r>
    </w:p>
    <w:p w:rsidR="008E37EC" w:rsidRDefault="008E37EC" w:rsidP="007D40F1">
      <w:pPr>
        <w:pStyle w:val="NoSpacing"/>
        <w:jc w:val="both"/>
        <w:rPr>
          <w:rFonts w:ascii="Garamond" w:hAnsi="Garamond"/>
          <w:sz w:val="24"/>
          <w:szCs w:val="24"/>
        </w:rPr>
      </w:pPr>
    </w:p>
    <w:p w:rsidR="00163E30" w:rsidRPr="00163E30" w:rsidRDefault="00163E30" w:rsidP="00163E30">
      <w:pPr>
        <w:pStyle w:val="NoSpacing"/>
        <w:jc w:val="both"/>
        <w:rPr>
          <w:rFonts w:ascii="Garamond" w:hAnsi="Garamond"/>
          <w:b/>
          <w:bCs/>
          <w:i/>
          <w:iCs/>
          <w:sz w:val="24"/>
          <w:szCs w:val="24"/>
          <w:u w:val="single"/>
        </w:rPr>
      </w:pPr>
      <w:r w:rsidRPr="00163E30">
        <w:rPr>
          <w:rFonts w:ascii="Garamond" w:hAnsi="Garamond"/>
          <w:b/>
          <w:bCs/>
          <w:i/>
          <w:iCs/>
          <w:sz w:val="24"/>
          <w:szCs w:val="24"/>
        </w:rPr>
        <w:t>Can the Commissioner initiate revision proceedings under section 263 on the ground that the Assessing Officer's order not initiating penal proceedings was erroneous and prejudicial to the interest of the Revenue, in a case where non-initiation of penal proceedings was a pre-condition for surrender of income by the assessee?</w:t>
      </w:r>
    </w:p>
    <w:p w:rsidR="007D40F1" w:rsidRPr="00163E30" w:rsidRDefault="007D40F1" w:rsidP="007D40F1">
      <w:pPr>
        <w:pStyle w:val="NoSpacing"/>
        <w:jc w:val="both"/>
        <w:rPr>
          <w:rFonts w:ascii="Garamond" w:hAnsi="Garamond"/>
          <w:b/>
          <w:bCs/>
          <w:i/>
          <w:iCs/>
          <w:sz w:val="24"/>
          <w:szCs w:val="24"/>
          <w:u w:val="single"/>
        </w:rPr>
      </w:pPr>
      <w:r w:rsidRPr="00163E30">
        <w:rPr>
          <w:rFonts w:ascii="Garamond" w:hAnsi="Garamond"/>
          <w:b/>
          <w:bCs/>
          <w:i/>
          <w:iCs/>
          <w:sz w:val="24"/>
          <w:szCs w:val="24"/>
          <w:u w:val="single"/>
        </w:rPr>
        <w:t>CIT v. Subhash Kumar Jain (P&amp;H)</w:t>
      </w:r>
    </w:p>
    <w:p w:rsidR="00011E48" w:rsidRPr="00EA01F8" w:rsidRDefault="00EA01F8" w:rsidP="007D40F1">
      <w:pPr>
        <w:pStyle w:val="NoSpacing"/>
        <w:jc w:val="both"/>
        <w:rPr>
          <w:rFonts w:ascii="Garamond" w:hAnsi="Garamond"/>
          <w:sz w:val="24"/>
          <w:szCs w:val="24"/>
        </w:rPr>
      </w:pPr>
      <w:r>
        <w:rPr>
          <w:rFonts w:ascii="Garamond" w:hAnsi="Garamond"/>
          <w:sz w:val="24"/>
          <w:szCs w:val="24"/>
        </w:rPr>
        <w:t xml:space="preserve">Order based on agreement can’t give rise to </w:t>
      </w:r>
      <w:r w:rsidR="009F4869">
        <w:rPr>
          <w:rFonts w:ascii="Garamond" w:hAnsi="Garamond"/>
          <w:sz w:val="24"/>
          <w:szCs w:val="24"/>
        </w:rPr>
        <w:t>grievances</w:t>
      </w:r>
      <w:r>
        <w:rPr>
          <w:rFonts w:ascii="Garamond" w:hAnsi="Garamond"/>
          <w:sz w:val="24"/>
          <w:szCs w:val="24"/>
        </w:rPr>
        <w:t xml:space="preserve"> &amp; same cannot be agitated,</w:t>
      </w:r>
      <w:r w:rsidR="009F4869">
        <w:rPr>
          <w:rFonts w:ascii="Garamond" w:hAnsi="Garamond"/>
          <w:sz w:val="24"/>
          <w:szCs w:val="24"/>
        </w:rPr>
        <w:t xml:space="preserve"> i.e. if assessee surrendered hi</w:t>
      </w:r>
      <w:r>
        <w:rPr>
          <w:rFonts w:ascii="Garamond" w:hAnsi="Garamond"/>
          <w:sz w:val="24"/>
          <w:szCs w:val="24"/>
        </w:rPr>
        <w:t>s income on the condition that ‘no penal action would be initiated’ &amp; the AO accepted the same, then commission</w:t>
      </w:r>
      <w:r w:rsidR="009F4869">
        <w:rPr>
          <w:rFonts w:ascii="Garamond" w:hAnsi="Garamond"/>
          <w:sz w:val="24"/>
          <w:szCs w:val="24"/>
        </w:rPr>
        <w:t>er</w:t>
      </w:r>
      <w:r>
        <w:rPr>
          <w:rFonts w:ascii="Garamond" w:hAnsi="Garamond"/>
          <w:sz w:val="24"/>
          <w:szCs w:val="24"/>
        </w:rPr>
        <w:t xml:space="preserve"> </w:t>
      </w:r>
      <w:r>
        <w:rPr>
          <w:rFonts w:ascii="Garamond" w:hAnsi="Garamond"/>
          <w:sz w:val="24"/>
          <w:szCs w:val="24"/>
          <w:u w:val="single"/>
        </w:rPr>
        <w:t>cannot</w:t>
      </w:r>
      <w:r w:rsidR="009F4869">
        <w:rPr>
          <w:rFonts w:ascii="Garamond" w:hAnsi="Garamond"/>
          <w:sz w:val="24"/>
          <w:szCs w:val="24"/>
        </w:rPr>
        <w:t xml:space="preserve"> take a differen</w:t>
      </w:r>
      <w:r>
        <w:rPr>
          <w:rFonts w:ascii="Garamond" w:hAnsi="Garamond"/>
          <w:sz w:val="24"/>
          <w:szCs w:val="24"/>
        </w:rPr>
        <w:t>t view &amp; levy penalty</w:t>
      </w:r>
    </w:p>
    <w:p w:rsidR="00011E48" w:rsidRDefault="00011E48" w:rsidP="007D40F1">
      <w:pPr>
        <w:pStyle w:val="NoSpacing"/>
        <w:jc w:val="both"/>
        <w:rPr>
          <w:rFonts w:ascii="Garamond" w:hAnsi="Garamond"/>
          <w:sz w:val="24"/>
          <w:szCs w:val="24"/>
        </w:rPr>
      </w:pPr>
    </w:p>
    <w:p w:rsidR="003717B1" w:rsidRPr="003717B1" w:rsidRDefault="003717B1" w:rsidP="003717B1">
      <w:pPr>
        <w:pStyle w:val="NoSpacing"/>
        <w:jc w:val="both"/>
        <w:rPr>
          <w:rFonts w:ascii="Garamond" w:hAnsi="Garamond"/>
          <w:b/>
          <w:bCs/>
          <w:i/>
          <w:iCs/>
          <w:sz w:val="24"/>
          <w:szCs w:val="24"/>
        </w:rPr>
      </w:pPr>
      <w:r w:rsidRPr="003717B1">
        <w:rPr>
          <w:rFonts w:ascii="Garamond" w:hAnsi="Garamond"/>
          <w:b/>
          <w:bCs/>
          <w:i/>
          <w:iCs/>
          <w:sz w:val="24"/>
          <w:szCs w:val="24"/>
        </w:rPr>
        <w:t>Is wealth-tax leviable on the value of house under construction, where the construction was still incomplete on the relevant valuation date?</w:t>
      </w:r>
    </w:p>
    <w:p w:rsidR="003717B1" w:rsidRPr="003717B1" w:rsidRDefault="003717B1" w:rsidP="003717B1">
      <w:pPr>
        <w:pStyle w:val="NoSpacing"/>
        <w:jc w:val="both"/>
        <w:rPr>
          <w:rFonts w:ascii="Garamond" w:hAnsi="Garamond"/>
          <w:b/>
          <w:bCs/>
          <w:i/>
          <w:iCs/>
          <w:sz w:val="24"/>
          <w:szCs w:val="24"/>
          <w:u w:val="single"/>
        </w:rPr>
      </w:pPr>
      <w:r w:rsidRPr="003717B1">
        <w:rPr>
          <w:rFonts w:ascii="Garamond" w:hAnsi="Garamond"/>
          <w:b/>
          <w:bCs/>
          <w:i/>
          <w:iCs/>
          <w:sz w:val="24"/>
          <w:szCs w:val="24"/>
          <w:u w:val="single"/>
        </w:rPr>
        <w:t>CIT v. Smt. Neena Jain (P&amp;H)</w:t>
      </w:r>
    </w:p>
    <w:p w:rsidR="00E36679" w:rsidRDefault="002023E3" w:rsidP="007D40F1">
      <w:pPr>
        <w:pStyle w:val="NoSpacing"/>
        <w:jc w:val="both"/>
        <w:rPr>
          <w:rFonts w:ascii="Garamond" w:hAnsi="Garamond"/>
          <w:sz w:val="24"/>
          <w:szCs w:val="24"/>
        </w:rPr>
      </w:pPr>
      <w:r>
        <w:rPr>
          <w:rFonts w:ascii="Garamond" w:hAnsi="Garamond"/>
          <w:i/>
          <w:iCs/>
          <w:sz w:val="24"/>
          <w:szCs w:val="24"/>
        </w:rPr>
        <w:t xml:space="preserve">Building </w:t>
      </w:r>
      <w:r>
        <w:rPr>
          <w:rFonts w:ascii="Garamond" w:hAnsi="Garamond"/>
          <w:sz w:val="24"/>
          <w:szCs w:val="24"/>
        </w:rPr>
        <w:t xml:space="preserve">under wealth tax means a completely built structure. Urban land for levy of wealth </w:t>
      </w:r>
      <w:r w:rsidR="00117B4E">
        <w:rPr>
          <w:rFonts w:ascii="Garamond" w:hAnsi="Garamond"/>
          <w:sz w:val="24"/>
          <w:szCs w:val="24"/>
        </w:rPr>
        <w:t>t</w:t>
      </w:r>
      <w:r>
        <w:rPr>
          <w:rFonts w:ascii="Garamond" w:hAnsi="Garamond"/>
          <w:sz w:val="24"/>
          <w:szCs w:val="24"/>
        </w:rPr>
        <w:t xml:space="preserve">ax excludes a land occupied by </w:t>
      </w:r>
      <w:r w:rsidR="00117B4E">
        <w:rPr>
          <w:rFonts w:ascii="Garamond" w:hAnsi="Garamond"/>
          <w:sz w:val="24"/>
          <w:szCs w:val="24"/>
        </w:rPr>
        <w:t>any building which has been constructed with the appr</w:t>
      </w:r>
      <w:r w:rsidR="0088569C">
        <w:rPr>
          <w:rFonts w:ascii="Garamond" w:hAnsi="Garamond"/>
          <w:sz w:val="24"/>
          <w:szCs w:val="24"/>
        </w:rPr>
        <w:t xml:space="preserve">oval of appropriate authority. </w:t>
      </w:r>
      <w:r w:rsidR="008F28C5">
        <w:rPr>
          <w:rFonts w:ascii="Garamond" w:hAnsi="Garamond"/>
          <w:sz w:val="24"/>
          <w:szCs w:val="24"/>
        </w:rPr>
        <w:t>I</w:t>
      </w:r>
      <w:r w:rsidR="00117B4E" w:rsidRPr="008F28C5">
        <w:rPr>
          <w:rFonts w:ascii="Garamond" w:hAnsi="Garamond"/>
          <w:sz w:val="24"/>
          <w:szCs w:val="24"/>
        </w:rPr>
        <w:t>n</w:t>
      </w:r>
      <w:r w:rsidR="00117B4E">
        <w:rPr>
          <w:rFonts w:ascii="Garamond" w:hAnsi="Garamond"/>
          <w:sz w:val="24"/>
          <w:szCs w:val="24"/>
        </w:rPr>
        <w:t>complete building neither fell within the meaning of building nor urban land. Thus incomplete building is not an asset chargeable to wealth tax</w:t>
      </w:r>
    </w:p>
    <w:p w:rsidR="00E36679" w:rsidRDefault="00E36679" w:rsidP="007D40F1">
      <w:pPr>
        <w:pStyle w:val="NoSpacing"/>
        <w:jc w:val="both"/>
        <w:rPr>
          <w:rFonts w:ascii="Garamond" w:hAnsi="Garamond"/>
          <w:sz w:val="24"/>
          <w:szCs w:val="24"/>
        </w:rPr>
      </w:pPr>
    </w:p>
    <w:p w:rsidR="00E36679" w:rsidRDefault="00E36679" w:rsidP="00E36679">
      <w:pPr>
        <w:pStyle w:val="Heading2"/>
        <w:jc w:val="center"/>
        <w:rPr>
          <w:rFonts w:ascii="Garamond" w:hAnsi="Garamond"/>
          <w:sz w:val="24"/>
          <w:szCs w:val="24"/>
        </w:rPr>
      </w:pPr>
      <w:r>
        <w:t>2010</w:t>
      </w:r>
    </w:p>
    <w:p w:rsidR="007D40F1" w:rsidRPr="00E36679" w:rsidRDefault="00E36679" w:rsidP="007D40F1">
      <w:pPr>
        <w:pStyle w:val="NoSpacing"/>
        <w:jc w:val="both"/>
        <w:rPr>
          <w:rFonts w:ascii="Garamond" w:hAnsi="Garamond"/>
          <w:b/>
          <w:bCs/>
          <w:i/>
          <w:iCs/>
          <w:sz w:val="24"/>
          <w:szCs w:val="24"/>
        </w:rPr>
      </w:pPr>
      <w:r w:rsidRPr="00E36679">
        <w:rPr>
          <w:rFonts w:ascii="Garamond" w:hAnsi="Garamond"/>
          <w:b/>
          <w:bCs/>
          <w:i/>
          <w:iCs/>
          <w:sz w:val="24"/>
          <w:szCs w:val="24"/>
        </w:rPr>
        <w:t>What is the nature of incentive received under the scheme formulated by the Central Government for recoupment of capital employed and repayment of loans taken for setting up/expansion of a sugar factory - Capital or Revenue?</w:t>
      </w:r>
    </w:p>
    <w:p w:rsidR="00E36679"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CIT v</w:t>
      </w:r>
      <w:r w:rsidR="0008606E" w:rsidRPr="007601C7">
        <w:rPr>
          <w:rFonts w:ascii="Garamond" w:hAnsi="Garamond"/>
          <w:b/>
          <w:bCs/>
          <w:i/>
          <w:iCs/>
          <w:sz w:val="24"/>
          <w:szCs w:val="24"/>
          <w:u w:val="single"/>
        </w:rPr>
        <w:t>. Kisan Sahkari Chini Mills Ltd</w:t>
      </w:r>
    </w:p>
    <w:p w:rsidR="00E36679" w:rsidRDefault="0008606E" w:rsidP="007D40F1">
      <w:pPr>
        <w:pStyle w:val="NoSpacing"/>
        <w:jc w:val="both"/>
        <w:rPr>
          <w:rFonts w:ascii="Garamond" w:hAnsi="Garamond"/>
          <w:sz w:val="24"/>
          <w:szCs w:val="24"/>
        </w:rPr>
      </w:pPr>
      <w:r>
        <w:rPr>
          <w:rFonts w:ascii="Garamond" w:hAnsi="Garamond"/>
          <w:sz w:val="24"/>
          <w:szCs w:val="24"/>
        </w:rPr>
        <w:t xml:space="preserve">In that case main eligibility condition for scheme was that incentive had to be utilised for the repayment of loans taken by the assessee to set up a new unit or substantial expansion of an existing unit. The subsidy receipt was therefore not in the course of a trade &amp; hence was </w:t>
      </w:r>
      <w:r>
        <w:rPr>
          <w:rFonts w:ascii="Garamond" w:hAnsi="Garamond"/>
          <w:sz w:val="24"/>
          <w:szCs w:val="24"/>
          <w:u w:val="single"/>
        </w:rPr>
        <w:t>capital nature</w:t>
      </w:r>
      <w:r>
        <w:rPr>
          <w:rFonts w:ascii="Garamond" w:hAnsi="Garamond"/>
          <w:sz w:val="24"/>
          <w:szCs w:val="24"/>
        </w:rPr>
        <w:t xml:space="preserve"> </w:t>
      </w:r>
    </w:p>
    <w:p w:rsidR="00E36679" w:rsidRDefault="00E36679"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353459" w:rsidRDefault="00353459" w:rsidP="007D40F1">
      <w:pPr>
        <w:pStyle w:val="NoSpacing"/>
        <w:jc w:val="both"/>
        <w:rPr>
          <w:rFonts w:ascii="Garamond" w:hAnsi="Garamond"/>
          <w:sz w:val="24"/>
          <w:szCs w:val="24"/>
        </w:rPr>
      </w:pPr>
    </w:p>
    <w:p w:rsidR="00E36679" w:rsidRPr="00C57ED8" w:rsidRDefault="00C57ED8" w:rsidP="007D40F1">
      <w:pPr>
        <w:pStyle w:val="NoSpacing"/>
        <w:jc w:val="both"/>
        <w:rPr>
          <w:rFonts w:ascii="Garamond" w:hAnsi="Garamond"/>
          <w:b/>
          <w:bCs/>
          <w:i/>
          <w:iCs/>
          <w:sz w:val="24"/>
          <w:szCs w:val="24"/>
        </w:rPr>
      </w:pPr>
      <w:r w:rsidRPr="00C57ED8">
        <w:rPr>
          <w:rFonts w:ascii="Garamond" w:hAnsi="Garamond"/>
          <w:b/>
          <w:bCs/>
          <w:i/>
          <w:iCs/>
          <w:sz w:val="24"/>
          <w:szCs w:val="24"/>
        </w:rPr>
        <w:lastRenderedPageBreak/>
        <w:t>What is the nature of liquidated damages received by a company from the supplier of plant for failure to supply machinery to the company within the stipulated time -a capital receipt or a revenue receipt?</w:t>
      </w:r>
    </w:p>
    <w:p w:rsidR="007D40F1" w:rsidRPr="007601C7" w:rsidRDefault="00C57ED8"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CIT v. Saurashtra Cement Ltd</w:t>
      </w:r>
    </w:p>
    <w:p w:rsidR="00C249AC" w:rsidRPr="00C249AC" w:rsidRDefault="00C249AC" w:rsidP="007D40F1">
      <w:pPr>
        <w:pStyle w:val="NoSpacing"/>
        <w:jc w:val="both"/>
        <w:rPr>
          <w:rFonts w:ascii="Garamond" w:hAnsi="Garamond"/>
          <w:sz w:val="24"/>
          <w:szCs w:val="24"/>
        </w:rPr>
      </w:pPr>
      <w:r>
        <w:rPr>
          <w:rFonts w:ascii="Garamond" w:hAnsi="Garamond"/>
          <w:sz w:val="24"/>
          <w:szCs w:val="24"/>
        </w:rPr>
        <w:t xml:space="preserve">SC affirmed the decision of HC that damages were directly &amp; intimately linked with procurement of a capital asset. It was not a receipt in the course of profit earning process. Thus such amount recovered as compensation is </w:t>
      </w:r>
      <w:r>
        <w:rPr>
          <w:rFonts w:ascii="Garamond" w:hAnsi="Garamond"/>
          <w:sz w:val="24"/>
          <w:szCs w:val="24"/>
          <w:u w:val="single"/>
        </w:rPr>
        <w:t>capital receipts</w:t>
      </w:r>
      <w:r>
        <w:rPr>
          <w:rFonts w:ascii="Garamond" w:hAnsi="Garamond"/>
          <w:sz w:val="24"/>
          <w:szCs w:val="24"/>
        </w:rPr>
        <w:t xml:space="preserve"> in the hands of asses</w:t>
      </w:r>
      <w:r w:rsidR="00B71D5E">
        <w:rPr>
          <w:rFonts w:ascii="Garamond" w:hAnsi="Garamond"/>
          <w:sz w:val="24"/>
          <w:szCs w:val="24"/>
        </w:rPr>
        <w:t>s</w:t>
      </w:r>
      <w:r>
        <w:rPr>
          <w:rFonts w:ascii="Garamond" w:hAnsi="Garamond"/>
          <w:sz w:val="24"/>
          <w:szCs w:val="24"/>
        </w:rPr>
        <w:t>ee</w:t>
      </w:r>
    </w:p>
    <w:p w:rsidR="00C249AC" w:rsidRDefault="00C249AC" w:rsidP="007D40F1">
      <w:pPr>
        <w:pStyle w:val="NoSpacing"/>
        <w:jc w:val="both"/>
        <w:rPr>
          <w:rFonts w:ascii="Garamond" w:hAnsi="Garamond"/>
          <w:sz w:val="24"/>
          <w:szCs w:val="24"/>
        </w:rPr>
      </w:pPr>
    </w:p>
    <w:p w:rsidR="00516858" w:rsidRPr="00516858" w:rsidRDefault="00516858" w:rsidP="007D40F1">
      <w:pPr>
        <w:pStyle w:val="NoSpacing"/>
        <w:jc w:val="both"/>
        <w:rPr>
          <w:rFonts w:ascii="Garamond" w:hAnsi="Garamond"/>
          <w:b/>
          <w:bCs/>
          <w:i/>
          <w:iCs/>
          <w:sz w:val="24"/>
          <w:szCs w:val="24"/>
        </w:rPr>
      </w:pPr>
      <w:r w:rsidRPr="00516858">
        <w:rPr>
          <w:rFonts w:ascii="Garamond" w:hAnsi="Garamond"/>
          <w:b/>
          <w:bCs/>
          <w:i/>
          <w:iCs/>
          <w:sz w:val="24"/>
          <w:szCs w:val="24"/>
        </w:rPr>
        <w:t>Can an assessee engaged in letting out of rooms in a lodging house also treat the income from renting of a building to bank on long term lease as business income?</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 xml:space="preserve">Joseph George and Co. v. ITO </w:t>
      </w:r>
    </w:p>
    <w:p w:rsidR="00516858" w:rsidRDefault="002A05D5" w:rsidP="007D40F1">
      <w:pPr>
        <w:pStyle w:val="NoSpacing"/>
        <w:jc w:val="both"/>
        <w:rPr>
          <w:rFonts w:ascii="Garamond" w:hAnsi="Garamond"/>
          <w:sz w:val="24"/>
          <w:szCs w:val="24"/>
        </w:rPr>
      </w:pPr>
      <w:r>
        <w:rPr>
          <w:rFonts w:ascii="Garamond" w:hAnsi="Garamond"/>
          <w:sz w:val="24"/>
          <w:szCs w:val="24"/>
        </w:rPr>
        <w:t>Letting out rooms in lodging house, i.e. lodging business is charged to tax under PGB</w:t>
      </w:r>
    </w:p>
    <w:p w:rsidR="002A05D5" w:rsidRDefault="002A05D5" w:rsidP="007D40F1">
      <w:pPr>
        <w:pStyle w:val="NoSpacing"/>
        <w:jc w:val="both"/>
        <w:rPr>
          <w:rFonts w:ascii="Garamond" w:hAnsi="Garamond"/>
          <w:sz w:val="24"/>
          <w:szCs w:val="24"/>
        </w:rPr>
      </w:pPr>
      <w:r>
        <w:rPr>
          <w:rFonts w:ascii="Garamond" w:hAnsi="Garamond"/>
          <w:sz w:val="24"/>
          <w:szCs w:val="24"/>
        </w:rPr>
        <w:t>Letting out of building to bank on long term basis cannot be treated as business. So rental income from bank is assessed as income from house property</w:t>
      </w:r>
    </w:p>
    <w:p w:rsidR="00516858" w:rsidRDefault="00516858" w:rsidP="007D40F1">
      <w:pPr>
        <w:pStyle w:val="NoSpacing"/>
        <w:jc w:val="both"/>
        <w:rPr>
          <w:rFonts w:ascii="Garamond" w:hAnsi="Garamond"/>
          <w:sz w:val="24"/>
          <w:szCs w:val="24"/>
        </w:rPr>
      </w:pPr>
    </w:p>
    <w:p w:rsidR="00516858" w:rsidRPr="00E8332D" w:rsidRDefault="00E8332D" w:rsidP="00E8332D">
      <w:pPr>
        <w:pStyle w:val="NoSpacing"/>
        <w:jc w:val="both"/>
        <w:rPr>
          <w:rFonts w:ascii="Garamond" w:hAnsi="Garamond"/>
          <w:b/>
          <w:bCs/>
          <w:i/>
          <w:iCs/>
          <w:sz w:val="24"/>
          <w:szCs w:val="24"/>
        </w:rPr>
      </w:pPr>
      <w:r w:rsidRPr="00E8332D">
        <w:rPr>
          <w:rFonts w:ascii="Garamond" w:hAnsi="Garamond"/>
          <w:b/>
          <w:bCs/>
          <w:i/>
          <w:iCs/>
          <w:sz w:val="24"/>
          <w:szCs w:val="24"/>
        </w:rPr>
        <w:t>Can notional interest on interest free deposit received by an assessee in respect of a shop let out on rent be brought to tax as "Business income" or "Income from house property"?</w:t>
      </w:r>
    </w:p>
    <w:p w:rsidR="007D40F1" w:rsidRPr="00D642D9" w:rsidRDefault="00A457C0" w:rsidP="007D40F1">
      <w:pPr>
        <w:pStyle w:val="NoSpacing"/>
        <w:jc w:val="both"/>
        <w:rPr>
          <w:rFonts w:ascii="Garamond" w:hAnsi="Garamond"/>
          <w:b/>
          <w:bCs/>
          <w:i/>
          <w:iCs/>
          <w:sz w:val="24"/>
          <w:szCs w:val="24"/>
          <w:u w:val="single"/>
        </w:rPr>
      </w:pPr>
      <w:r>
        <w:rPr>
          <w:rFonts w:ascii="Garamond" w:hAnsi="Garamond"/>
          <w:b/>
          <w:bCs/>
          <w:i/>
          <w:iCs/>
          <w:sz w:val="24"/>
          <w:szCs w:val="24"/>
          <w:u w:val="single"/>
        </w:rPr>
        <w:t>CIT v. Asian Hotels Ltd</w:t>
      </w:r>
    </w:p>
    <w:p w:rsidR="00A457C0" w:rsidRDefault="00FD25F8" w:rsidP="00DE10F6">
      <w:pPr>
        <w:pStyle w:val="NoSpacing"/>
        <w:jc w:val="both"/>
        <w:rPr>
          <w:rFonts w:ascii="Garamond" w:hAnsi="Garamond"/>
          <w:sz w:val="24"/>
          <w:szCs w:val="24"/>
        </w:rPr>
      </w:pPr>
      <w:r>
        <w:rPr>
          <w:rFonts w:ascii="Garamond" w:hAnsi="Garamond"/>
          <w:sz w:val="24"/>
          <w:szCs w:val="24"/>
        </w:rPr>
        <w:t>Notional interest is not assessable either as business income or as income from house property</w:t>
      </w:r>
    </w:p>
    <w:p w:rsidR="002B3543" w:rsidRDefault="002B3543" w:rsidP="007D40F1">
      <w:pPr>
        <w:pStyle w:val="NoSpacing"/>
        <w:jc w:val="both"/>
        <w:rPr>
          <w:rFonts w:ascii="Garamond" w:hAnsi="Garamond"/>
          <w:sz w:val="24"/>
          <w:szCs w:val="24"/>
        </w:rPr>
      </w:pPr>
    </w:p>
    <w:p w:rsidR="002B3543" w:rsidRPr="002B3543" w:rsidRDefault="002B3543" w:rsidP="002B3543">
      <w:pPr>
        <w:pStyle w:val="Default"/>
        <w:jc w:val="both"/>
        <w:rPr>
          <w:rFonts w:ascii="Garamond" w:hAnsi="Garamond"/>
          <w:b/>
          <w:bCs/>
          <w:i/>
          <w:iCs/>
        </w:rPr>
      </w:pPr>
      <w:r w:rsidRPr="002B3543">
        <w:rPr>
          <w:rFonts w:ascii="Garamond" w:hAnsi="Garamond"/>
          <w:b/>
          <w:bCs/>
          <w:i/>
          <w:iCs/>
        </w:rPr>
        <w:t>Would the phrase "used for purpose of business" in respect of discarded machine include use of such asset in the earlier years for claim of depreciation under section 32?</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CI</w:t>
      </w:r>
      <w:r w:rsidR="002B3543" w:rsidRPr="007601C7">
        <w:rPr>
          <w:rFonts w:ascii="Garamond" w:hAnsi="Garamond"/>
          <w:b/>
          <w:bCs/>
          <w:i/>
          <w:iCs/>
          <w:sz w:val="24"/>
          <w:szCs w:val="24"/>
          <w:u w:val="single"/>
        </w:rPr>
        <w:t>T v. Yamaha Motor India Pvt.</w:t>
      </w:r>
      <w:r w:rsidR="000E37E8" w:rsidRPr="007601C7">
        <w:rPr>
          <w:rFonts w:ascii="Garamond" w:hAnsi="Garamond"/>
          <w:b/>
          <w:bCs/>
          <w:i/>
          <w:iCs/>
          <w:sz w:val="24"/>
          <w:szCs w:val="24"/>
          <w:u w:val="single"/>
        </w:rPr>
        <w:t xml:space="preserve"> </w:t>
      </w:r>
      <w:r w:rsidR="002B3543" w:rsidRPr="007601C7">
        <w:rPr>
          <w:rFonts w:ascii="Garamond" w:hAnsi="Garamond"/>
          <w:b/>
          <w:bCs/>
          <w:i/>
          <w:iCs/>
          <w:sz w:val="24"/>
          <w:szCs w:val="24"/>
          <w:u w:val="single"/>
        </w:rPr>
        <w:t>Ltd</w:t>
      </w:r>
    </w:p>
    <w:p w:rsidR="002B3543" w:rsidRDefault="008C39D5" w:rsidP="007D40F1">
      <w:pPr>
        <w:pStyle w:val="NoSpacing"/>
        <w:jc w:val="both"/>
        <w:rPr>
          <w:rFonts w:ascii="Garamond" w:hAnsi="Garamond"/>
          <w:sz w:val="24"/>
          <w:szCs w:val="24"/>
        </w:rPr>
      </w:pPr>
      <w:r>
        <w:rPr>
          <w:rFonts w:ascii="Garamond" w:hAnsi="Garamond"/>
          <w:sz w:val="24"/>
          <w:szCs w:val="24"/>
        </w:rPr>
        <w:t>Use for the purpose of business u/s 32 i.r.o discarded machineries would mean the use in business in earlier FYs. Hence depreciation can be claimed provided block continues to exist in the relevant PY</w:t>
      </w:r>
      <w:r w:rsidR="007C0004">
        <w:rPr>
          <w:rFonts w:ascii="Garamond" w:hAnsi="Garamond"/>
          <w:sz w:val="24"/>
          <w:szCs w:val="24"/>
        </w:rPr>
        <w:t xml:space="preserve"> (i.e. depreciation can be claimed even if machinery was used in earlier PYs)</w:t>
      </w:r>
      <w:r>
        <w:rPr>
          <w:rFonts w:ascii="Garamond" w:hAnsi="Garamond"/>
          <w:sz w:val="24"/>
          <w:szCs w:val="24"/>
        </w:rPr>
        <w:t xml:space="preserve"> </w:t>
      </w:r>
    </w:p>
    <w:p w:rsidR="002B3543" w:rsidRDefault="002B3543" w:rsidP="007D40F1">
      <w:pPr>
        <w:pStyle w:val="NoSpacing"/>
        <w:jc w:val="both"/>
        <w:rPr>
          <w:rFonts w:ascii="Garamond" w:hAnsi="Garamond"/>
          <w:sz w:val="24"/>
          <w:szCs w:val="24"/>
        </w:rPr>
      </w:pPr>
    </w:p>
    <w:p w:rsidR="00517642" w:rsidRPr="00517642" w:rsidRDefault="00517642" w:rsidP="00517642">
      <w:pPr>
        <w:pStyle w:val="Default"/>
        <w:jc w:val="both"/>
        <w:rPr>
          <w:rFonts w:ascii="Garamond" w:hAnsi="Garamond"/>
          <w:b/>
          <w:bCs/>
          <w:i/>
          <w:iCs/>
        </w:rPr>
      </w:pPr>
      <w:r w:rsidRPr="00517642">
        <w:rPr>
          <w:rFonts w:ascii="Garamond" w:hAnsi="Garamond"/>
          <w:b/>
          <w:bCs/>
          <w:i/>
          <w:iCs/>
        </w:rPr>
        <w:t>Can expenditure incurred by a company on higher studies of the director's son abroad be claimed as bu</w:t>
      </w:r>
      <w:r w:rsidR="00F501D3">
        <w:rPr>
          <w:rFonts w:ascii="Garamond" w:hAnsi="Garamond"/>
          <w:b/>
          <w:bCs/>
          <w:i/>
          <w:iCs/>
        </w:rPr>
        <w:t>siness expenditure u/s</w:t>
      </w:r>
      <w:r w:rsidRPr="00517642">
        <w:rPr>
          <w:rFonts w:ascii="Garamond" w:hAnsi="Garamond"/>
          <w:b/>
          <w:bCs/>
          <w:i/>
          <w:iCs/>
        </w:rPr>
        <w:t xml:space="preserve"> 37 on the contention that he was appointed as a trainee in the company under "apprentice training scheme", where there was no proof of existence of such scheme?</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Echjay Forgings Ltd.</w:t>
      </w:r>
      <w:r w:rsidR="00517642" w:rsidRPr="007601C7">
        <w:rPr>
          <w:rFonts w:ascii="Garamond" w:hAnsi="Garamond"/>
          <w:b/>
          <w:bCs/>
          <w:i/>
          <w:iCs/>
          <w:sz w:val="24"/>
          <w:szCs w:val="24"/>
          <w:u w:val="single"/>
        </w:rPr>
        <w:t xml:space="preserve"> </w:t>
      </w:r>
      <w:r w:rsidRPr="007601C7">
        <w:rPr>
          <w:rFonts w:ascii="Garamond" w:hAnsi="Garamond"/>
          <w:b/>
          <w:bCs/>
          <w:i/>
          <w:iCs/>
          <w:sz w:val="24"/>
          <w:szCs w:val="24"/>
          <w:u w:val="single"/>
        </w:rPr>
        <w:t>v. ACIT</w:t>
      </w:r>
    </w:p>
    <w:p w:rsidR="00300FA5" w:rsidRDefault="00695464" w:rsidP="007D40F1">
      <w:pPr>
        <w:pStyle w:val="NoSpacing"/>
        <w:jc w:val="both"/>
        <w:rPr>
          <w:rFonts w:ascii="Garamond" w:hAnsi="Garamond"/>
          <w:sz w:val="24"/>
          <w:szCs w:val="24"/>
        </w:rPr>
      </w:pPr>
      <w:r>
        <w:rPr>
          <w:rFonts w:ascii="Garamond" w:hAnsi="Garamond"/>
          <w:sz w:val="24"/>
          <w:szCs w:val="24"/>
        </w:rPr>
        <w:t xml:space="preserve">There was no proof of existence of such scheme. There was no evidence on record to show that such person was appointed as trainee &amp; sent abroad. </w:t>
      </w:r>
    </w:p>
    <w:p w:rsidR="00695464" w:rsidRDefault="00695464" w:rsidP="007D40F1">
      <w:pPr>
        <w:pStyle w:val="NoSpacing"/>
        <w:jc w:val="both"/>
        <w:rPr>
          <w:rFonts w:ascii="Garamond" w:hAnsi="Garamond"/>
          <w:sz w:val="24"/>
          <w:szCs w:val="24"/>
        </w:rPr>
      </w:pPr>
      <w:r>
        <w:rPr>
          <w:rFonts w:ascii="Garamond" w:hAnsi="Garamond"/>
          <w:sz w:val="24"/>
          <w:szCs w:val="24"/>
        </w:rPr>
        <w:t>As there was no nexus between education expense incurred abroad &amp; business of assessee Co; such expense</w:t>
      </w:r>
      <w:r w:rsidRPr="00695464">
        <w:rPr>
          <w:rFonts w:ascii="Garamond" w:hAnsi="Garamond"/>
          <w:sz w:val="24"/>
          <w:szCs w:val="24"/>
          <w:u w:val="single"/>
        </w:rPr>
        <w:t xml:space="preserve"> was not deductible</w:t>
      </w:r>
    </w:p>
    <w:p w:rsidR="00695464" w:rsidRDefault="00695464" w:rsidP="007D40F1">
      <w:pPr>
        <w:pStyle w:val="NoSpacing"/>
        <w:jc w:val="both"/>
        <w:rPr>
          <w:rFonts w:ascii="Garamond" w:hAnsi="Garamond"/>
          <w:sz w:val="24"/>
          <w:szCs w:val="24"/>
        </w:rPr>
      </w:pPr>
    </w:p>
    <w:p w:rsidR="00300FA5" w:rsidRPr="00300FA5" w:rsidRDefault="00300FA5" w:rsidP="00300FA5">
      <w:pPr>
        <w:pStyle w:val="Default"/>
        <w:jc w:val="both"/>
        <w:rPr>
          <w:rFonts w:ascii="Garamond" w:hAnsi="Garamond"/>
          <w:b/>
          <w:bCs/>
          <w:i/>
          <w:iCs/>
        </w:rPr>
      </w:pPr>
      <w:r w:rsidRPr="00300FA5">
        <w:rPr>
          <w:rFonts w:ascii="Garamond" w:hAnsi="Garamond"/>
          <w:b/>
          <w:bCs/>
          <w:i/>
          <w:iCs/>
        </w:rPr>
        <w:t>Can the expenditure incurred for purchase of second hand medical equipment for use as spare parts for existing equipment be claimed as revenue expenditure?</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Dr. Aswath N. Rao v. ACIT</w:t>
      </w:r>
    </w:p>
    <w:p w:rsidR="00300FA5" w:rsidRPr="00300FA5" w:rsidRDefault="00300FA5" w:rsidP="007D40F1">
      <w:pPr>
        <w:pStyle w:val="NoSpacing"/>
        <w:jc w:val="both"/>
        <w:rPr>
          <w:rFonts w:ascii="Garamond" w:hAnsi="Garamond"/>
        </w:rPr>
      </w:pPr>
      <w:r>
        <w:rPr>
          <w:rFonts w:ascii="Garamond" w:hAnsi="Garamond"/>
          <w:sz w:val="24"/>
          <w:szCs w:val="24"/>
        </w:rPr>
        <w:t>Since it was purchased for using as spare parts it is revenue expense. However if int</w:t>
      </w:r>
      <w:r w:rsidR="00B71902">
        <w:rPr>
          <w:rFonts w:ascii="Garamond" w:hAnsi="Garamond"/>
          <w:sz w:val="24"/>
          <w:szCs w:val="24"/>
        </w:rPr>
        <w:t>ention was to use it on a stand</w:t>
      </w:r>
      <w:r>
        <w:rPr>
          <w:rFonts w:ascii="Garamond" w:hAnsi="Garamond"/>
          <w:sz w:val="24"/>
          <w:szCs w:val="24"/>
        </w:rPr>
        <w:t>alone basis, expense would be treated as capital expense &amp; date on which it is put to use determines eligibility for depreciation of that year [</w:t>
      </w:r>
      <w:r w:rsidR="005C4D3E">
        <w:rPr>
          <w:rFonts w:ascii="Garamond" w:hAnsi="Garamond"/>
        </w:rPr>
        <w:t>&gt;, &lt; 180 days]</w:t>
      </w:r>
    </w:p>
    <w:p w:rsidR="00300FA5" w:rsidRDefault="00300FA5" w:rsidP="007D40F1">
      <w:pPr>
        <w:pStyle w:val="NoSpacing"/>
        <w:jc w:val="both"/>
        <w:rPr>
          <w:rFonts w:ascii="Garamond" w:hAnsi="Garamond"/>
          <w:sz w:val="24"/>
          <w:szCs w:val="24"/>
        </w:rPr>
      </w:pPr>
    </w:p>
    <w:p w:rsidR="004A6A9C" w:rsidRPr="004A6A9C" w:rsidRDefault="004A6A9C" w:rsidP="004A6A9C">
      <w:pPr>
        <w:pStyle w:val="NoSpacing"/>
        <w:jc w:val="both"/>
        <w:rPr>
          <w:rFonts w:ascii="Garamond" w:hAnsi="Garamond"/>
          <w:b/>
          <w:bCs/>
          <w:i/>
          <w:iCs/>
          <w:sz w:val="24"/>
          <w:szCs w:val="24"/>
        </w:rPr>
      </w:pPr>
      <w:r w:rsidRPr="004A6A9C">
        <w:rPr>
          <w:rFonts w:ascii="Garamond" w:hAnsi="Garamond"/>
          <w:b/>
          <w:bCs/>
          <w:i/>
          <w:iCs/>
          <w:sz w:val="24"/>
          <w:szCs w:val="24"/>
        </w:rPr>
        <w:t>Can the amount incurred by the assessee for replacing the old mono sound system in its cinema theatre with a new Dolby stereo system be treated as revenue expenditure?</w:t>
      </w:r>
    </w:p>
    <w:p w:rsidR="007D40F1" w:rsidRPr="004A6A9C" w:rsidRDefault="007D40F1" w:rsidP="007D40F1">
      <w:pPr>
        <w:pStyle w:val="NoSpacing"/>
        <w:jc w:val="both"/>
        <w:rPr>
          <w:rFonts w:ascii="Garamond" w:hAnsi="Garamond"/>
          <w:b/>
          <w:bCs/>
          <w:i/>
          <w:iCs/>
          <w:sz w:val="24"/>
          <w:szCs w:val="24"/>
          <w:u w:val="single"/>
        </w:rPr>
      </w:pPr>
      <w:r w:rsidRPr="004A6A9C">
        <w:rPr>
          <w:rFonts w:ascii="Garamond" w:hAnsi="Garamond"/>
          <w:b/>
          <w:bCs/>
          <w:i/>
          <w:iCs/>
          <w:sz w:val="24"/>
          <w:szCs w:val="24"/>
          <w:u w:val="single"/>
        </w:rPr>
        <w:t>CIT v. Sagar Talkies</w:t>
      </w:r>
    </w:p>
    <w:p w:rsidR="00B71902" w:rsidRDefault="00DE10F6" w:rsidP="007D40F1">
      <w:pPr>
        <w:pStyle w:val="NoSpacing"/>
        <w:jc w:val="both"/>
        <w:rPr>
          <w:rFonts w:ascii="Garamond" w:hAnsi="Garamond"/>
          <w:sz w:val="24"/>
          <w:szCs w:val="24"/>
        </w:rPr>
      </w:pPr>
      <w:r>
        <w:rPr>
          <w:rFonts w:ascii="Garamond" w:hAnsi="Garamond"/>
          <w:sz w:val="24"/>
          <w:szCs w:val="24"/>
        </w:rPr>
        <w:t>This has not benefited assessee in any way with regard to total income since there was no change in seating capacity or increase in tariff rate of ticket. In such a case, expenditure on such change of sound system could not be considered capital in nature</w:t>
      </w:r>
    </w:p>
    <w:p w:rsidR="00B71902" w:rsidRDefault="00B71902" w:rsidP="007D40F1">
      <w:pPr>
        <w:pStyle w:val="NoSpacing"/>
        <w:jc w:val="both"/>
        <w:rPr>
          <w:rFonts w:ascii="Garamond" w:hAnsi="Garamond"/>
          <w:sz w:val="24"/>
          <w:szCs w:val="24"/>
        </w:rPr>
      </w:pPr>
    </w:p>
    <w:p w:rsidR="00B71902" w:rsidRDefault="00B71902" w:rsidP="007D40F1">
      <w:pPr>
        <w:pStyle w:val="NoSpacing"/>
        <w:jc w:val="both"/>
        <w:rPr>
          <w:rFonts w:ascii="Garamond" w:hAnsi="Garamond"/>
          <w:sz w:val="24"/>
          <w:szCs w:val="24"/>
        </w:rPr>
      </w:pPr>
    </w:p>
    <w:p w:rsidR="00B71902" w:rsidRPr="00B71902" w:rsidRDefault="00B71902" w:rsidP="00B71902">
      <w:pPr>
        <w:pStyle w:val="Default"/>
        <w:jc w:val="both"/>
        <w:rPr>
          <w:rFonts w:ascii="Garamond" w:hAnsi="Garamond"/>
          <w:b/>
          <w:bCs/>
          <w:i/>
          <w:iCs/>
        </w:rPr>
      </w:pPr>
      <w:r w:rsidRPr="00B71902">
        <w:rPr>
          <w:rFonts w:ascii="Garamond" w:hAnsi="Garamond"/>
          <w:b/>
          <w:bCs/>
          <w:i/>
          <w:iCs/>
        </w:rPr>
        <w:t>For claiming deduction of bad debts, is it necessary for the assessee to establish that the debt had become irrecoverable?</w:t>
      </w:r>
    </w:p>
    <w:p w:rsidR="007D40F1" w:rsidRPr="007601C7" w:rsidRDefault="00F3774E"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 xml:space="preserve">T.R.F </w:t>
      </w:r>
      <w:r w:rsidR="005B22F2" w:rsidRPr="007601C7">
        <w:rPr>
          <w:rFonts w:ascii="Garamond" w:hAnsi="Garamond"/>
          <w:b/>
          <w:bCs/>
          <w:i/>
          <w:iCs/>
          <w:sz w:val="24"/>
          <w:szCs w:val="24"/>
          <w:u w:val="single"/>
        </w:rPr>
        <w:t xml:space="preserve">Ltd </w:t>
      </w:r>
      <w:r w:rsidR="007D40F1" w:rsidRPr="007601C7">
        <w:rPr>
          <w:rFonts w:ascii="Garamond" w:hAnsi="Garamond"/>
          <w:b/>
          <w:bCs/>
          <w:i/>
          <w:iCs/>
          <w:sz w:val="24"/>
          <w:szCs w:val="24"/>
          <w:u w:val="single"/>
        </w:rPr>
        <w:t>v.CIT</w:t>
      </w:r>
    </w:p>
    <w:p w:rsidR="00B71902" w:rsidRDefault="00F01293" w:rsidP="007D40F1">
      <w:pPr>
        <w:pStyle w:val="NoSpacing"/>
        <w:jc w:val="both"/>
        <w:rPr>
          <w:rFonts w:ascii="Garamond" w:hAnsi="Garamond"/>
          <w:sz w:val="24"/>
          <w:szCs w:val="24"/>
        </w:rPr>
      </w:pPr>
      <w:r>
        <w:rPr>
          <w:rFonts w:ascii="Garamond" w:hAnsi="Garamond"/>
          <w:sz w:val="24"/>
          <w:szCs w:val="24"/>
        </w:rPr>
        <w:t xml:space="preserve">SC held that it is </w:t>
      </w:r>
      <w:r>
        <w:rPr>
          <w:rFonts w:ascii="Garamond" w:hAnsi="Garamond"/>
          <w:sz w:val="24"/>
          <w:szCs w:val="24"/>
          <w:u w:val="single"/>
        </w:rPr>
        <w:t>not necessary</w:t>
      </w:r>
      <w:r>
        <w:rPr>
          <w:rFonts w:ascii="Garamond" w:hAnsi="Garamond"/>
          <w:sz w:val="24"/>
          <w:szCs w:val="24"/>
        </w:rPr>
        <w:t xml:space="preserve">. It is enough if </w:t>
      </w:r>
      <w:r w:rsidR="00CD5C21">
        <w:rPr>
          <w:rFonts w:ascii="Garamond" w:hAnsi="Garamond"/>
          <w:sz w:val="24"/>
          <w:szCs w:val="24"/>
        </w:rPr>
        <w:t>a bad debt is</w:t>
      </w:r>
      <w:r>
        <w:rPr>
          <w:rFonts w:ascii="Garamond" w:hAnsi="Garamond"/>
          <w:sz w:val="24"/>
          <w:szCs w:val="24"/>
        </w:rPr>
        <w:t xml:space="preserve"> written off as irrecoverable in the account</w:t>
      </w:r>
      <w:r w:rsidR="00CD5C21">
        <w:rPr>
          <w:rFonts w:ascii="Garamond" w:hAnsi="Garamond"/>
          <w:sz w:val="24"/>
          <w:szCs w:val="24"/>
        </w:rPr>
        <w:t>s of assessee for the relevant P</w:t>
      </w:r>
      <w:r>
        <w:rPr>
          <w:rFonts w:ascii="Garamond" w:hAnsi="Garamond"/>
          <w:sz w:val="24"/>
          <w:szCs w:val="24"/>
        </w:rPr>
        <w:t>Y</w:t>
      </w:r>
    </w:p>
    <w:p w:rsidR="00B71902" w:rsidRDefault="00B71902" w:rsidP="007D40F1">
      <w:pPr>
        <w:pStyle w:val="NoSpacing"/>
        <w:jc w:val="both"/>
        <w:rPr>
          <w:rFonts w:ascii="Garamond" w:hAnsi="Garamond"/>
          <w:sz w:val="24"/>
          <w:szCs w:val="24"/>
        </w:rPr>
      </w:pPr>
    </w:p>
    <w:p w:rsidR="003F1539" w:rsidRPr="003F1539" w:rsidRDefault="003F1539" w:rsidP="003F1539">
      <w:pPr>
        <w:pStyle w:val="Default"/>
        <w:jc w:val="both"/>
        <w:rPr>
          <w:rFonts w:ascii="Garamond" w:hAnsi="Garamond"/>
          <w:b/>
          <w:bCs/>
          <w:i/>
          <w:iCs/>
        </w:rPr>
      </w:pPr>
      <w:r w:rsidRPr="003F1539">
        <w:rPr>
          <w:rFonts w:ascii="Garamond" w:hAnsi="Garamond"/>
          <w:b/>
          <w:bCs/>
          <w:i/>
          <w:iCs/>
        </w:rPr>
        <w:t>Can payment to police personnel and gundas to keep away from the cinema theatres run by the assessee be allowed as deduction?</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 xml:space="preserve">CIT v. Neelavathi &amp; Others </w:t>
      </w:r>
    </w:p>
    <w:p w:rsidR="00DD13C5" w:rsidRDefault="00DB35FF" w:rsidP="007D40F1">
      <w:pPr>
        <w:pStyle w:val="NoSpacing"/>
        <w:jc w:val="both"/>
        <w:rPr>
          <w:rFonts w:ascii="Garamond" w:hAnsi="Garamond"/>
          <w:sz w:val="24"/>
          <w:szCs w:val="24"/>
        </w:rPr>
      </w:pPr>
      <w:r>
        <w:rPr>
          <w:rFonts w:ascii="Garamond" w:hAnsi="Garamond"/>
          <w:sz w:val="24"/>
          <w:szCs w:val="24"/>
        </w:rPr>
        <w:t xml:space="preserve">Any payment to police illegally amounts to bribe &amp; such illegal gratification </w:t>
      </w:r>
      <w:r>
        <w:rPr>
          <w:rFonts w:ascii="Garamond" w:hAnsi="Garamond"/>
          <w:sz w:val="24"/>
          <w:szCs w:val="24"/>
          <w:u w:val="single"/>
        </w:rPr>
        <w:t>cannot be</w:t>
      </w:r>
      <w:r>
        <w:rPr>
          <w:rFonts w:ascii="Garamond" w:hAnsi="Garamond"/>
          <w:sz w:val="24"/>
          <w:szCs w:val="24"/>
        </w:rPr>
        <w:t xml:space="preserve"> considered as an </w:t>
      </w:r>
      <w:r>
        <w:rPr>
          <w:rFonts w:ascii="Garamond" w:hAnsi="Garamond"/>
          <w:sz w:val="24"/>
          <w:szCs w:val="24"/>
          <w:u w:val="single"/>
        </w:rPr>
        <w:t>allowable deduction</w:t>
      </w:r>
      <w:r w:rsidR="001267F5">
        <w:rPr>
          <w:rFonts w:ascii="Garamond" w:hAnsi="Garamond"/>
          <w:sz w:val="24"/>
          <w:szCs w:val="24"/>
          <w:u w:val="single"/>
        </w:rPr>
        <w:t>.</w:t>
      </w:r>
      <w:r w:rsidR="001267F5">
        <w:rPr>
          <w:rFonts w:ascii="Garamond" w:hAnsi="Garamond"/>
          <w:sz w:val="24"/>
          <w:szCs w:val="24"/>
        </w:rPr>
        <w:t xml:space="preserve"> Any payment to gunda is an illegal payment for which </w:t>
      </w:r>
      <w:r w:rsidR="001267F5">
        <w:rPr>
          <w:rFonts w:ascii="Garamond" w:hAnsi="Garamond"/>
          <w:sz w:val="24"/>
          <w:szCs w:val="24"/>
          <w:u w:val="single"/>
        </w:rPr>
        <w:t>no deduction</w:t>
      </w:r>
      <w:r w:rsidR="001267F5">
        <w:rPr>
          <w:rFonts w:ascii="Garamond" w:hAnsi="Garamond"/>
          <w:sz w:val="24"/>
          <w:szCs w:val="24"/>
        </w:rPr>
        <w:t xml:space="preserve"> is allowable</w:t>
      </w:r>
    </w:p>
    <w:p w:rsidR="001267F5" w:rsidRPr="001267F5" w:rsidRDefault="001267F5" w:rsidP="007D40F1">
      <w:pPr>
        <w:pStyle w:val="NoSpacing"/>
        <w:jc w:val="both"/>
        <w:rPr>
          <w:rFonts w:ascii="Garamond" w:hAnsi="Garamond"/>
          <w:sz w:val="24"/>
          <w:szCs w:val="24"/>
        </w:rPr>
      </w:pPr>
      <w:r>
        <w:rPr>
          <w:rFonts w:ascii="Garamond" w:hAnsi="Garamond"/>
          <w:sz w:val="24"/>
          <w:szCs w:val="24"/>
        </w:rPr>
        <w:t>[Expense on security is allowable. Here it is to keep them away, it is illegal &amp; not allowable]</w:t>
      </w:r>
    </w:p>
    <w:p w:rsidR="00DB35FF" w:rsidRPr="00DB35FF" w:rsidRDefault="00DB35FF" w:rsidP="007D40F1">
      <w:pPr>
        <w:pStyle w:val="NoSpacing"/>
        <w:jc w:val="both"/>
        <w:rPr>
          <w:rFonts w:ascii="Garamond" w:hAnsi="Garamond"/>
          <w:sz w:val="24"/>
          <w:szCs w:val="24"/>
        </w:rPr>
      </w:pPr>
    </w:p>
    <w:p w:rsidR="00DD13C5" w:rsidRPr="00DD13C5" w:rsidRDefault="00DD13C5" w:rsidP="00DD13C5">
      <w:pPr>
        <w:pStyle w:val="Default"/>
        <w:jc w:val="both"/>
        <w:rPr>
          <w:rFonts w:ascii="Garamond" w:hAnsi="Garamond"/>
          <w:b/>
          <w:bCs/>
          <w:i/>
          <w:iCs/>
        </w:rPr>
      </w:pPr>
      <w:r w:rsidRPr="00DD13C5">
        <w:rPr>
          <w:rFonts w:ascii="Garamond" w:hAnsi="Garamond"/>
          <w:b/>
          <w:bCs/>
          <w:i/>
          <w:iCs/>
        </w:rPr>
        <w:t>Can expenditure incurred on alteration of a dam to ensure adequate supply of water for the smelter plant owned by the assessee be allowed as revenue expenditure?</w:t>
      </w:r>
    </w:p>
    <w:p w:rsidR="007D40F1" w:rsidRPr="007601C7" w:rsidRDefault="00F16A62"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CIT v. Hindustan Zinc Ltd</w:t>
      </w:r>
    </w:p>
    <w:p w:rsidR="00DD13C5" w:rsidRDefault="00C101C8" w:rsidP="007D40F1">
      <w:pPr>
        <w:pStyle w:val="NoSpacing"/>
        <w:jc w:val="both"/>
        <w:rPr>
          <w:rFonts w:ascii="Garamond" w:hAnsi="Garamond"/>
          <w:sz w:val="24"/>
          <w:szCs w:val="24"/>
        </w:rPr>
      </w:pPr>
      <w:r>
        <w:rPr>
          <w:rFonts w:ascii="Garamond" w:hAnsi="Garamond"/>
          <w:sz w:val="24"/>
          <w:szCs w:val="24"/>
        </w:rPr>
        <w:t>Operational expense incurred by assessee solely intended for furtherance of enterprise can by no means treated as capital expense</w:t>
      </w:r>
    </w:p>
    <w:p w:rsidR="00D01040" w:rsidRDefault="00D01040" w:rsidP="007D40F1">
      <w:pPr>
        <w:pStyle w:val="NoSpacing"/>
        <w:jc w:val="both"/>
        <w:rPr>
          <w:rFonts w:ascii="Garamond" w:hAnsi="Garamond"/>
          <w:sz w:val="24"/>
          <w:szCs w:val="24"/>
        </w:rPr>
      </w:pPr>
    </w:p>
    <w:p w:rsidR="00D01040" w:rsidRPr="00D01040" w:rsidRDefault="00D01040" w:rsidP="00D01040">
      <w:pPr>
        <w:pStyle w:val="Default"/>
        <w:jc w:val="both"/>
        <w:rPr>
          <w:rFonts w:ascii="Garamond" w:hAnsi="Garamond"/>
          <w:b/>
          <w:bCs/>
          <w:i/>
          <w:iCs/>
        </w:rPr>
      </w:pPr>
      <w:r w:rsidRPr="00D01040">
        <w:rPr>
          <w:rFonts w:ascii="Garamond" w:hAnsi="Garamond"/>
          <w:b/>
          <w:bCs/>
          <w:i/>
          <w:iCs/>
        </w:rPr>
        <w:t>Is the amount paid by a construction company as regularization fee for violating building bye-laws allowable as deduction?</w:t>
      </w:r>
    </w:p>
    <w:p w:rsidR="007D40F1" w:rsidRPr="007601C7" w:rsidRDefault="007D40F1" w:rsidP="007D40F1">
      <w:pPr>
        <w:pStyle w:val="NoSpacing"/>
        <w:jc w:val="both"/>
        <w:rPr>
          <w:rFonts w:ascii="Garamond" w:hAnsi="Garamond"/>
          <w:b/>
          <w:bCs/>
          <w:i/>
          <w:iCs/>
          <w:sz w:val="24"/>
          <w:szCs w:val="24"/>
          <w:u w:val="single"/>
        </w:rPr>
      </w:pPr>
      <w:r w:rsidRPr="007601C7">
        <w:rPr>
          <w:rFonts w:ascii="Garamond" w:hAnsi="Garamond"/>
          <w:b/>
          <w:bCs/>
          <w:i/>
          <w:iCs/>
          <w:sz w:val="24"/>
          <w:szCs w:val="24"/>
          <w:u w:val="single"/>
        </w:rPr>
        <w:t>Millennia Developers (P) Ltd.</w:t>
      </w:r>
      <w:r w:rsidR="003B2F51" w:rsidRPr="007601C7">
        <w:rPr>
          <w:rFonts w:ascii="Garamond" w:hAnsi="Garamond"/>
          <w:b/>
          <w:bCs/>
          <w:i/>
          <w:iCs/>
          <w:sz w:val="24"/>
          <w:szCs w:val="24"/>
          <w:u w:val="single"/>
        </w:rPr>
        <w:t xml:space="preserve"> </w:t>
      </w:r>
      <w:r w:rsidRPr="007601C7">
        <w:rPr>
          <w:rFonts w:ascii="Garamond" w:hAnsi="Garamond"/>
          <w:b/>
          <w:bCs/>
          <w:i/>
          <w:iCs/>
          <w:sz w:val="24"/>
          <w:szCs w:val="24"/>
          <w:u w:val="single"/>
        </w:rPr>
        <w:t>v. DCIT</w:t>
      </w:r>
    </w:p>
    <w:p w:rsidR="003B2F51" w:rsidRPr="003B2F51" w:rsidRDefault="003B2F51" w:rsidP="007D40F1">
      <w:pPr>
        <w:pStyle w:val="NoSpacing"/>
        <w:jc w:val="both"/>
        <w:rPr>
          <w:rFonts w:ascii="Garamond" w:hAnsi="Garamond"/>
          <w:sz w:val="24"/>
          <w:szCs w:val="24"/>
        </w:rPr>
      </w:pPr>
      <w:r>
        <w:rPr>
          <w:rFonts w:ascii="Garamond" w:hAnsi="Garamond"/>
          <w:sz w:val="24"/>
          <w:szCs w:val="24"/>
        </w:rPr>
        <w:t xml:space="preserve">HC observed that amount paid to compound an offence is obviously a penalty &amp; hence </w:t>
      </w:r>
      <w:r>
        <w:rPr>
          <w:rFonts w:ascii="Garamond" w:hAnsi="Garamond"/>
          <w:sz w:val="24"/>
          <w:szCs w:val="24"/>
          <w:u w:val="single"/>
        </w:rPr>
        <w:t xml:space="preserve">doesnot qualify for deduction </w:t>
      </w:r>
      <w:r>
        <w:rPr>
          <w:rFonts w:ascii="Garamond" w:hAnsi="Garamond"/>
          <w:sz w:val="24"/>
          <w:szCs w:val="24"/>
        </w:rPr>
        <w:t>u/s 137</w:t>
      </w:r>
    </w:p>
    <w:p w:rsidR="003B2F51" w:rsidRPr="003B2F51" w:rsidRDefault="003B2F51" w:rsidP="007D40F1">
      <w:pPr>
        <w:pStyle w:val="NoSpacing"/>
        <w:jc w:val="both"/>
        <w:rPr>
          <w:rFonts w:ascii="Garamond" w:hAnsi="Garamond"/>
          <w:sz w:val="24"/>
          <w:szCs w:val="24"/>
        </w:rPr>
      </w:pPr>
    </w:p>
    <w:p w:rsidR="00AF3656" w:rsidRPr="00AF3656" w:rsidRDefault="00AF3656" w:rsidP="00AF3656">
      <w:pPr>
        <w:pStyle w:val="Default"/>
        <w:jc w:val="both"/>
        <w:rPr>
          <w:rFonts w:ascii="Garamond" w:hAnsi="Garamond"/>
          <w:b/>
          <w:bCs/>
          <w:i/>
          <w:iCs/>
        </w:rPr>
      </w:pPr>
      <w:r w:rsidRPr="00AF3656">
        <w:rPr>
          <w:rFonts w:ascii="Garamond" w:hAnsi="Garamond"/>
          <w:b/>
          <w:bCs/>
          <w:i/>
          <w:iCs/>
        </w:rPr>
        <w:t>Would beneficial ownership of assets suffice for claim of depreciation on such assets?</w:t>
      </w:r>
    </w:p>
    <w:p w:rsidR="00AF3656"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CIT v. Smt.A.Sivakami and Another</w:t>
      </w:r>
    </w:p>
    <w:p w:rsidR="00AF3656" w:rsidRDefault="00766088" w:rsidP="007D40F1">
      <w:pPr>
        <w:pStyle w:val="NoSpacing"/>
        <w:jc w:val="both"/>
        <w:rPr>
          <w:rFonts w:ascii="Garamond" w:hAnsi="Garamond"/>
          <w:sz w:val="24"/>
          <w:szCs w:val="24"/>
        </w:rPr>
      </w:pPr>
      <w:r>
        <w:rPr>
          <w:rFonts w:ascii="Garamond" w:hAnsi="Garamond"/>
          <w:sz w:val="24"/>
          <w:szCs w:val="24"/>
        </w:rPr>
        <w:t xml:space="preserve">HC observed that in the context of Income Tax Act 1961, to tax the income, owner is the person who is entitled to receive the income from the property in his own right. </w:t>
      </w:r>
    </w:p>
    <w:p w:rsidR="00766088" w:rsidRDefault="00766088" w:rsidP="007D40F1">
      <w:pPr>
        <w:pStyle w:val="NoSpacing"/>
        <w:jc w:val="both"/>
        <w:rPr>
          <w:rFonts w:ascii="Garamond" w:hAnsi="Garamond"/>
          <w:sz w:val="24"/>
          <w:szCs w:val="24"/>
        </w:rPr>
      </w:pPr>
      <w:r>
        <w:rPr>
          <w:rFonts w:ascii="Garamond" w:hAnsi="Garamond"/>
          <w:sz w:val="24"/>
          <w:szCs w:val="24"/>
        </w:rPr>
        <w:t>SC in another case observed that owner need</w:t>
      </w:r>
      <w:r w:rsidR="00427004">
        <w:rPr>
          <w:rFonts w:ascii="Garamond" w:hAnsi="Garamond"/>
          <w:sz w:val="24"/>
          <w:szCs w:val="24"/>
        </w:rPr>
        <w:t xml:space="preserve"> </w:t>
      </w:r>
      <w:r>
        <w:rPr>
          <w:rFonts w:ascii="Garamond" w:hAnsi="Garamond"/>
          <w:sz w:val="24"/>
          <w:szCs w:val="24"/>
        </w:rPr>
        <w:t>not necessarily be legal owner.</w:t>
      </w:r>
    </w:p>
    <w:p w:rsidR="00766088" w:rsidRPr="00766088" w:rsidRDefault="00766088" w:rsidP="007D40F1">
      <w:pPr>
        <w:pStyle w:val="NoSpacing"/>
        <w:jc w:val="both"/>
        <w:rPr>
          <w:rFonts w:ascii="Garamond" w:hAnsi="Garamond"/>
          <w:sz w:val="24"/>
          <w:szCs w:val="24"/>
        </w:rPr>
      </w:pPr>
      <w:r>
        <w:rPr>
          <w:rFonts w:ascii="Garamond" w:hAnsi="Garamond"/>
          <w:sz w:val="24"/>
          <w:szCs w:val="24"/>
        </w:rPr>
        <w:t xml:space="preserve">Hence beneficial owner is </w:t>
      </w:r>
      <w:r>
        <w:rPr>
          <w:rFonts w:ascii="Garamond" w:hAnsi="Garamond"/>
          <w:sz w:val="24"/>
          <w:szCs w:val="24"/>
          <w:u w:val="single"/>
        </w:rPr>
        <w:t>entitled</w:t>
      </w:r>
      <w:r>
        <w:rPr>
          <w:rFonts w:ascii="Garamond" w:hAnsi="Garamond"/>
          <w:sz w:val="24"/>
          <w:szCs w:val="24"/>
        </w:rPr>
        <w:t xml:space="preserve"> to claim depreciation</w:t>
      </w:r>
    </w:p>
    <w:p w:rsidR="00AF3656" w:rsidRDefault="00AF3656" w:rsidP="007D40F1">
      <w:pPr>
        <w:pStyle w:val="NoSpacing"/>
        <w:jc w:val="both"/>
        <w:rPr>
          <w:rFonts w:ascii="Garamond" w:hAnsi="Garamond"/>
          <w:sz w:val="24"/>
          <w:szCs w:val="24"/>
        </w:rPr>
      </w:pPr>
    </w:p>
    <w:p w:rsidR="00C27FB4" w:rsidRPr="00C27FB4" w:rsidRDefault="00C27FB4" w:rsidP="00C27FB4">
      <w:pPr>
        <w:pStyle w:val="Default"/>
        <w:jc w:val="both"/>
        <w:rPr>
          <w:rFonts w:ascii="Garamond" w:hAnsi="Garamond"/>
          <w:b/>
          <w:bCs/>
          <w:i/>
          <w:iCs/>
        </w:rPr>
      </w:pPr>
      <w:r w:rsidRPr="00C27FB4">
        <w:rPr>
          <w:rFonts w:ascii="Garamond" w:hAnsi="Garamond"/>
          <w:b/>
          <w:bCs/>
          <w:i/>
          <w:iCs/>
        </w:rPr>
        <w:t>Is the expenditure incurred on payment of retrenchment compensation and interest on money borrowed for payment of retrenchment compensation on closure of one of the textile manufacturing units of the assessee-company revenue in nature?</w:t>
      </w:r>
    </w:p>
    <w:p w:rsidR="007D40F1"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CIT v. DCM Ltd.</w:t>
      </w:r>
    </w:p>
    <w:p w:rsidR="00C27FB4" w:rsidRPr="008D20B4" w:rsidRDefault="008D20B4" w:rsidP="007D40F1">
      <w:pPr>
        <w:pStyle w:val="NoSpacing"/>
        <w:jc w:val="both"/>
        <w:rPr>
          <w:rFonts w:ascii="Garamond" w:hAnsi="Garamond"/>
          <w:sz w:val="24"/>
          <w:szCs w:val="24"/>
        </w:rPr>
      </w:pPr>
      <w:r>
        <w:rPr>
          <w:rFonts w:ascii="Garamond" w:hAnsi="Garamond"/>
          <w:sz w:val="24"/>
          <w:szCs w:val="24"/>
        </w:rPr>
        <w:t xml:space="preserve">It is </w:t>
      </w:r>
      <w:r>
        <w:rPr>
          <w:rFonts w:ascii="Garamond" w:hAnsi="Garamond"/>
          <w:sz w:val="24"/>
          <w:szCs w:val="24"/>
          <w:u w:val="single"/>
        </w:rPr>
        <w:t>revenue expense</w:t>
      </w:r>
      <w:r w:rsidR="00E36679">
        <w:rPr>
          <w:rFonts w:ascii="Garamond" w:hAnsi="Garamond"/>
          <w:sz w:val="24"/>
          <w:szCs w:val="24"/>
          <w:u w:val="single"/>
        </w:rPr>
        <w:t>,</w:t>
      </w:r>
      <w:r>
        <w:rPr>
          <w:rFonts w:ascii="Garamond" w:hAnsi="Garamond"/>
          <w:sz w:val="24"/>
          <w:szCs w:val="24"/>
        </w:rPr>
        <w:t xml:space="preserve"> since after closure of unit</w:t>
      </w:r>
      <w:r w:rsidR="00E36679">
        <w:rPr>
          <w:rFonts w:ascii="Garamond" w:hAnsi="Garamond"/>
          <w:sz w:val="24"/>
          <w:szCs w:val="24"/>
        </w:rPr>
        <w:t>,</w:t>
      </w:r>
      <w:r>
        <w:rPr>
          <w:rFonts w:ascii="Garamond" w:hAnsi="Garamond"/>
          <w:sz w:val="24"/>
          <w:szCs w:val="24"/>
        </w:rPr>
        <w:t xml:space="preserve"> the remaining business is continued. However if compensation is paid to workers on closure of entire business it would be capital expense</w:t>
      </w:r>
    </w:p>
    <w:p w:rsidR="00527E9D" w:rsidRDefault="00E36679" w:rsidP="00BA75AE">
      <w:pPr>
        <w:pStyle w:val="NoSpacing"/>
        <w:tabs>
          <w:tab w:val="left" w:pos="7342"/>
        </w:tabs>
        <w:jc w:val="both"/>
        <w:rPr>
          <w:rFonts w:ascii="Garamond" w:hAnsi="Garamond"/>
          <w:sz w:val="24"/>
          <w:szCs w:val="24"/>
        </w:rPr>
      </w:pPr>
      <w:r>
        <w:rPr>
          <w:rFonts w:ascii="Garamond" w:hAnsi="Garamond"/>
          <w:sz w:val="24"/>
          <w:szCs w:val="24"/>
        </w:rPr>
        <w:tab/>
      </w:r>
    </w:p>
    <w:p w:rsidR="00527E9D" w:rsidRPr="00EF16D4" w:rsidRDefault="00C509C6" w:rsidP="00EF16D4">
      <w:pPr>
        <w:pStyle w:val="NoSpacing"/>
        <w:jc w:val="both"/>
        <w:rPr>
          <w:rFonts w:ascii="Garamond" w:hAnsi="Garamond"/>
          <w:b/>
          <w:bCs/>
          <w:i/>
          <w:iCs/>
          <w:sz w:val="24"/>
          <w:szCs w:val="24"/>
        </w:rPr>
      </w:pPr>
      <w:r>
        <w:rPr>
          <w:rFonts w:ascii="Garamond" w:hAnsi="Garamond"/>
          <w:b/>
          <w:bCs/>
          <w:i/>
          <w:iCs/>
          <w:sz w:val="24"/>
          <w:szCs w:val="24"/>
        </w:rPr>
        <w:t>Can exemption u/s</w:t>
      </w:r>
      <w:r w:rsidR="00EF16D4" w:rsidRPr="00EF16D4">
        <w:rPr>
          <w:rFonts w:ascii="Garamond" w:hAnsi="Garamond"/>
          <w:b/>
          <w:bCs/>
          <w:i/>
          <w:iCs/>
          <w:sz w:val="24"/>
          <w:szCs w:val="24"/>
        </w:rPr>
        <w:t xml:space="preserve"> 54B be denied solely on the ground that the new agricultural land purchased is not wholly owned by the assessee, as the assessee's son is a co-owner as per the sale deed?</w:t>
      </w:r>
    </w:p>
    <w:p w:rsidR="007D40F1" w:rsidRPr="00EF16D4" w:rsidRDefault="007D40F1" w:rsidP="007D40F1">
      <w:pPr>
        <w:pStyle w:val="NoSpacing"/>
        <w:jc w:val="both"/>
        <w:rPr>
          <w:rFonts w:ascii="Garamond" w:hAnsi="Garamond"/>
          <w:b/>
          <w:bCs/>
          <w:i/>
          <w:iCs/>
          <w:sz w:val="24"/>
          <w:szCs w:val="24"/>
          <w:u w:val="single"/>
        </w:rPr>
      </w:pPr>
      <w:r w:rsidRPr="00EF16D4">
        <w:rPr>
          <w:rFonts w:ascii="Garamond" w:hAnsi="Garamond"/>
          <w:b/>
          <w:bCs/>
          <w:i/>
          <w:iCs/>
          <w:sz w:val="24"/>
          <w:szCs w:val="24"/>
          <w:u w:val="single"/>
        </w:rPr>
        <w:t xml:space="preserve">CIT v. Gurnam Singh </w:t>
      </w:r>
    </w:p>
    <w:p w:rsidR="00EF16D4" w:rsidRDefault="00851E4E" w:rsidP="007D40F1">
      <w:pPr>
        <w:pStyle w:val="NoSpacing"/>
        <w:jc w:val="both"/>
        <w:rPr>
          <w:rFonts w:ascii="Garamond" w:hAnsi="Garamond"/>
          <w:sz w:val="24"/>
          <w:szCs w:val="24"/>
        </w:rPr>
      </w:pPr>
      <w:r>
        <w:rPr>
          <w:rFonts w:ascii="Garamond" w:hAnsi="Garamond"/>
          <w:sz w:val="24"/>
          <w:szCs w:val="24"/>
        </w:rPr>
        <w:t>HC held that merely because the assessee’s son was shown in sale deed as co-owner, it did not make any difference. Assessee was entitled to deduction u/s 54B</w:t>
      </w:r>
    </w:p>
    <w:p w:rsidR="00C04C5C" w:rsidRDefault="00C04C5C" w:rsidP="007D40F1">
      <w:pPr>
        <w:pStyle w:val="NoSpacing"/>
        <w:jc w:val="both"/>
        <w:rPr>
          <w:rFonts w:ascii="Garamond" w:hAnsi="Garamond"/>
          <w:sz w:val="24"/>
          <w:szCs w:val="24"/>
        </w:rPr>
      </w:pPr>
    </w:p>
    <w:p w:rsidR="00C04C5C" w:rsidRDefault="00C04C5C" w:rsidP="007D40F1">
      <w:pPr>
        <w:pStyle w:val="NoSpacing"/>
        <w:jc w:val="both"/>
        <w:rPr>
          <w:rFonts w:ascii="Garamond" w:hAnsi="Garamond"/>
          <w:sz w:val="24"/>
          <w:szCs w:val="24"/>
        </w:rPr>
      </w:pPr>
    </w:p>
    <w:p w:rsidR="00C04C5C" w:rsidRDefault="00C04C5C" w:rsidP="007D40F1">
      <w:pPr>
        <w:pStyle w:val="NoSpacing"/>
        <w:jc w:val="both"/>
        <w:rPr>
          <w:rFonts w:ascii="Garamond" w:hAnsi="Garamond"/>
          <w:sz w:val="24"/>
          <w:szCs w:val="24"/>
        </w:rPr>
      </w:pPr>
    </w:p>
    <w:p w:rsidR="00EF16D4" w:rsidRDefault="00EF16D4" w:rsidP="007D40F1">
      <w:pPr>
        <w:pStyle w:val="NoSpacing"/>
        <w:jc w:val="both"/>
        <w:rPr>
          <w:rFonts w:ascii="Garamond" w:hAnsi="Garamond"/>
          <w:sz w:val="24"/>
          <w:szCs w:val="24"/>
        </w:rPr>
      </w:pPr>
    </w:p>
    <w:p w:rsidR="00527E9D" w:rsidRPr="00527E9D" w:rsidRDefault="00527E9D" w:rsidP="00527E9D">
      <w:pPr>
        <w:pStyle w:val="NoSpacing"/>
        <w:jc w:val="both"/>
        <w:rPr>
          <w:rFonts w:ascii="Garamond" w:hAnsi="Garamond"/>
          <w:b/>
          <w:bCs/>
          <w:i/>
          <w:iCs/>
          <w:sz w:val="24"/>
          <w:szCs w:val="24"/>
        </w:rPr>
      </w:pPr>
      <w:r w:rsidRPr="00527E9D">
        <w:rPr>
          <w:rFonts w:ascii="Garamond" w:hAnsi="Garamond"/>
          <w:b/>
          <w:bCs/>
          <w:i/>
          <w:iCs/>
          <w:sz w:val="24"/>
          <w:szCs w:val="24"/>
        </w:rPr>
        <w:lastRenderedPageBreak/>
        <w:t>In determining the period of holding of a capital asset received by a partner on dissolution of firm, can the period of holding of the capital asset by the firm be taken into account?</w:t>
      </w:r>
    </w:p>
    <w:p w:rsidR="007D40F1" w:rsidRPr="00527E9D" w:rsidRDefault="007D40F1" w:rsidP="007D40F1">
      <w:pPr>
        <w:pStyle w:val="NoSpacing"/>
        <w:jc w:val="both"/>
        <w:rPr>
          <w:rFonts w:ascii="Garamond" w:hAnsi="Garamond"/>
          <w:b/>
          <w:bCs/>
          <w:i/>
          <w:iCs/>
          <w:sz w:val="24"/>
          <w:szCs w:val="24"/>
          <w:u w:val="single"/>
        </w:rPr>
      </w:pPr>
      <w:r w:rsidRPr="00527E9D">
        <w:rPr>
          <w:rFonts w:ascii="Garamond" w:hAnsi="Garamond"/>
          <w:b/>
          <w:bCs/>
          <w:i/>
          <w:iCs/>
          <w:sz w:val="24"/>
          <w:szCs w:val="24"/>
          <w:u w:val="single"/>
        </w:rPr>
        <w:t>P.P.Menon v. CIT</w:t>
      </w:r>
    </w:p>
    <w:p w:rsidR="001A14BD" w:rsidRPr="00216477" w:rsidRDefault="00424C8E" w:rsidP="007D40F1">
      <w:pPr>
        <w:pStyle w:val="NoSpacing"/>
        <w:jc w:val="both"/>
        <w:rPr>
          <w:rFonts w:ascii="Garamond" w:hAnsi="Garamond"/>
          <w:sz w:val="24"/>
          <w:szCs w:val="24"/>
          <w:u w:val="single"/>
        </w:rPr>
      </w:pPr>
      <w:r>
        <w:rPr>
          <w:rFonts w:ascii="Garamond" w:hAnsi="Garamond"/>
          <w:sz w:val="24"/>
          <w:szCs w:val="24"/>
        </w:rPr>
        <w:t xml:space="preserve">HC held that benefit of including the period of holding of previous owner can be availed only if the dissolution of firm had taken place at any time before April 1, 1987. In this case firm was dissolved on </w:t>
      </w:r>
      <w:r w:rsidR="00812E03">
        <w:rPr>
          <w:rFonts w:ascii="Garamond" w:hAnsi="Garamond"/>
          <w:sz w:val="24"/>
          <w:szCs w:val="24"/>
        </w:rPr>
        <w:t xml:space="preserve">April 15, 2001 &amp; therefore </w:t>
      </w:r>
      <w:r w:rsidR="00F62DD3">
        <w:rPr>
          <w:rFonts w:ascii="Garamond" w:hAnsi="Garamond"/>
          <w:sz w:val="24"/>
          <w:szCs w:val="24"/>
        </w:rPr>
        <w:t>the benefit of these sections would not be available to the assessee</w:t>
      </w:r>
      <w:r w:rsidR="006C1038">
        <w:rPr>
          <w:rFonts w:ascii="Garamond" w:hAnsi="Garamond"/>
          <w:sz w:val="24"/>
          <w:szCs w:val="24"/>
        </w:rPr>
        <w:t xml:space="preserve">. Therefore period of holding of asset by assessee in this case has to be reckoned from the date of dissolution of firm. Since assessee sold property within </w:t>
      </w:r>
      <w:r w:rsidR="006C1038" w:rsidRPr="006C1038">
        <w:rPr>
          <w:rFonts w:ascii="Garamond" w:hAnsi="Garamond"/>
          <w:sz w:val="24"/>
          <w:szCs w:val="24"/>
        </w:rPr>
        <w:t>3</w:t>
      </w:r>
      <w:r w:rsidR="006C1038">
        <w:rPr>
          <w:rFonts w:ascii="Garamond" w:hAnsi="Garamond"/>
          <w:sz w:val="24"/>
          <w:szCs w:val="24"/>
        </w:rPr>
        <w:t xml:space="preserve"> days of acquiring the same, gains have to be treated as </w:t>
      </w:r>
      <w:r w:rsidR="006C1038">
        <w:rPr>
          <w:rFonts w:ascii="Garamond" w:hAnsi="Garamond"/>
          <w:sz w:val="24"/>
          <w:szCs w:val="24"/>
          <w:u w:val="single"/>
        </w:rPr>
        <w:t>short term capital gain</w:t>
      </w:r>
    </w:p>
    <w:p w:rsidR="001A14BD" w:rsidRDefault="001A14BD" w:rsidP="007D40F1">
      <w:pPr>
        <w:pStyle w:val="NoSpacing"/>
        <w:jc w:val="both"/>
        <w:rPr>
          <w:rFonts w:ascii="Garamond" w:hAnsi="Garamond"/>
          <w:sz w:val="24"/>
          <w:szCs w:val="24"/>
        </w:rPr>
      </w:pPr>
    </w:p>
    <w:p w:rsidR="001A14BD" w:rsidRPr="008E3B80" w:rsidRDefault="001A14BD" w:rsidP="001A14BD">
      <w:pPr>
        <w:pStyle w:val="Default"/>
        <w:jc w:val="both"/>
        <w:rPr>
          <w:rFonts w:ascii="Garamond" w:hAnsi="Garamond"/>
          <w:b/>
          <w:bCs/>
          <w:i/>
          <w:iCs/>
        </w:rPr>
      </w:pPr>
      <w:r w:rsidRPr="008E3B80">
        <w:rPr>
          <w:rFonts w:ascii="Garamond" w:hAnsi="Garamond"/>
          <w:b/>
          <w:bCs/>
          <w:i/>
          <w:iCs/>
        </w:rPr>
        <w:t>Can exemption under section 54EC be denied on account of the bonds being issued after six months of the date of transfer even though the payment for the bonds was made by the assessee within the six month period?</w:t>
      </w:r>
    </w:p>
    <w:p w:rsidR="001A14BD"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Hindustan Unilever Ltd.v.DCIT</w:t>
      </w:r>
    </w:p>
    <w:p w:rsidR="00D92287" w:rsidRDefault="00D92287" w:rsidP="007D40F1">
      <w:pPr>
        <w:pStyle w:val="NoSpacing"/>
        <w:jc w:val="both"/>
        <w:rPr>
          <w:rFonts w:ascii="Garamond" w:hAnsi="Garamond"/>
          <w:sz w:val="24"/>
          <w:szCs w:val="24"/>
        </w:rPr>
      </w:pPr>
      <w:r>
        <w:rPr>
          <w:rFonts w:ascii="Garamond" w:hAnsi="Garamond"/>
          <w:sz w:val="24"/>
          <w:szCs w:val="24"/>
        </w:rPr>
        <w:t>HC held that is such payments is made within a period of 6months from date of transfer, assessee would be eligible to claim exemption u/s 54EC</w:t>
      </w:r>
    </w:p>
    <w:p w:rsidR="001A14BD" w:rsidRDefault="001A14BD" w:rsidP="007D40F1">
      <w:pPr>
        <w:pStyle w:val="NoSpacing"/>
        <w:jc w:val="both"/>
        <w:rPr>
          <w:rFonts w:ascii="Garamond" w:hAnsi="Garamond"/>
          <w:sz w:val="24"/>
          <w:szCs w:val="24"/>
        </w:rPr>
      </w:pPr>
    </w:p>
    <w:p w:rsidR="00F844FF" w:rsidRPr="00D92287" w:rsidRDefault="00F844FF" w:rsidP="00F844FF">
      <w:pPr>
        <w:pStyle w:val="Default"/>
        <w:jc w:val="both"/>
        <w:rPr>
          <w:rFonts w:ascii="Garamond" w:hAnsi="Garamond"/>
          <w:b/>
          <w:bCs/>
          <w:i/>
          <w:iCs/>
        </w:rPr>
      </w:pPr>
      <w:r w:rsidRPr="00D92287">
        <w:rPr>
          <w:rFonts w:ascii="Garamond" w:hAnsi="Garamond"/>
          <w:b/>
          <w:bCs/>
          <w:i/>
          <w:iCs/>
        </w:rPr>
        <w:t>What would be the period of holding to determine whether the capital gains on renunciation of right to subscribe for additional shares is short-term or long-term?</w:t>
      </w:r>
    </w:p>
    <w:p w:rsidR="007D40F1"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Navin Jindal v. ACIT</w:t>
      </w:r>
    </w:p>
    <w:p w:rsidR="00A7739E" w:rsidRDefault="002873BF" w:rsidP="007D40F1">
      <w:pPr>
        <w:pStyle w:val="NoSpacing"/>
        <w:jc w:val="both"/>
        <w:rPr>
          <w:rFonts w:ascii="Garamond" w:hAnsi="Garamond"/>
          <w:sz w:val="24"/>
          <w:szCs w:val="24"/>
        </w:rPr>
      </w:pPr>
      <w:r>
        <w:rPr>
          <w:rFonts w:ascii="Garamond" w:hAnsi="Garamond"/>
          <w:sz w:val="24"/>
          <w:szCs w:val="24"/>
        </w:rPr>
        <w:t xml:space="preserve">SC observed that such right to subscribe comes into existence when the Co decides to come out with the right offer. Thus for capital gain purpose, period of holding would be </w:t>
      </w:r>
      <w:r>
        <w:rPr>
          <w:rFonts w:ascii="Garamond" w:hAnsi="Garamond"/>
          <w:sz w:val="24"/>
          <w:szCs w:val="24"/>
          <w:u w:val="single"/>
        </w:rPr>
        <w:t>from date on which such right to subscribe for</w:t>
      </w:r>
      <w:r>
        <w:rPr>
          <w:rFonts w:ascii="Garamond" w:hAnsi="Garamond"/>
          <w:sz w:val="24"/>
          <w:szCs w:val="24"/>
        </w:rPr>
        <w:t xml:space="preserve"> additional shares comes into existence </w:t>
      </w:r>
      <w:r>
        <w:rPr>
          <w:rFonts w:ascii="Garamond" w:hAnsi="Garamond"/>
          <w:sz w:val="24"/>
          <w:szCs w:val="24"/>
          <w:u w:val="single"/>
        </w:rPr>
        <w:t>upto date of renunciation</w:t>
      </w:r>
      <w:r>
        <w:rPr>
          <w:rFonts w:ascii="Garamond" w:hAnsi="Garamond"/>
          <w:sz w:val="24"/>
          <w:szCs w:val="24"/>
        </w:rPr>
        <w:t xml:space="preserve"> of such right</w:t>
      </w:r>
    </w:p>
    <w:p w:rsidR="00A7739E" w:rsidRPr="00627666" w:rsidRDefault="00A7739E" w:rsidP="007D40F1">
      <w:pPr>
        <w:pStyle w:val="NoSpacing"/>
        <w:jc w:val="both"/>
        <w:rPr>
          <w:rFonts w:ascii="Garamond" w:hAnsi="Garamond"/>
          <w:b/>
          <w:bCs/>
          <w:i/>
          <w:iCs/>
          <w:sz w:val="24"/>
          <w:szCs w:val="24"/>
        </w:rPr>
      </w:pPr>
    </w:p>
    <w:p w:rsidR="002873BF" w:rsidRPr="00627666" w:rsidRDefault="002F67B9" w:rsidP="002F67B9">
      <w:pPr>
        <w:pStyle w:val="NoSpacing"/>
        <w:jc w:val="both"/>
        <w:rPr>
          <w:rFonts w:ascii="Garamond" w:hAnsi="Garamond"/>
          <w:b/>
          <w:bCs/>
          <w:i/>
          <w:iCs/>
          <w:sz w:val="24"/>
          <w:szCs w:val="24"/>
        </w:rPr>
      </w:pPr>
      <w:r w:rsidRPr="00627666">
        <w:rPr>
          <w:rFonts w:ascii="Garamond" w:hAnsi="Garamond"/>
          <w:b/>
          <w:bCs/>
          <w:i/>
          <w:iCs/>
          <w:sz w:val="24"/>
          <w:szCs w:val="24"/>
        </w:rPr>
        <w:t>Does income derived from sale of export incentive qualify fo</w:t>
      </w:r>
      <w:r w:rsidR="00132BB6" w:rsidRPr="00627666">
        <w:rPr>
          <w:rFonts w:ascii="Garamond" w:hAnsi="Garamond"/>
          <w:b/>
          <w:bCs/>
          <w:i/>
          <w:iCs/>
          <w:sz w:val="24"/>
          <w:szCs w:val="24"/>
        </w:rPr>
        <w:t>r deduction under section 80-IB</w:t>
      </w:r>
      <w:r w:rsidRPr="00627666">
        <w:rPr>
          <w:rFonts w:ascii="Garamond" w:hAnsi="Garamond"/>
          <w:b/>
          <w:bCs/>
          <w:i/>
          <w:iCs/>
          <w:sz w:val="24"/>
          <w:szCs w:val="24"/>
        </w:rPr>
        <w:t>?</w:t>
      </w:r>
    </w:p>
    <w:p w:rsidR="00004C4C" w:rsidRPr="00627666" w:rsidRDefault="007D40F1" w:rsidP="007D40F1">
      <w:pPr>
        <w:pStyle w:val="NoSpacing"/>
        <w:jc w:val="both"/>
        <w:rPr>
          <w:rFonts w:ascii="Garamond" w:hAnsi="Garamond"/>
          <w:b/>
          <w:bCs/>
          <w:i/>
          <w:iCs/>
          <w:sz w:val="24"/>
          <w:szCs w:val="24"/>
          <w:u w:val="single"/>
        </w:rPr>
      </w:pPr>
      <w:r w:rsidRPr="00627666">
        <w:rPr>
          <w:rFonts w:ascii="Garamond" w:hAnsi="Garamond"/>
          <w:b/>
          <w:bCs/>
          <w:i/>
          <w:iCs/>
          <w:sz w:val="24"/>
          <w:szCs w:val="24"/>
          <w:u w:val="single"/>
        </w:rPr>
        <w:t>CIT v. Jaswand Sons</w:t>
      </w:r>
    </w:p>
    <w:p w:rsidR="00004C4C" w:rsidRPr="002F67B9" w:rsidRDefault="002F67B9" w:rsidP="007D40F1">
      <w:pPr>
        <w:pStyle w:val="NoSpacing"/>
        <w:jc w:val="both"/>
        <w:rPr>
          <w:rFonts w:ascii="Garamond" w:hAnsi="Garamond"/>
          <w:sz w:val="24"/>
          <w:szCs w:val="24"/>
        </w:rPr>
      </w:pPr>
      <w:r>
        <w:rPr>
          <w:rFonts w:ascii="Garamond" w:hAnsi="Garamond"/>
          <w:sz w:val="24"/>
          <w:szCs w:val="24"/>
        </w:rPr>
        <w:t xml:space="preserve">Income derived from sale of export incentive cannot be said to be income derived from </w:t>
      </w:r>
      <w:r>
        <w:rPr>
          <w:rFonts w:ascii="Garamond" w:hAnsi="Garamond"/>
          <w:i/>
          <w:iCs/>
          <w:sz w:val="24"/>
          <w:szCs w:val="24"/>
        </w:rPr>
        <w:t>industrial undertaking</w:t>
      </w:r>
      <w:r>
        <w:rPr>
          <w:rFonts w:ascii="Garamond" w:hAnsi="Garamond"/>
          <w:sz w:val="24"/>
          <w:szCs w:val="24"/>
        </w:rPr>
        <w:t xml:space="preserve"> &amp; therefore such income is not eligible for deduction u/s 80IB</w:t>
      </w:r>
    </w:p>
    <w:p w:rsidR="00204904" w:rsidRDefault="00204904" w:rsidP="007D40F1">
      <w:pPr>
        <w:pStyle w:val="NoSpacing"/>
        <w:jc w:val="both"/>
        <w:rPr>
          <w:rFonts w:ascii="Garamond" w:hAnsi="Garamond"/>
          <w:sz w:val="24"/>
          <w:szCs w:val="24"/>
        </w:rPr>
      </w:pPr>
    </w:p>
    <w:p w:rsidR="00204904" w:rsidRPr="00204904" w:rsidRDefault="00204904" w:rsidP="00204904">
      <w:pPr>
        <w:pStyle w:val="NoSpacing"/>
        <w:jc w:val="both"/>
        <w:rPr>
          <w:rFonts w:ascii="Garamond" w:hAnsi="Garamond"/>
          <w:b/>
          <w:bCs/>
          <w:i/>
          <w:iCs/>
          <w:sz w:val="24"/>
          <w:szCs w:val="24"/>
        </w:rPr>
      </w:pPr>
      <w:r w:rsidRPr="00204904">
        <w:rPr>
          <w:rFonts w:ascii="Garamond" w:hAnsi="Garamond"/>
          <w:b/>
          <w:bCs/>
          <w:i/>
          <w:iCs/>
          <w:sz w:val="24"/>
          <w:szCs w:val="24"/>
        </w:rPr>
        <w:t>Can freight subsidy arising out of the scheme of Central Government be treated as a "profit derived from the business" for the purposes of section 80-IA?</w:t>
      </w:r>
    </w:p>
    <w:p w:rsidR="007D40F1" w:rsidRPr="00204904" w:rsidRDefault="007D40F1" w:rsidP="007D40F1">
      <w:pPr>
        <w:pStyle w:val="NoSpacing"/>
        <w:jc w:val="both"/>
        <w:rPr>
          <w:rFonts w:ascii="Garamond" w:hAnsi="Garamond"/>
          <w:sz w:val="24"/>
          <w:szCs w:val="24"/>
          <w:u w:val="single"/>
        </w:rPr>
      </w:pPr>
      <w:r w:rsidRPr="00204904">
        <w:rPr>
          <w:rFonts w:ascii="Garamond" w:hAnsi="Garamond"/>
          <w:b/>
          <w:bCs/>
          <w:i/>
          <w:iCs/>
          <w:sz w:val="24"/>
          <w:szCs w:val="24"/>
          <w:u w:val="single"/>
        </w:rPr>
        <w:t>CIT v. Kiran Enterprises</w:t>
      </w:r>
      <w:r w:rsidRPr="00204904">
        <w:rPr>
          <w:rFonts w:ascii="Garamond" w:hAnsi="Garamond"/>
          <w:sz w:val="24"/>
          <w:szCs w:val="24"/>
          <w:u w:val="single"/>
        </w:rPr>
        <w:t xml:space="preserve"> </w:t>
      </w:r>
    </w:p>
    <w:p w:rsidR="005A7460" w:rsidRDefault="00D43CE8" w:rsidP="007D40F1">
      <w:pPr>
        <w:pStyle w:val="NoSpacing"/>
        <w:jc w:val="both"/>
        <w:rPr>
          <w:rFonts w:ascii="Garamond" w:hAnsi="Garamond"/>
          <w:sz w:val="24"/>
          <w:szCs w:val="24"/>
        </w:rPr>
      </w:pPr>
      <w:r>
        <w:rPr>
          <w:rFonts w:ascii="Garamond" w:hAnsi="Garamond"/>
          <w:sz w:val="24"/>
          <w:szCs w:val="24"/>
        </w:rPr>
        <w:t>HC held that transport subsidy received by assessee was not a profit derived from business since it was not a profit derived from business since it was not an operational profit. The source was not the business of the assessee but the scheme of CG</w:t>
      </w:r>
      <w:r w:rsidR="00AB2CDC">
        <w:rPr>
          <w:rFonts w:ascii="Garamond" w:hAnsi="Garamond"/>
          <w:sz w:val="24"/>
          <w:szCs w:val="24"/>
        </w:rPr>
        <w:t xml:space="preserve">. The words </w:t>
      </w:r>
      <w:r w:rsidR="00AB2CDC">
        <w:rPr>
          <w:rFonts w:ascii="Garamond" w:hAnsi="Garamond"/>
          <w:i/>
          <w:iCs/>
          <w:sz w:val="24"/>
          <w:szCs w:val="24"/>
        </w:rPr>
        <w:t>derived from</w:t>
      </w:r>
      <w:r w:rsidR="00AB2CDC">
        <w:rPr>
          <w:rFonts w:ascii="Garamond" w:hAnsi="Garamond"/>
          <w:sz w:val="24"/>
          <w:szCs w:val="24"/>
        </w:rPr>
        <w:t xml:space="preserve"> are narrower in connotation as compared to the words </w:t>
      </w:r>
      <w:r w:rsidR="00AB2CDC">
        <w:rPr>
          <w:rFonts w:ascii="Garamond" w:hAnsi="Garamond"/>
          <w:i/>
          <w:iCs/>
          <w:sz w:val="24"/>
          <w:szCs w:val="24"/>
        </w:rPr>
        <w:t>attributable to</w:t>
      </w:r>
      <w:r w:rsidR="00AB2CDC">
        <w:rPr>
          <w:rFonts w:ascii="Garamond" w:hAnsi="Garamond"/>
          <w:sz w:val="24"/>
          <w:szCs w:val="24"/>
        </w:rPr>
        <w:t>. Therefore freight subsidy cannot be treated as profit derived from business for the purpose of Sec 80-IA</w:t>
      </w:r>
    </w:p>
    <w:p w:rsidR="005A7460" w:rsidRDefault="005A7460" w:rsidP="007D40F1">
      <w:pPr>
        <w:pStyle w:val="NoSpacing"/>
        <w:jc w:val="both"/>
        <w:rPr>
          <w:rFonts w:ascii="Garamond" w:hAnsi="Garamond"/>
          <w:sz w:val="24"/>
          <w:szCs w:val="24"/>
        </w:rPr>
      </w:pPr>
    </w:p>
    <w:p w:rsidR="005A7460" w:rsidRPr="005A7460" w:rsidRDefault="005A7460" w:rsidP="005A7460">
      <w:pPr>
        <w:pStyle w:val="Default"/>
        <w:jc w:val="both"/>
        <w:rPr>
          <w:rFonts w:ascii="Garamond" w:hAnsi="Garamond"/>
          <w:b/>
          <w:bCs/>
          <w:i/>
          <w:iCs/>
        </w:rPr>
      </w:pPr>
      <w:r w:rsidRPr="005A7460">
        <w:rPr>
          <w:rFonts w:ascii="Garamond" w:hAnsi="Garamond"/>
          <w:b/>
          <w:bCs/>
          <w:i/>
          <w:iCs/>
        </w:rPr>
        <w:t>Does the period of exemption under section 80-IB commence from the year of trial production or year of commercial production? Would it make a difference if sale was effected from out of the trial production?</w:t>
      </w:r>
    </w:p>
    <w:p w:rsidR="007D40F1"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 xml:space="preserve">CIT v. Nestor Pharmaceuticals Ltd </w:t>
      </w:r>
    </w:p>
    <w:p w:rsidR="005A7460" w:rsidRDefault="00A7739E" w:rsidP="007D40F1">
      <w:pPr>
        <w:pStyle w:val="NoSpacing"/>
        <w:jc w:val="both"/>
        <w:rPr>
          <w:rFonts w:ascii="Garamond" w:hAnsi="Garamond"/>
          <w:sz w:val="24"/>
          <w:szCs w:val="24"/>
        </w:rPr>
      </w:pPr>
      <w:r>
        <w:rPr>
          <w:rFonts w:ascii="Garamond" w:hAnsi="Garamond"/>
          <w:sz w:val="24"/>
          <w:szCs w:val="24"/>
        </w:rPr>
        <w:t xml:space="preserve">HC observed that with mere trial production, manufacture for the purpose of marketing the goods had not started which starts only with commercial production, namely when the final product to the satisfaction of manufacturer has been brought into existence &amp; is fit for marketing. </w:t>
      </w:r>
    </w:p>
    <w:p w:rsidR="00A7739E" w:rsidRDefault="00A7739E" w:rsidP="007D40F1">
      <w:pPr>
        <w:pStyle w:val="NoSpacing"/>
        <w:jc w:val="both"/>
        <w:rPr>
          <w:rFonts w:ascii="Garamond" w:hAnsi="Garamond"/>
          <w:sz w:val="24"/>
          <w:szCs w:val="24"/>
        </w:rPr>
      </w:pPr>
      <w:r>
        <w:rPr>
          <w:rFonts w:ascii="Garamond" w:hAnsi="Garamond"/>
          <w:sz w:val="24"/>
          <w:szCs w:val="24"/>
        </w:rPr>
        <w:t>If sale was from trial production, marketed quality was established. Purpose &amp; quantity of sale is not material</w:t>
      </w:r>
    </w:p>
    <w:p w:rsidR="005A7460" w:rsidRDefault="005A7460" w:rsidP="007D40F1">
      <w:pPr>
        <w:pStyle w:val="NoSpacing"/>
        <w:jc w:val="both"/>
        <w:rPr>
          <w:rFonts w:ascii="Garamond" w:hAnsi="Garamond"/>
          <w:sz w:val="24"/>
          <w:szCs w:val="24"/>
        </w:rPr>
      </w:pPr>
    </w:p>
    <w:p w:rsidR="003125AC" w:rsidRDefault="003125AC" w:rsidP="007D40F1">
      <w:pPr>
        <w:pStyle w:val="NoSpacing"/>
        <w:jc w:val="both"/>
        <w:rPr>
          <w:rFonts w:ascii="Garamond" w:hAnsi="Garamond"/>
          <w:sz w:val="24"/>
          <w:szCs w:val="24"/>
        </w:rPr>
      </w:pPr>
    </w:p>
    <w:p w:rsidR="003125AC" w:rsidRDefault="003125AC" w:rsidP="007D40F1">
      <w:pPr>
        <w:pStyle w:val="NoSpacing"/>
        <w:jc w:val="both"/>
        <w:rPr>
          <w:rFonts w:ascii="Garamond" w:hAnsi="Garamond"/>
          <w:sz w:val="24"/>
          <w:szCs w:val="24"/>
        </w:rPr>
      </w:pPr>
    </w:p>
    <w:p w:rsidR="005A7460" w:rsidRPr="00567001" w:rsidRDefault="00567001" w:rsidP="00567001">
      <w:pPr>
        <w:pStyle w:val="Default"/>
        <w:jc w:val="both"/>
        <w:rPr>
          <w:rFonts w:ascii="Garamond" w:hAnsi="Garamond"/>
          <w:b/>
          <w:bCs/>
          <w:i/>
          <w:iCs/>
          <w:u w:val="single"/>
        </w:rPr>
      </w:pPr>
      <w:r w:rsidRPr="00567001">
        <w:rPr>
          <w:rFonts w:ascii="Garamond" w:hAnsi="Garamond"/>
          <w:b/>
          <w:bCs/>
          <w:i/>
          <w:iCs/>
        </w:rPr>
        <w:lastRenderedPageBreak/>
        <w:t xml:space="preserve">Would the interest earned on surplus funds of a club deposited with institutional members satisfy the principle of mutuality to escape taxability? </w:t>
      </w:r>
    </w:p>
    <w:p w:rsidR="007D40F1" w:rsidRPr="00567001" w:rsidRDefault="007D40F1" w:rsidP="007D40F1">
      <w:pPr>
        <w:pStyle w:val="NoSpacing"/>
        <w:jc w:val="both"/>
        <w:rPr>
          <w:rFonts w:ascii="Garamond" w:hAnsi="Garamond"/>
          <w:b/>
          <w:bCs/>
          <w:i/>
          <w:iCs/>
          <w:sz w:val="24"/>
          <w:szCs w:val="24"/>
          <w:u w:val="single"/>
        </w:rPr>
      </w:pPr>
      <w:r w:rsidRPr="00567001">
        <w:rPr>
          <w:rFonts w:ascii="Garamond" w:hAnsi="Garamond"/>
          <w:b/>
          <w:bCs/>
          <w:i/>
          <w:iCs/>
          <w:sz w:val="24"/>
          <w:szCs w:val="24"/>
          <w:u w:val="single"/>
        </w:rPr>
        <w:t>Madras Gymkhana Club v. DCIT</w:t>
      </w:r>
    </w:p>
    <w:p w:rsidR="00760DC9" w:rsidRPr="00760DC9" w:rsidRDefault="00760DC9" w:rsidP="007D40F1">
      <w:pPr>
        <w:pStyle w:val="NoSpacing"/>
        <w:jc w:val="both"/>
        <w:rPr>
          <w:rFonts w:ascii="Garamond" w:hAnsi="Garamond"/>
          <w:sz w:val="24"/>
          <w:szCs w:val="24"/>
          <w:u w:val="single"/>
        </w:rPr>
      </w:pPr>
      <w:r>
        <w:rPr>
          <w:rFonts w:ascii="Garamond" w:hAnsi="Garamond"/>
          <w:sz w:val="24"/>
          <w:szCs w:val="24"/>
        </w:rPr>
        <w:t xml:space="preserve">Interest earned on surplus funds of a club deposited with institutional members doesn’t satisfy the principle of mutuality &amp; hence cannot be claimed as exempt. Thus interest so earned is </w:t>
      </w:r>
      <w:r>
        <w:rPr>
          <w:rFonts w:ascii="Garamond" w:hAnsi="Garamond"/>
          <w:sz w:val="24"/>
          <w:szCs w:val="24"/>
          <w:u w:val="single"/>
        </w:rPr>
        <w:t>taxable</w:t>
      </w:r>
    </w:p>
    <w:p w:rsidR="00760DC9" w:rsidRDefault="00760DC9" w:rsidP="007D40F1">
      <w:pPr>
        <w:pStyle w:val="NoSpacing"/>
        <w:jc w:val="both"/>
        <w:rPr>
          <w:rFonts w:ascii="Garamond" w:hAnsi="Garamond"/>
          <w:sz w:val="24"/>
          <w:szCs w:val="24"/>
        </w:rPr>
      </w:pPr>
    </w:p>
    <w:p w:rsidR="00567001" w:rsidRPr="00760DC9" w:rsidRDefault="00760DC9" w:rsidP="00760DC9">
      <w:pPr>
        <w:pStyle w:val="Default"/>
        <w:jc w:val="both"/>
        <w:rPr>
          <w:rFonts w:ascii="Garamond" w:hAnsi="Garamond"/>
          <w:b/>
          <w:bCs/>
          <w:i/>
          <w:iCs/>
        </w:rPr>
      </w:pPr>
      <w:r w:rsidRPr="00760DC9">
        <w:rPr>
          <w:rFonts w:ascii="Garamond" w:hAnsi="Garamond"/>
          <w:b/>
          <w:bCs/>
          <w:i/>
          <w:iCs/>
        </w:rPr>
        <w:t>Can penalty under section 271(1)(c) for concealment of income be imposed in a case where the assessee has raised a debatable issue?</w:t>
      </w:r>
    </w:p>
    <w:p w:rsidR="00567001" w:rsidRPr="00760DC9" w:rsidRDefault="00567001" w:rsidP="00567001">
      <w:pPr>
        <w:pStyle w:val="NoSpacing"/>
        <w:jc w:val="both"/>
        <w:rPr>
          <w:rFonts w:ascii="Garamond" w:hAnsi="Garamond"/>
          <w:b/>
          <w:bCs/>
          <w:i/>
          <w:iCs/>
          <w:sz w:val="24"/>
          <w:szCs w:val="24"/>
          <w:u w:val="single"/>
        </w:rPr>
      </w:pPr>
      <w:r w:rsidRPr="00760DC9">
        <w:rPr>
          <w:rFonts w:ascii="Garamond" w:hAnsi="Garamond"/>
          <w:b/>
          <w:bCs/>
          <w:i/>
          <w:iCs/>
          <w:sz w:val="24"/>
          <w:szCs w:val="24"/>
          <w:u w:val="single"/>
        </w:rPr>
        <w:t>CIT v. Indersons Leather P. Ltd.</w:t>
      </w:r>
    </w:p>
    <w:p w:rsidR="00567001" w:rsidRDefault="0076405C" w:rsidP="007D40F1">
      <w:pPr>
        <w:pStyle w:val="NoSpacing"/>
        <w:jc w:val="both"/>
        <w:rPr>
          <w:rFonts w:ascii="Garamond" w:hAnsi="Garamond"/>
          <w:sz w:val="24"/>
          <w:szCs w:val="24"/>
        </w:rPr>
      </w:pPr>
      <w:r>
        <w:rPr>
          <w:rFonts w:ascii="Garamond" w:hAnsi="Garamond"/>
          <w:sz w:val="24"/>
          <w:szCs w:val="24"/>
        </w:rPr>
        <w:t>Mere raising of de</w:t>
      </w:r>
      <w:r w:rsidR="001B33DA">
        <w:rPr>
          <w:rFonts w:ascii="Garamond" w:hAnsi="Garamond"/>
          <w:sz w:val="24"/>
          <w:szCs w:val="24"/>
        </w:rPr>
        <w:t>batable issue couldn’</w:t>
      </w:r>
      <w:r>
        <w:rPr>
          <w:rFonts w:ascii="Garamond" w:hAnsi="Garamond"/>
          <w:sz w:val="24"/>
          <w:szCs w:val="24"/>
        </w:rPr>
        <w:t>t amount to concealment of income/furnishing inaccurate particulars &amp; therefore penalty u/s 27(1)(C) can’t be imposed</w:t>
      </w:r>
    </w:p>
    <w:p w:rsidR="006957AC" w:rsidRDefault="006957AC" w:rsidP="007D40F1">
      <w:pPr>
        <w:pStyle w:val="NoSpacing"/>
        <w:jc w:val="both"/>
        <w:rPr>
          <w:rFonts w:ascii="Garamond" w:hAnsi="Garamond"/>
          <w:sz w:val="24"/>
          <w:szCs w:val="24"/>
        </w:rPr>
      </w:pPr>
    </w:p>
    <w:p w:rsidR="006957AC" w:rsidRPr="00F5297B" w:rsidRDefault="006957AC" w:rsidP="006957AC">
      <w:pPr>
        <w:pStyle w:val="NoSpacing"/>
        <w:jc w:val="both"/>
        <w:rPr>
          <w:rFonts w:ascii="Garamond" w:hAnsi="Garamond"/>
          <w:b/>
          <w:bCs/>
          <w:i/>
          <w:iCs/>
          <w:sz w:val="24"/>
          <w:szCs w:val="24"/>
        </w:rPr>
      </w:pPr>
      <w:r w:rsidRPr="00F5297B">
        <w:rPr>
          <w:rFonts w:ascii="Garamond" w:hAnsi="Garamond"/>
          <w:b/>
          <w:bCs/>
          <w:i/>
          <w:iCs/>
          <w:sz w:val="24"/>
          <w:szCs w:val="24"/>
        </w:rPr>
        <w:t>In a case where the partnership deed does not specify the remuneration payable to each individual working partner but lays down the manner of fixing the remuneration, would the assessee-firm be entitled to deduction in respect of remuneration paid to partners?</w:t>
      </w:r>
    </w:p>
    <w:p w:rsidR="007D40F1" w:rsidRPr="00F5297B" w:rsidRDefault="007D40F1" w:rsidP="007D40F1">
      <w:pPr>
        <w:pStyle w:val="NoSpacing"/>
        <w:jc w:val="both"/>
        <w:rPr>
          <w:rFonts w:ascii="Garamond" w:hAnsi="Garamond"/>
          <w:b/>
          <w:bCs/>
          <w:i/>
          <w:iCs/>
          <w:sz w:val="24"/>
          <w:szCs w:val="24"/>
          <w:u w:val="single"/>
        </w:rPr>
      </w:pPr>
      <w:r w:rsidRPr="00F5297B">
        <w:rPr>
          <w:rFonts w:ascii="Garamond" w:hAnsi="Garamond"/>
          <w:b/>
          <w:bCs/>
          <w:i/>
          <w:iCs/>
          <w:sz w:val="24"/>
          <w:szCs w:val="24"/>
          <w:u w:val="single"/>
        </w:rPr>
        <w:t>CIT v. Anil Hardware Store</w:t>
      </w:r>
    </w:p>
    <w:p w:rsidR="00366638" w:rsidRDefault="00953880" w:rsidP="007D40F1">
      <w:pPr>
        <w:pStyle w:val="NoSpacing"/>
        <w:jc w:val="both"/>
        <w:rPr>
          <w:rFonts w:ascii="Garamond" w:hAnsi="Garamond"/>
          <w:sz w:val="24"/>
          <w:szCs w:val="24"/>
        </w:rPr>
      </w:pPr>
      <w:r>
        <w:rPr>
          <w:rFonts w:ascii="Garamond" w:hAnsi="Garamond"/>
          <w:sz w:val="24"/>
          <w:szCs w:val="24"/>
        </w:rPr>
        <w:t>Assessee firm is entitled to deduct remuneration paid to partners u/s 40(b)(v) of the Income Tax Act</w:t>
      </w:r>
    </w:p>
    <w:p w:rsidR="00366638" w:rsidRDefault="00366638" w:rsidP="007D40F1">
      <w:pPr>
        <w:pStyle w:val="NoSpacing"/>
        <w:jc w:val="both"/>
        <w:rPr>
          <w:rFonts w:ascii="Garamond" w:hAnsi="Garamond"/>
          <w:sz w:val="24"/>
          <w:szCs w:val="24"/>
        </w:rPr>
      </w:pPr>
    </w:p>
    <w:p w:rsidR="005455CE" w:rsidRPr="00366638" w:rsidRDefault="00366638" w:rsidP="00366638">
      <w:pPr>
        <w:pStyle w:val="NoSpacing"/>
        <w:jc w:val="both"/>
        <w:rPr>
          <w:rFonts w:ascii="Garamond" w:hAnsi="Garamond"/>
          <w:b/>
          <w:bCs/>
          <w:i/>
          <w:iCs/>
          <w:sz w:val="24"/>
          <w:szCs w:val="24"/>
          <w:u w:val="single"/>
        </w:rPr>
      </w:pPr>
      <w:r w:rsidRPr="00366638">
        <w:rPr>
          <w:rFonts w:ascii="Garamond" w:hAnsi="Garamond"/>
          <w:b/>
          <w:bCs/>
          <w:i/>
          <w:iCs/>
          <w:sz w:val="24"/>
          <w:szCs w:val="24"/>
        </w:rPr>
        <w:t>Can long-term capital gain exempted by virtue of erstwhile section 54E be included in the book profit computed under erstwhile section 115J?</w:t>
      </w:r>
    </w:p>
    <w:p w:rsidR="007D40F1" w:rsidRPr="00366638" w:rsidRDefault="007D40F1" w:rsidP="007D40F1">
      <w:pPr>
        <w:pStyle w:val="NoSpacing"/>
        <w:jc w:val="both"/>
        <w:rPr>
          <w:rFonts w:ascii="Garamond" w:hAnsi="Garamond"/>
          <w:b/>
          <w:bCs/>
          <w:i/>
          <w:iCs/>
          <w:sz w:val="24"/>
          <w:szCs w:val="24"/>
          <w:u w:val="single"/>
        </w:rPr>
      </w:pPr>
      <w:r w:rsidRPr="00366638">
        <w:rPr>
          <w:rFonts w:ascii="Garamond" w:hAnsi="Garamond"/>
          <w:b/>
          <w:bCs/>
          <w:i/>
          <w:iCs/>
          <w:sz w:val="24"/>
          <w:szCs w:val="24"/>
          <w:u w:val="single"/>
        </w:rPr>
        <w:t>N.J.Jose and Co.(P.) Ltd.</w:t>
      </w:r>
      <w:r w:rsidR="00204904">
        <w:rPr>
          <w:rFonts w:ascii="Garamond" w:hAnsi="Garamond"/>
          <w:b/>
          <w:bCs/>
          <w:i/>
          <w:iCs/>
          <w:sz w:val="24"/>
          <w:szCs w:val="24"/>
          <w:u w:val="single"/>
        </w:rPr>
        <w:t xml:space="preserve"> </w:t>
      </w:r>
      <w:r w:rsidRPr="00366638">
        <w:rPr>
          <w:rFonts w:ascii="Garamond" w:hAnsi="Garamond"/>
          <w:b/>
          <w:bCs/>
          <w:i/>
          <w:iCs/>
          <w:sz w:val="24"/>
          <w:szCs w:val="24"/>
          <w:u w:val="single"/>
        </w:rPr>
        <w:t>v.</w:t>
      </w:r>
      <w:r w:rsidR="00204904">
        <w:rPr>
          <w:rFonts w:ascii="Garamond" w:hAnsi="Garamond"/>
          <w:b/>
          <w:bCs/>
          <w:i/>
          <w:iCs/>
          <w:sz w:val="24"/>
          <w:szCs w:val="24"/>
          <w:u w:val="single"/>
        </w:rPr>
        <w:t xml:space="preserve"> </w:t>
      </w:r>
      <w:r w:rsidRPr="00366638">
        <w:rPr>
          <w:rFonts w:ascii="Garamond" w:hAnsi="Garamond"/>
          <w:b/>
          <w:bCs/>
          <w:i/>
          <w:iCs/>
          <w:sz w:val="24"/>
          <w:szCs w:val="24"/>
          <w:u w:val="single"/>
        </w:rPr>
        <w:t>ACIT</w:t>
      </w:r>
    </w:p>
    <w:p w:rsidR="00501F78" w:rsidRDefault="00D23C00" w:rsidP="007D40F1">
      <w:pPr>
        <w:pStyle w:val="NoSpacing"/>
        <w:jc w:val="both"/>
        <w:rPr>
          <w:rFonts w:ascii="Garamond" w:hAnsi="Garamond"/>
          <w:sz w:val="24"/>
          <w:szCs w:val="24"/>
        </w:rPr>
      </w:pPr>
      <w:r>
        <w:rPr>
          <w:rFonts w:ascii="Garamond" w:hAnsi="Garamond"/>
          <w:sz w:val="24"/>
          <w:szCs w:val="24"/>
        </w:rPr>
        <w:t>HC held that once AO found that total income as computed under provisions of Act was less than 30% of book profit, he had to make assessment u/s 115J which doesn’t provide for any deduction in terms of section 54E. as long as LTCG are part of the profits included in the profit &amp; loss A/c prepared in accordance with provisions of Schedule VI of Companies Act 1956, capital gains cannot be excluded unless provided under explanation of section 115J(1A)</w:t>
      </w:r>
    </w:p>
    <w:p w:rsidR="00501F78" w:rsidRDefault="00501F78" w:rsidP="007D40F1">
      <w:pPr>
        <w:pStyle w:val="NoSpacing"/>
        <w:jc w:val="both"/>
        <w:rPr>
          <w:rFonts w:ascii="Garamond" w:hAnsi="Garamond"/>
          <w:sz w:val="24"/>
          <w:szCs w:val="24"/>
        </w:rPr>
      </w:pPr>
    </w:p>
    <w:p w:rsidR="005455CE" w:rsidRPr="00501F78" w:rsidRDefault="00501F78" w:rsidP="00501F78">
      <w:pPr>
        <w:pStyle w:val="NoSpacing"/>
        <w:jc w:val="both"/>
        <w:rPr>
          <w:rFonts w:ascii="Garamond" w:hAnsi="Garamond"/>
          <w:b/>
          <w:bCs/>
          <w:i/>
          <w:iCs/>
          <w:sz w:val="24"/>
          <w:szCs w:val="24"/>
        </w:rPr>
      </w:pPr>
      <w:r w:rsidRPr="00501F78">
        <w:rPr>
          <w:rFonts w:ascii="Garamond" w:hAnsi="Garamond"/>
          <w:b/>
          <w:bCs/>
          <w:i/>
          <w:iCs/>
          <w:sz w:val="24"/>
          <w:szCs w:val="24"/>
        </w:rPr>
        <w:t>Does the</w:t>
      </w:r>
      <w:r w:rsidR="00C35902">
        <w:rPr>
          <w:rFonts w:ascii="Garamond" w:hAnsi="Garamond"/>
          <w:b/>
          <w:bCs/>
          <w:i/>
          <w:iCs/>
          <w:sz w:val="24"/>
          <w:szCs w:val="24"/>
        </w:rPr>
        <w:t xml:space="preserve"> </w:t>
      </w:r>
      <w:r w:rsidRPr="00501F78">
        <w:rPr>
          <w:rFonts w:ascii="Garamond" w:hAnsi="Garamond"/>
          <w:b/>
          <w:bCs/>
          <w:i/>
          <w:iCs/>
          <w:sz w:val="24"/>
          <w:szCs w:val="24"/>
        </w:rPr>
        <w:t>CB</w:t>
      </w:r>
      <w:r w:rsidR="00C35902">
        <w:rPr>
          <w:rFonts w:ascii="Garamond" w:hAnsi="Garamond"/>
          <w:b/>
          <w:bCs/>
          <w:i/>
          <w:iCs/>
          <w:sz w:val="24"/>
          <w:szCs w:val="24"/>
        </w:rPr>
        <w:t>DT have the power u/s</w:t>
      </w:r>
      <w:r w:rsidRPr="00501F78">
        <w:rPr>
          <w:rFonts w:ascii="Garamond" w:hAnsi="Garamond"/>
          <w:b/>
          <w:bCs/>
          <w:i/>
          <w:iCs/>
          <w:sz w:val="24"/>
          <w:szCs w:val="24"/>
        </w:rPr>
        <w:t xml:space="preserve"> 119(2)(b) to condone the delay in filing return of income?</w:t>
      </w:r>
    </w:p>
    <w:p w:rsidR="007D40F1" w:rsidRPr="00D23C00" w:rsidRDefault="00556F58" w:rsidP="007D40F1">
      <w:pPr>
        <w:pStyle w:val="NoSpacing"/>
        <w:jc w:val="both"/>
        <w:rPr>
          <w:rFonts w:ascii="Garamond" w:hAnsi="Garamond"/>
          <w:b/>
          <w:bCs/>
          <w:i/>
          <w:iCs/>
          <w:sz w:val="24"/>
          <w:szCs w:val="24"/>
          <w:u w:val="single"/>
        </w:rPr>
      </w:pPr>
      <w:r w:rsidRPr="00D23C00">
        <w:rPr>
          <w:rFonts w:ascii="Garamond" w:hAnsi="Garamond"/>
          <w:b/>
          <w:bCs/>
          <w:i/>
          <w:iCs/>
          <w:sz w:val="24"/>
          <w:szCs w:val="24"/>
          <w:u w:val="single"/>
        </w:rPr>
        <w:t xml:space="preserve">Lodhi Property Company Ltd v </w:t>
      </w:r>
      <w:r w:rsidR="007D40F1" w:rsidRPr="00D23C00">
        <w:rPr>
          <w:rFonts w:ascii="Garamond" w:hAnsi="Garamond"/>
          <w:b/>
          <w:bCs/>
          <w:i/>
          <w:iCs/>
          <w:sz w:val="24"/>
          <w:szCs w:val="24"/>
          <w:u w:val="single"/>
        </w:rPr>
        <w:t>Under Secretary,(ITA-II),Department of Revenue</w:t>
      </w:r>
    </w:p>
    <w:p w:rsidR="00526E6D" w:rsidRDefault="00DD5BEE" w:rsidP="007D40F1">
      <w:pPr>
        <w:pStyle w:val="NoSpacing"/>
        <w:jc w:val="both"/>
        <w:rPr>
          <w:rFonts w:ascii="Garamond" w:hAnsi="Garamond"/>
          <w:sz w:val="24"/>
          <w:szCs w:val="24"/>
        </w:rPr>
      </w:pPr>
      <w:r>
        <w:rPr>
          <w:rFonts w:ascii="Garamond" w:hAnsi="Garamond"/>
          <w:sz w:val="24"/>
          <w:szCs w:val="24"/>
        </w:rPr>
        <w:t xml:space="preserve">HC held that CBDT has the power to condone delay in case of a return which was filed late &amp; where a claim for carry forward of losses was made. </w:t>
      </w:r>
    </w:p>
    <w:p w:rsidR="00526E6D" w:rsidRPr="00526E6D" w:rsidRDefault="00526E6D" w:rsidP="007D40F1">
      <w:pPr>
        <w:pStyle w:val="NoSpacing"/>
        <w:jc w:val="both"/>
        <w:rPr>
          <w:rFonts w:ascii="Garamond" w:hAnsi="Garamond"/>
          <w:sz w:val="24"/>
          <w:szCs w:val="24"/>
        </w:rPr>
      </w:pPr>
    </w:p>
    <w:p w:rsidR="005455CE" w:rsidRPr="00526E6D" w:rsidRDefault="00526E6D" w:rsidP="007D40F1">
      <w:pPr>
        <w:pStyle w:val="NoSpacing"/>
        <w:jc w:val="both"/>
        <w:rPr>
          <w:rFonts w:ascii="Garamond" w:hAnsi="Garamond"/>
          <w:b/>
          <w:bCs/>
          <w:i/>
          <w:iCs/>
          <w:sz w:val="24"/>
          <w:szCs w:val="24"/>
        </w:rPr>
      </w:pPr>
      <w:r w:rsidRPr="00526E6D">
        <w:rPr>
          <w:rFonts w:ascii="Garamond" w:hAnsi="Garamond"/>
          <w:b/>
          <w:bCs/>
          <w:i/>
          <w:iCs/>
          <w:sz w:val="24"/>
          <w:szCs w:val="24"/>
        </w:rPr>
        <w:t xml:space="preserve">Can the Assessing Officer reopen an assessment on the basis of merely a change of opinion? </w:t>
      </w:r>
    </w:p>
    <w:p w:rsidR="007D40F1" w:rsidRPr="00526E6D" w:rsidRDefault="0094033B" w:rsidP="007D40F1">
      <w:pPr>
        <w:pStyle w:val="NoSpacing"/>
        <w:jc w:val="both"/>
        <w:rPr>
          <w:rFonts w:ascii="Garamond" w:hAnsi="Garamond"/>
          <w:b/>
          <w:bCs/>
          <w:i/>
          <w:iCs/>
          <w:sz w:val="24"/>
          <w:szCs w:val="24"/>
          <w:u w:val="single"/>
        </w:rPr>
      </w:pPr>
      <w:r>
        <w:rPr>
          <w:rFonts w:ascii="Garamond" w:hAnsi="Garamond"/>
          <w:b/>
          <w:bCs/>
          <w:i/>
          <w:iCs/>
          <w:sz w:val="24"/>
          <w:szCs w:val="24"/>
          <w:u w:val="single"/>
        </w:rPr>
        <w:t xml:space="preserve">Aventis Pharma Ltd v </w:t>
      </w:r>
      <w:r w:rsidR="007D40F1" w:rsidRPr="00526E6D">
        <w:rPr>
          <w:rFonts w:ascii="Garamond" w:hAnsi="Garamond"/>
          <w:b/>
          <w:bCs/>
          <w:i/>
          <w:iCs/>
          <w:sz w:val="24"/>
          <w:szCs w:val="24"/>
          <w:u w:val="single"/>
        </w:rPr>
        <w:t>ACIT</w:t>
      </w:r>
    </w:p>
    <w:p w:rsidR="005455CE" w:rsidRDefault="00F77BB3" w:rsidP="007D40F1">
      <w:pPr>
        <w:pStyle w:val="NoSpacing"/>
        <w:jc w:val="both"/>
        <w:rPr>
          <w:rFonts w:ascii="Garamond" w:hAnsi="Garamond"/>
          <w:sz w:val="24"/>
          <w:szCs w:val="24"/>
        </w:rPr>
      </w:pPr>
      <w:r>
        <w:rPr>
          <w:rFonts w:ascii="Garamond" w:hAnsi="Garamond"/>
          <w:sz w:val="24"/>
          <w:szCs w:val="24"/>
        </w:rPr>
        <w:t>Power to reopen an assessment is conditional on the formation of a reason to believe that income chargeable to tax has escaped assessment. Existence of tangible material is essential to safeguard against an arbitrary exercise of this power.</w:t>
      </w:r>
    </w:p>
    <w:p w:rsidR="00501F78" w:rsidRPr="006A6A92" w:rsidRDefault="00750472" w:rsidP="007D40F1">
      <w:pPr>
        <w:pStyle w:val="NoSpacing"/>
        <w:jc w:val="both"/>
        <w:rPr>
          <w:rFonts w:ascii="Garamond" w:hAnsi="Garamond"/>
          <w:sz w:val="24"/>
          <w:szCs w:val="24"/>
          <w:u w:val="single"/>
        </w:rPr>
      </w:pPr>
      <w:r>
        <w:rPr>
          <w:rFonts w:ascii="Garamond" w:hAnsi="Garamond"/>
          <w:sz w:val="24"/>
          <w:szCs w:val="24"/>
        </w:rPr>
        <w:t>HC observed that in this case there was no tangible material before AO to hold that income has escaped assessment</w:t>
      </w:r>
      <w:r w:rsidR="006A6A92">
        <w:rPr>
          <w:rFonts w:ascii="Garamond" w:hAnsi="Garamond"/>
          <w:sz w:val="24"/>
          <w:szCs w:val="24"/>
        </w:rPr>
        <w:t xml:space="preserve"> &amp; reasons recorded for reopening constituted a mere change of opinion. Reassessment was </w:t>
      </w:r>
      <w:r w:rsidR="006A6A92">
        <w:rPr>
          <w:rFonts w:ascii="Garamond" w:hAnsi="Garamond"/>
          <w:sz w:val="24"/>
          <w:szCs w:val="24"/>
          <w:u w:val="single"/>
        </w:rPr>
        <w:t>not valid</w:t>
      </w:r>
    </w:p>
    <w:p w:rsidR="00501F78" w:rsidRDefault="00501F78" w:rsidP="007D40F1">
      <w:pPr>
        <w:pStyle w:val="NoSpacing"/>
        <w:jc w:val="both"/>
        <w:rPr>
          <w:rFonts w:ascii="Garamond" w:hAnsi="Garamond"/>
          <w:sz w:val="24"/>
          <w:szCs w:val="24"/>
        </w:rPr>
      </w:pPr>
    </w:p>
    <w:p w:rsidR="005455CE" w:rsidRPr="00526E6D" w:rsidRDefault="00526E6D" w:rsidP="007D40F1">
      <w:pPr>
        <w:pStyle w:val="NoSpacing"/>
        <w:jc w:val="both"/>
        <w:rPr>
          <w:rFonts w:ascii="Garamond" w:hAnsi="Garamond"/>
          <w:b/>
          <w:bCs/>
          <w:i/>
          <w:iCs/>
          <w:sz w:val="24"/>
          <w:szCs w:val="24"/>
        </w:rPr>
      </w:pPr>
      <w:r w:rsidRPr="00526E6D">
        <w:rPr>
          <w:rFonts w:ascii="Garamond" w:hAnsi="Garamond"/>
          <w:b/>
          <w:bCs/>
          <w:i/>
          <w:iCs/>
          <w:sz w:val="24"/>
          <w:szCs w:val="24"/>
        </w:rPr>
        <w:t>Would the doctrine of merger apply for calculating the pe</w:t>
      </w:r>
      <w:r w:rsidR="006A6A92">
        <w:rPr>
          <w:rFonts w:ascii="Garamond" w:hAnsi="Garamond"/>
          <w:b/>
          <w:bCs/>
          <w:i/>
          <w:iCs/>
          <w:sz w:val="24"/>
          <w:szCs w:val="24"/>
        </w:rPr>
        <w:t>riod of limitation u/s</w:t>
      </w:r>
      <w:r w:rsidRPr="00526E6D">
        <w:rPr>
          <w:rFonts w:ascii="Garamond" w:hAnsi="Garamond"/>
          <w:b/>
          <w:bCs/>
          <w:i/>
          <w:iCs/>
          <w:sz w:val="24"/>
          <w:szCs w:val="24"/>
        </w:rPr>
        <w:t xml:space="preserve"> 154(7)? </w:t>
      </w:r>
    </w:p>
    <w:p w:rsidR="007D40F1" w:rsidRPr="00526E6D" w:rsidRDefault="007D40F1" w:rsidP="007D40F1">
      <w:pPr>
        <w:pStyle w:val="NoSpacing"/>
        <w:jc w:val="both"/>
        <w:rPr>
          <w:rFonts w:ascii="Garamond" w:hAnsi="Garamond"/>
          <w:b/>
          <w:bCs/>
          <w:i/>
          <w:iCs/>
          <w:sz w:val="24"/>
          <w:szCs w:val="24"/>
          <w:u w:val="single"/>
        </w:rPr>
      </w:pPr>
      <w:r w:rsidRPr="00526E6D">
        <w:rPr>
          <w:rFonts w:ascii="Garamond" w:hAnsi="Garamond"/>
          <w:b/>
          <w:bCs/>
          <w:i/>
          <w:iCs/>
          <w:sz w:val="24"/>
          <w:szCs w:val="24"/>
          <w:u w:val="single"/>
        </w:rPr>
        <w:t xml:space="preserve">CIT v. Tony Electronics Limited </w:t>
      </w:r>
    </w:p>
    <w:p w:rsidR="00526E6D" w:rsidRDefault="00897D7F" w:rsidP="007D40F1">
      <w:pPr>
        <w:pStyle w:val="NoSpacing"/>
        <w:jc w:val="both"/>
        <w:rPr>
          <w:rFonts w:ascii="Garamond" w:hAnsi="Garamond"/>
          <w:sz w:val="24"/>
          <w:szCs w:val="24"/>
        </w:rPr>
      </w:pPr>
      <w:r>
        <w:rPr>
          <w:rFonts w:ascii="Garamond" w:hAnsi="Garamond"/>
          <w:sz w:val="24"/>
          <w:szCs w:val="24"/>
        </w:rPr>
        <w:t xml:space="preserve">HC held that once an appeal against the order passed by an Authority is preferred &amp; is decided by the appellate authority, order of AO merges with order of appellate authority. After merger order of original authority ceases to exist &amp; order of appellate authority prevails. Thus period of limitation </w:t>
      </w:r>
      <w:r w:rsidR="000F1997">
        <w:rPr>
          <w:rFonts w:ascii="Garamond" w:hAnsi="Garamond"/>
          <w:sz w:val="24"/>
          <w:szCs w:val="24"/>
        </w:rPr>
        <w:t>of 4yrs for the purpose of section 1</w:t>
      </w:r>
      <w:r w:rsidR="002567A7">
        <w:rPr>
          <w:rFonts w:ascii="Garamond" w:hAnsi="Garamond"/>
          <w:sz w:val="24"/>
          <w:szCs w:val="24"/>
        </w:rPr>
        <w:t>54(7) has to be counted from the date of order of appellate authority</w:t>
      </w:r>
    </w:p>
    <w:p w:rsidR="00526E6D" w:rsidRDefault="00526E6D" w:rsidP="007D40F1">
      <w:pPr>
        <w:pStyle w:val="NoSpacing"/>
        <w:jc w:val="both"/>
        <w:rPr>
          <w:rFonts w:ascii="Garamond" w:hAnsi="Garamond"/>
          <w:sz w:val="24"/>
          <w:szCs w:val="24"/>
        </w:rPr>
      </w:pPr>
    </w:p>
    <w:p w:rsidR="00623671" w:rsidRDefault="00623671" w:rsidP="007D40F1">
      <w:pPr>
        <w:pStyle w:val="NoSpacing"/>
        <w:jc w:val="both"/>
        <w:rPr>
          <w:rFonts w:ascii="Garamond" w:hAnsi="Garamond"/>
          <w:sz w:val="24"/>
          <w:szCs w:val="24"/>
        </w:rPr>
      </w:pPr>
    </w:p>
    <w:p w:rsidR="00623671" w:rsidRDefault="00623671" w:rsidP="007D40F1">
      <w:pPr>
        <w:pStyle w:val="NoSpacing"/>
        <w:jc w:val="both"/>
        <w:rPr>
          <w:rFonts w:ascii="Garamond" w:hAnsi="Garamond"/>
          <w:sz w:val="24"/>
          <w:szCs w:val="24"/>
        </w:rPr>
      </w:pPr>
    </w:p>
    <w:p w:rsidR="005455CE" w:rsidRPr="00526E6D" w:rsidRDefault="00526E6D" w:rsidP="007D40F1">
      <w:pPr>
        <w:pStyle w:val="NoSpacing"/>
        <w:jc w:val="both"/>
        <w:rPr>
          <w:rFonts w:ascii="Garamond" w:hAnsi="Garamond"/>
          <w:b/>
          <w:bCs/>
          <w:i/>
          <w:iCs/>
          <w:sz w:val="24"/>
          <w:szCs w:val="24"/>
          <w:u w:val="single"/>
        </w:rPr>
      </w:pPr>
      <w:r w:rsidRPr="00526E6D">
        <w:rPr>
          <w:rFonts w:ascii="Garamond" w:hAnsi="Garamond"/>
          <w:b/>
          <w:bCs/>
          <w:i/>
          <w:iCs/>
          <w:sz w:val="24"/>
          <w:szCs w:val="24"/>
        </w:rPr>
        <w:lastRenderedPageBreak/>
        <w:t xml:space="preserve">Does the Appellate Tribunal have the power to review or re-appreciate the correctness of its earlier decision u/s 254(2)? </w:t>
      </w:r>
    </w:p>
    <w:p w:rsidR="007D40F1" w:rsidRPr="00526E6D" w:rsidRDefault="00526E6D" w:rsidP="007D40F1">
      <w:pPr>
        <w:pStyle w:val="NoSpacing"/>
        <w:jc w:val="both"/>
        <w:rPr>
          <w:rFonts w:ascii="Garamond" w:hAnsi="Garamond"/>
          <w:b/>
          <w:bCs/>
          <w:i/>
          <w:iCs/>
          <w:sz w:val="24"/>
          <w:szCs w:val="24"/>
          <w:u w:val="single"/>
        </w:rPr>
      </w:pPr>
      <w:r w:rsidRPr="00526E6D">
        <w:rPr>
          <w:rFonts w:ascii="Garamond" w:hAnsi="Garamond"/>
          <w:b/>
          <w:bCs/>
          <w:i/>
          <w:iCs/>
          <w:sz w:val="24"/>
          <w:szCs w:val="24"/>
          <w:u w:val="single"/>
        </w:rPr>
        <w:t>CIT v. Earnest Exports Ltd</w:t>
      </w:r>
    </w:p>
    <w:p w:rsidR="00F87877" w:rsidRDefault="005F0949" w:rsidP="007D40F1">
      <w:pPr>
        <w:pStyle w:val="NoSpacing"/>
        <w:jc w:val="both"/>
        <w:rPr>
          <w:rFonts w:ascii="Garamond" w:hAnsi="Garamond"/>
          <w:sz w:val="24"/>
          <w:szCs w:val="24"/>
        </w:rPr>
      </w:pPr>
      <w:r>
        <w:rPr>
          <w:rFonts w:ascii="Garamond" w:hAnsi="Garamond"/>
          <w:sz w:val="24"/>
          <w:szCs w:val="24"/>
        </w:rPr>
        <w:t>Tribunal reconsidered the matter &amp; came to a different conclusion. This amounted to re</w:t>
      </w:r>
      <w:r w:rsidR="000D2809">
        <w:rPr>
          <w:rFonts w:ascii="Garamond" w:hAnsi="Garamond"/>
          <w:sz w:val="24"/>
          <w:szCs w:val="24"/>
        </w:rPr>
        <w:t xml:space="preserve"> </w:t>
      </w:r>
      <w:r>
        <w:rPr>
          <w:rFonts w:ascii="Garamond" w:hAnsi="Garamond"/>
          <w:sz w:val="24"/>
          <w:szCs w:val="24"/>
        </w:rPr>
        <w:t>appreciation of correctness of earlier decision on merits, which beyond the scope of power conferred u/s 254(2)</w:t>
      </w:r>
    </w:p>
    <w:p w:rsidR="00F87877" w:rsidRDefault="00F87877" w:rsidP="007D40F1">
      <w:pPr>
        <w:pStyle w:val="NoSpacing"/>
        <w:jc w:val="both"/>
        <w:rPr>
          <w:rFonts w:ascii="Garamond" w:hAnsi="Garamond"/>
          <w:sz w:val="24"/>
          <w:szCs w:val="24"/>
        </w:rPr>
      </w:pPr>
    </w:p>
    <w:p w:rsidR="005455CE" w:rsidRPr="004439B0" w:rsidRDefault="004439B0" w:rsidP="007D40F1">
      <w:pPr>
        <w:pStyle w:val="NoSpacing"/>
        <w:jc w:val="both"/>
        <w:rPr>
          <w:rFonts w:ascii="Garamond" w:hAnsi="Garamond"/>
          <w:b/>
          <w:bCs/>
          <w:i/>
          <w:iCs/>
          <w:sz w:val="24"/>
          <w:szCs w:val="24"/>
        </w:rPr>
      </w:pPr>
      <w:r w:rsidRPr="004439B0">
        <w:rPr>
          <w:rFonts w:ascii="Garamond" w:hAnsi="Garamond"/>
          <w:b/>
          <w:bCs/>
          <w:i/>
          <w:iCs/>
          <w:sz w:val="24"/>
          <w:szCs w:val="24"/>
        </w:rPr>
        <w:t xml:space="preserve">Does the High Court have an inherent power under the Income-tax Act, 1961 to review an earlier order passed on merits? </w:t>
      </w:r>
    </w:p>
    <w:p w:rsidR="007D40F1" w:rsidRPr="004439B0" w:rsidRDefault="007D40F1" w:rsidP="007D40F1">
      <w:pPr>
        <w:pStyle w:val="NoSpacing"/>
        <w:jc w:val="both"/>
        <w:rPr>
          <w:rFonts w:ascii="Garamond" w:hAnsi="Garamond"/>
          <w:b/>
          <w:bCs/>
          <w:i/>
          <w:iCs/>
          <w:sz w:val="24"/>
          <w:szCs w:val="24"/>
          <w:u w:val="single"/>
        </w:rPr>
      </w:pPr>
      <w:r w:rsidRPr="004439B0">
        <w:rPr>
          <w:rFonts w:ascii="Garamond" w:hAnsi="Garamond"/>
          <w:b/>
          <w:bCs/>
          <w:i/>
          <w:iCs/>
          <w:sz w:val="24"/>
          <w:szCs w:val="24"/>
          <w:u w:val="single"/>
        </w:rPr>
        <w:t xml:space="preserve">Deepak Kumar Garg v. CIT </w:t>
      </w:r>
    </w:p>
    <w:p w:rsidR="00F87877" w:rsidRDefault="00B91AD8" w:rsidP="007D40F1">
      <w:pPr>
        <w:pStyle w:val="NoSpacing"/>
        <w:jc w:val="both"/>
        <w:rPr>
          <w:rFonts w:ascii="Garamond" w:hAnsi="Garamond"/>
          <w:sz w:val="24"/>
          <w:szCs w:val="24"/>
        </w:rPr>
      </w:pPr>
      <w:r>
        <w:rPr>
          <w:rFonts w:ascii="Garamond" w:hAnsi="Garamond"/>
          <w:sz w:val="24"/>
          <w:szCs w:val="24"/>
        </w:rPr>
        <w:t xml:space="preserve">Power to review is not an inherent power &amp; must be conferred by law. The power of re-admission/restoration is always enjoyed by HC. However such power to restore the appeal cannot be treated </w:t>
      </w:r>
      <w:r w:rsidR="002164A6">
        <w:rPr>
          <w:rFonts w:ascii="Garamond" w:hAnsi="Garamond"/>
          <w:sz w:val="24"/>
          <w:szCs w:val="24"/>
        </w:rPr>
        <w:t>to b</w:t>
      </w:r>
      <w:r w:rsidR="00136BA4">
        <w:rPr>
          <w:rFonts w:ascii="Garamond" w:hAnsi="Garamond"/>
          <w:sz w:val="24"/>
          <w:szCs w:val="24"/>
        </w:rPr>
        <w:t>e a power to review the earlier order passed on merits</w:t>
      </w:r>
    </w:p>
    <w:p w:rsidR="00F87877" w:rsidRDefault="00F87877" w:rsidP="007D40F1">
      <w:pPr>
        <w:pStyle w:val="NoSpacing"/>
        <w:jc w:val="both"/>
        <w:rPr>
          <w:rFonts w:ascii="Garamond" w:hAnsi="Garamond"/>
          <w:sz w:val="24"/>
          <w:szCs w:val="24"/>
        </w:rPr>
      </w:pPr>
    </w:p>
    <w:p w:rsidR="00426083" w:rsidRPr="00426083" w:rsidRDefault="00E02AF4" w:rsidP="00426083">
      <w:pPr>
        <w:pStyle w:val="NoSpacing"/>
        <w:jc w:val="both"/>
        <w:rPr>
          <w:rFonts w:ascii="Garamond" w:hAnsi="Garamond"/>
          <w:b/>
          <w:bCs/>
          <w:i/>
          <w:iCs/>
          <w:sz w:val="24"/>
          <w:szCs w:val="24"/>
        </w:rPr>
      </w:pPr>
      <w:r>
        <w:rPr>
          <w:rFonts w:ascii="Garamond" w:hAnsi="Garamond"/>
          <w:b/>
          <w:bCs/>
          <w:i/>
          <w:iCs/>
          <w:sz w:val="24"/>
          <w:szCs w:val="24"/>
        </w:rPr>
        <w:t>Can the penalty u/s</w:t>
      </w:r>
      <w:r w:rsidR="00426083" w:rsidRPr="00426083">
        <w:rPr>
          <w:rFonts w:ascii="Garamond" w:hAnsi="Garamond"/>
          <w:b/>
          <w:bCs/>
          <w:i/>
          <w:iCs/>
          <w:sz w:val="24"/>
          <w:szCs w:val="24"/>
        </w:rPr>
        <w:t xml:space="preserve"> 271(1)(c) be imposed where the assessment is made by estimating the net profit at a higher percentage applying the provisions of section 145?</w:t>
      </w:r>
    </w:p>
    <w:p w:rsidR="007D40F1" w:rsidRPr="00426083" w:rsidRDefault="007D40F1" w:rsidP="007D40F1">
      <w:pPr>
        <w:pStyle w:val="NoSpacing"/>
        <w:jc w:val="both"/>
        <w:rPr>
          <w:rFonts w:ascii="Garamond" w:hAnsi="Garamond"/>
          <w:b/>
          <w:bCs/>
          <w:i/>
          <w:iCs/>
          <w:sz w:val="24"/>
          <w:szCs w:val="24"/>
          <w:u w:val="single"/>
        </w:rPr>
      </w:pPr>
      <w:r w:rsidRPr="00426083">
        <w:rPr>
          <w:rFonts w:ascii="Garamond" w:hAnsi="Garamond"/>
          <w:b/>
          <w:bCs/>
          <w:i/>
          <w:iCs/>
          <w:sz w:val="24"/>
          <w:szCs w:val="24"/>
          <w:u w:val="single"/>
        </w:rPr>
        <w:t>CIT v. Vijay Kumar Jain</w:t>
      </w:r>
    </w:p>
    <w:p w:rsidR="00F844FF" w:rsidRDefault="00824B2F" w:rsidP="007D40F1">
      <w:pPr>
        <w:pStyle w:val="NoSpacing"/>
        <w:jc w:val="both"/>
        <w:rPr>
          <w:rFonts w:ascii="Garamond" w:hAnsi="Garamond"/>
          <w:sz w:val="24"/>
          <w:szCs w:val="24"/>
        </w:rPr>
      </w:pPr>
      <w:r>
        <w:rPr>
          <w:rFonts w:ascii="Garamond" w:hAnsi="Garamond"/>
          <w:sz w:val="24"/>
          <w:szCs w:val="24"/>
        </w:rPr>
        <w:t xml:space="preserve">In order to impose penalty under the section there has to be concealment of particulars of income of assessee or assessee must have furnished </w:t>
      </w:r>
      <w:r w:rsidR="002E037A">
        <w:rPr>
          <w:rFonts w:ascii="Garamond" w:hAnsi="Garamond"/>
          <w:sz w:val="24"/>
          <w:szCs w:val="24"/>
        </w:rPr>
        <w:t>inaccurate particulars of his income. Where no information given in return is found to be incorrect or inaccurate, assessee can’t be held guilty of furnishing inaccurate particulars</w:t>
      </w:r>
    </w:p>
    <w:p w:rsidR="00F844FF" w:rsidRDefault="00F844FF" w:rsidP="007D40F1">
      <w:pPr>
        <w:pStyle w:val="NoSpacing"/>
        <w:jc w:val="both"/>
        <w:rPr>
          <w:rFonts w:ascii="Garamond" w:hAnsi="Garamond"/>
          <w:sz w:val="24"/>
          <w:szCs w:val="24"/>
        </w:rPr>
      </w:pPr>
    </w:p>
    <w:p w:rsidR="00F844FF" w:rsidRPr="00497ABB" w:rsidRDefault="00F844FF" w:rsidP="00F844FF">
      <w:pPr>
        <w:pStyle w:val="Default"/>
        <w:jc w:val="both"/>
        <w:rPr>
          <w:rFonts w:ascii="Garamond" w:hAnsi="Garamond"/>
          <w:b/>
          <w:bCs/>
          <w:i/>
          <w:iCs/>
        </w:rPr>
      </w:pPr>
      <w:r w:rsidRPr="00497ABB">
        <w:rPr>
          <w:rFonts w:ascii="Garamond" w:hAnsi="Garamond"/>
          <w:b/>
          <w:bCs/>
          <w:i/>
          <w:iCs/>
        </w:rPr>
        <w:t>Would making an incorrect claim in the return of income per se amount to concealment of particulars or furnishing inaccurate particulars for attracting th</w:t>
      </w:r>
      <w:r w:rsidR="00004C4C">
        <w:rPr>
          <w:rFonts w:ascii="Garamond" w:hAnsi="Garamond"/>
          <w:b/>
          <w:bCs/>
          <w:i/>
          <w:iCs/>
        </w:rPr>
        <w:t>e penal provisions u/s</w:t>
      </w:r>
      <w:r w:rsidRPr="00497ABB">
        <w:rPr>
          <w:rFonts w:ascii="Garamond" w:hAnsi="Garamond"/>
          <w:b/>
          <w:bCs/>
          <w:i/>
          <w:iCs/>
        </w:rPr>
        <w:t xml:space="preserve"> 271(1)(c), when no information given in the return is found to be incorrect?</w:t>
      </w:r>
    </w:p>
    <w:p w:rsidR="00FE1E30" w:rsidRPr="00004C4C" w:rsidRDefault="007D40F1" w:rsidP="007D40F1">
      <w:pPr>
        <w:pStyle w:val="NoSpacing"/>
        <w:jc w:val="both"/>
        <w:rPr>
          <w:rFonts w:ascii="Garamond" w:hAnsi="Garamond"/>
          <w:b/>
          <w:bCs/>
          <w:i/>
          <w:iCs/>
          <w:sz w:val="24"/>
          <w:szCs w:val="24"/>
          <w:u w:val="single"/>
        </w:rPr>
      </w:pPr>
      <w:r w:rsidRPr="00004C4C">
        <w:rPr>
          <w:rFonts w:ascii="Garamond" w:hAnsi="Garamond"/>
          <w:b/>
          <w:bCs/>
          <w:i/>
          <w:iCs/>
          <w:sz w:val="24"/>
          <w:szCs w:val="24"/>
          <w:u w:val="single"/>
        </w:rPr>
        <w:t>CIT v. Reliance Petro Products Pvt. Ltd</w:t>
      </w:r>
    </w:p>
    <w:p w:rsidR="002337D7" w:rsidRDefault="00497ABB" w:rsidP="007D40F1">
      <w:pPr>
        <w:pStyle w:val="NoSpacing"/>
        <w:jc w:val="both"/>
        <w:rPr>
          <w:rFonts w:ascii="Garamond" w:hAnsi="Garamond"/>
          <w:sz w:val="24"/>
          <w:szCs w:val="24"/>
        </w:rPr>
      </w:pPr>
      <w:r>
        <w:rPr>
          <w:rFonts w:ascii="Garamond" w:hAnsi="Garamond"/>
          <w:sz w:val="24"/>
          <w:szCs w:val="24"/>
        </w:rPr>
        <w:t xml:space="preserve">SC held that where there is no finding that any details supplied by assessee in its return are incorrect/erroneous/false, there is no question of imposing penalty u/s 271(1)(C). A mere </w:t>
      </w:r>
      <w:r w:rsidR="006C7F22">
        <w:rPr>
          <w:rFonts w:ascii="Garamond" w:hAnsi="Garamond"/>
          <w:sz w:val="24"/>
          <w:szCs w:val="24"/>
        </w:rPr>
        <w:t>making of claim which is not sustainable in law, will not amount to furnishing inaccurate particulars regarding income of assessee</w:t>
      </w:r>
    </w:p>
    <w:p w:rsidR="002337D7" w:rsidRDefault="002337D7" w:rsidP="007D40F1">
      <w:pPr>
        <w:pStyle w:val="NoSpacing"/>
        <w:jc w:val="both"/>
        <w:rPr>
          <w:rFonts w:ascii="Garamond" w:hAnsi="Garamond"/>
          <w:sz w:val="24"/>
          <w:szCs w:val="24"/>
        </w:rPr>
      </w:pPr>
    </w:p>
    <w:p w:rsidR="00FE1E30" w:rsidRPr="002337D7" w:rsidRDefault="002337D7" w:rsidP="002337D7">
      <w:pPr>
        <w:pStyle w:val="Default"/>
        <w:jc w:val="both"/>
        <w:rPr>
          <w:rFonts w:ascii="Garamond" w:hAnsi="Garamond"/>
          <w:b/>
          <w:bCs/>
          <w:i/>
          <w:iCs/>
        </w:rPr>
      </w:pPr>
      <w:r w:rsidRPr="002337D7">
        <w:rPr>
          <w:rFonts w:ascii="Garamond" w:hAnsi="Garamond"/>
          <w:b/>
          <w:bCs/>
          <w:i/>
          <w:iCs/>
        </w:rPr>
        <w:t>Would prose</w:t>
      </w:r>
      <w:r w:rsidR="001D6518">
        <w:rPr>
          <w:rFonts w:ascii="Garamond" w:hAnsi="Garamond"/>
          <w:b/>
          <w:bCs/>
          <w:i/>
          <w:iCs/>
        </w:rPr>
        <w:t>cution proceedings u/s</w:t>
      </w:r>
      <w:r w:rsidRPr="002337D7">
        <w:rPr>
          <w:rFonts w:ascii="Garamond" w:hAnsi="Garamond"/>
          <w:b/>
          <w:bCs/>
          <w:i/>
          <w:iCs/>
        </w:rPr>
        <w:t xml:space="preserve"> 276CC be attracted where failure to furnish return in time was not will</w:t>
      </w:r>
      <w:r w:rsidR="007224BC">
        <w:rPr>
          <w:rFonts w:ascii="Garamond" w:hAnsi="Garamond"/>
          <w:b/>
          <w:bCs/>
          <w:i/>
          <w:iCs/>
        </w:rPr>
        <w:t xml:space="preserve"> </w:t>
      </w:r>
      <w:r w:rsidRPr="002337D7">
        <w:rPr>
          <w:rFonts w:ascii="Garamond" w:hAnsi="Garamond"/>
          <w:b/>
          <w:bCs/>
          <w:i/>
          <w:iCs/>
        </w:rPr>
        <w:t>ful</w:t>
      </w:r>
      <w:r w:rsidR="007224BC">
        <w:rPr>
          <w:rFonts w:ascii="Garamond" w:hAnsi="Garamond"/>
          <w:b/>
          <w:bCs/>
          <w:i/>
          <w:iCs/>
        </w:rPr>
        <w:t>l</w:t>
      </w:r>
      <w:r w:rsidRPr="002337D7">
        <w:rPr>
          <w:rFonts w:ascii="Garamond" w:hAnsi="Garamond"/>
          <w:b/>
          <w:bCs/>
          <w:i/>
          <w:iCs/>
        </w:rPr>
        <w:t xml:space="preserve">? </w:t>
      </w:r>
    </w:p>
    <w:p w:rsidR="007D40F1"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Union of India v. Bhavecha Machinery and Others</w:t>
      </w:r>
    </w:p>
    <w:p w:rsidR="002337D7" w:rsidRDefault="002337D7" w:rsidP="007D40F1">
      <w:pPr>
        <w:pStyle w:val="NoSpacing"/>
        <w:jc w:val="both"/>
        <w:rPr>
          <w:rFonts w:ascii="Garamond" w:hAnsi="Garamond"/>
          <w:sz w:val="24"/>
          <w:szCs w:val="24"/>
        </w:rPr>
      </w:pPr>
      <w:r>
        <w:rPr>
          <w:rFonts w:ascii="Garamond" w:hAnsi="Garamond"/>
          <w:sz w:val="24"/>
          <w:szCs w:val="24"/>
        </w:rPr>
        <w:t>HC observed that to attract section 276CC there should be a wilful delay in the filing of return &amp; not merely a failure to file return in time</w:t>
      </w:r>
    </w:p>
    <w:p w:rsidR="002337D7" w:rsidRDefault="002337D7" w:rsidP="007D40F1">
      <w:pPr>
        <w:pStyle w:val="NoSpacing"/>
        <w:jc w:val="both"/>
        <w:rPr>
          <w:rFonts w:ascii="Garamond" w:hAnsi="Garamond"/>
          <w:sz w:val="24"/>
          <w:szCs w:val="24"/>
        </w:rPr>
      </w:pPr>
    </w:p>
    <w:p w:rsidR="00D94499" w:rsidRPr="001D4E66" w:rsidRDefault="00D94499" w:rsidP="00D94499">
      <w:pPr>
        <w:pStyle w:val="Default"/>
        <w:jc w:val="both"/>
        <w:rPr>
          <w:rFonts w:ascii="Garamond" w:hAnsi="Garamond"/>
          <w:b/>
          <w:bCs/>
          <w:i/>
          <w:iCs/>
        </w:rPr>
      </w:pPr>
      <w:r w:rsidRPr="001D4E66">
        <w:rPr>
          <w:rFonts w:ascii="Garamond" w:hAnsi="Garamond"/>
          <w:b/>
          <w:bCs/>
          <w:i/>
          <w:iCs/>
        </w:rPr>
        <w:t xml:space="preserve">What is the nature of landing and parking charges paid by an airline company to the Airports Authority of India and is tax required to be deducted at source in respect thereof? </w:t>
      </w:r>
    </w:p>
    <w:p w:rsidR="007D40F1"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CIT v. Japan Airlines Co. Ltd.</w:t>
      </w:r>
    </w:p>
    <w:p w:rsidR="00D94499" w:rsidRDefault="008935EF" w:rsidP="007D40F1">
      <w:pPr>
        <w:pStyle w:val="NoSpacing"/>
        <w:jc w:val="both"/>
        <w:rPr>
          <w:rFonts w:ascii="Garamond" w:hAnsi="Garamond"/>
          <w:sz w:val="24"/>
          <w:szCs w:val="24"/>
        </w:rPr>
      </w:pPr>
      <w:r>
        <w:rPr>
          <w:rFonts w:ascii="Garamond" w:hAnsi="Garamond"/>
          <w:sz w:val="24"/>
          <w:szCs w:val="24"/>
        </w:rPr>
        <w:t>It is in the nature of rent as they were payments for the use of land of airport</w:t>
      </w:r>
    </w:p>
    <w:p w:rsidR="001D0AF3" w:rsidRDefault="001D0AF3" w:rsidP="007D40F1">
      <w:pPr>
        <w:pStyle w:val="NoSpacing"/>
        <w:jc w:val="both"/>
        <w:rPr>
          <w:rFonts w:ascii="Garamond" w:hAnsi="Garamond"/>
          <w:sz w:val="24"/>
          <w:szCs w:val="24"/>
        </w:rPr>
      </w:pPr>
    </w:p>
    <w:p w:rsidR="00D94499" w:rsidRPr="001D4E66" w:rsidRDefault="004B5D07" w:rsidP="004B5D07">
      <w:pPr>
        <w:pStyle w:val="Default"/>
        <w:jc w:val="both"/>
        <w:rPr>
          <w:rFonts w:ascii="Garamond" w:hAnsi="Garamond"/>
          <w:b/>
          <w:bCs/>
          <w:i/>
          <w:iCs/>
        </w:rPr>
      </w:pPr>
      <w:r w:rsidRPr="001D4E66">
        <w:rPr>
          <w:rFonts w:ascii="Garamond" w:hAnsi="Garamond"/>
          <w:b/>
          <w:bCs/>
          <w:i/>
          <w:iCs/>
        </w:rPr>
        <w:t>Whether retention of a percentage of advertising charges collected from customers by the advertising agencies for payment to Doordarshan for telecasting advertisements would attract the provisions of tax deduction at source u/s 194H?</w:t>
      </w:r>
    </w:p>
    <w:p w:rsidR="007D40F1"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 xml:space="preserve">CIT v. Director,Prasar Bharti </w:t>
      </w:r>
    </w:p>
    <w:p w:rsidR="00D94499" w:rsidRDefault="001D0AF3" w:rsidP="007D40F1">
      <w:pPr>
        <w:pStyle w:val="NoSpacing"/>
        <w:jc w:val="both"/>
        <w:rPr>
          <w:rFonts w:ascii="Garamond" w:hAnsi="Garamond"/>
          <w:sz w:val="24"/>
          <w:szCs w:val="24"/>
        </w:rPr>
      </w:pPr>
      <w:r>
        <w:rPr>
          <w:rFonts w:ascii="Garamond" w:hAnsi="Garamond"/>
          <w:sz w:val="24"/>
          <w:szCs w:val="24"/>
        </w:rPr>
        <w:t>It is subject to TDS provision u/s 194 H</w:t>
      </w:r>
    </w:p>
    <w:p w:rsidR="004B5D07" w:rsidRDefault="004B5D07" w:rsidP="007D40F1">
      <w:pPr>
        <w:pStyle w:val="NoSpacing"/>
        <w:jc w:val="both"/>
        <w:rPr>
          <w:rFonts w:ascii="Garamond" w:hAnsi="Garamond"/>
          <w:sz w:val="24"/>
          <w:szCs w:val="24"/>
        </w:rPr>
      </w:pPr>
    </w:p>
    <w:p w:rsidR="004E7DC7" w:rsidRDefault="004E7DC7" w:rsidP="007D40F1">
      <w:pPr>
        <w:pStyle w:val="NoSpacing"/>
        <w:jc w:val="both"/>
        <w:rPr>
          <w:rFonts w:ascii="Garamond" w:hAnsi="Garamond"/>
          <w:sz w:val="24"/>
          <w:szCs w:val="24"/>
        </w:rPr>
      </w:pPr>
    </w:p>
    <w:p w:rsidR="004E7DC7" w:rsidRDefault="004E7DC7" w:rsidP="007D40F1">
      <w:pPr>
        <w:pStyle w:val="NoSpacing"/>
        <w:jc w:val="both"/>
        <w:rPr>
          <w:rFonts w:ascii="Garamond" w:hAnsi="Garamond"/>
          <w:sz w:val="24"/>
          <w:szCs w:val="24"/>
        </w:rPr>
      </w:pPr>
    </w:p>
    <w:p w:rsidR="004B5D07" w:rsidRPr="001D4E66" w:rsidRDefault="004B5D07" w:rsidP="004B5D07">
      <w:pPr>
        <w:pStyle w:val="Default"/>
        <w:jc w:val="both"/>
        <w:rPr>
          <w:rFonts w:ascii="Garamond" w:hAnsi="Garamond"/>
          <w:b/>
          <w:bCs/>
          <w:i/>
          <w:iCs/>
        </w:rPr>
      </w:pPr>
      <w:r w:rsidRPr="001D4E66">
        <w:rPr>
          <w:rFonts w:ascii="Garamond" w:hAnsi="Garamond"/>
          <w:b/>
          <w:bCs/>
          <w:i/>
          <w:iCs/>
        </w:rPr>
        <w:lastRenderedPageBreak/>
        <w:t xml:space="preserve">Can services rendered by a hotel to its customers in providing hotel room with various facilities I amenities (like </w:t>
      </w:r>
      <w:r w:rsidR="00F56C31" w:rsidRPr="001D4E66">
        <w:rPr>
          <w:rFonts w:ascii="Garamond" w:hAnsi="Garamond"/>
          <w:b/>
          <w:bCs/>
          <w:i/>
          <w:iCs/>
        </w:rPr>
        <w:t>housekeeping</w:t>
      </w:r>
      <w:r w:rsidRPr="001D4E66">
        <w:rPr>
          <w:rFonts w:ascii="Garamond" w:hAnsi="Garamond"/>
          <w:b/>
          <w:bCs/>
          <w:i/>
          <w:iCs/>
        </w:rPr>
        <w:t xml:space="preserve">, bank counter, beauty </w:t>
      </w:r>
      <w:r w:rsidR="00F56C31" w:rsidRPr="001D4E66">
        <w:rPr>
          <w:rFonts w:ascii="Garamond" w:hAnsi="Garamond"/>
          <w:b/>
          <w:bCs/>
          <w:i/>
          <w:iCs/>
        </w:rPr>
        <w:t>salon</w:t>
      </w:r>
      <w:r w:rsidRPr="001D4E66">
        <w:rPr>
          <w:rFonts w:ascii="Garamond" w:hAnsi="Garamond"/>
          <w:b/>
          <w:bCs/>
          <w:i/>
          <w:iCs/>
        </w:rPr>
        <w:t>, car rental, health club etc.) amount to "carrying out any work" to attract the provisions of section 194C?</w:t>
      </w:r>
    </w:p>
    <w:p w:rsidR="00D94499"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East India Hotels Ltd.</w:t>
      </w:r>
      <w:r w:rsidR="00FE1E30" w:rsidRPr="00DB798D">
        <w:rPr>
          <w:rFonts w:ascii="Garamond" w:hAnsi="Garamond"/>
          <w:b/>
          <w:bCs/>
          <w:i/>
          <w:iCs/>
          <w:sz w:val="24"/>
          <w:szCs w:val="24"/>
          <w:u w:val="single"/>
        </w:rPr>
        <w:t xml:space="preserve"> </w:t>
      </w:r>
      <w:r w:rsidRPr="00DB798D">
        <w:rPr>
          <w:rFonts w:ascii="Garamond" w:hAnsi="Garamond"/>
          <w:b/>
          <w:bCs/>
          <w:i/>
          <w:iCs/>
          <w:sz w:val="24"/>
          <w:szCs w:val="24"/>
          <w:u w:val="single"/>
        </w:rPr>
        <w:t>v. CBDT</w:t>
      </w:r>
    </w:p>
    <w:p w:rsidR="00D94499" w:rsidRDefault="00FE1E30" w:rsidP="007D40F1">
      <w:pPr>
        <w:pStyle w:val="NoSpacing"/>
        <w:jc w:val="both"/>
        <w:rPr>
          <w:rFonts w:ascii="Garamond" w:hAnsi="Garamond"/>
          <w:sz w:val="24"/>
          <w:szCs w:val="24"/>
        </w:rPr>
      </w:pPr>
      <w:r>
        <w:rPr>
          <w:rFonts w:ascii="Garamond" w:hAnsi="Garamond"/>
          <w:sz w:val="24"/>
          <w:szCs w:val="24"/>
        </w:rPr>
        <w:t>Provision of TDS is attracted i.r.o payments for carrying out the work like construction of dams, roads, airfields, erection/installation of plant &amp; machinery etc</w:t>
      </w:r>
    </w:p>
    <w:p w:rsidR="007D40F1" w:rsidRDefault="007D40F1" w:rsidP="007D40F1">
      <w:pPr>
        <w:pStyle w:val="NoSpacing"/>
        <w:jc w:val="both"/>
        <w:rPr>
          <w:rFonts w:ascii="Garamond" w:hAnsi="Garamond"/>
          <w:sz w:val="24"/>
          <w:szCs w:val="24"/>
        </w:rPr>
      </w:pPr>
      <w:r>
        <w:rPr>
          <w:rFonts w:ascii="Garamond" w:hAnsi="Garamond"/>
          <w:sz w:val="24"/>
          <w:szCs w:val="24"/>
        </w:rPr>
        <w:t xml:space="preserve"> </w:t>
      </w:r>
    </w:p>
    <w:p w:rsidR="00677324" w:rsidRPr="00677324" w:rsidRDefault="004E7DC7" w:rsidP="00677324">
      <w:pPr>
        <w:pStyle w:val="NoSpacing"/>
        <w:jc w:val="both"/>
        <w:rPr>
          <w:rFonts w:ascii="Garamond" w:hAnsi="Garamond"/>
          <w:b/>
          <w:bCs/>
          <w:i/>
          <w:iCs/>
          <w:sz w:val="24"/>
          <w:szCs w:val="24"/>
        </w:rPr>
      </w:pPr>
      <w:r>
        <w:rPr>
          <w:rFonts w:ascii="Garamond" w:hAnsi="Garamond"/>
          <w:b/>
          <w:bCs/>
          <w:i/>
          <w:iCs/>
          <w:sz w:val="24"/>
          <w:szCs w:val="24"/>
        </w:rPr>
        <w:t xml:space="preserve">Can the interest u/s </w:t>
      </w:r>
      <w:r w:rsidR="00677324" w:rsidRPr="00677324">
        <w:rPr>
          <w:rFonts w:ascii="Garamond" w:hAnsi="Garamond"/>
          <w:b/>
          <w:bCs/>
          <w:i/>
          <w:iCs/>
          <w:sz w:val="24"/>
          <w:szCs w:val="24"/>
        </w:rPr>
        <w:t>234B and 234C, be levied on the basis of interest calculation given in the computation sheet annexed</w:t>
      </w:r>
      <w:r>
        <w:rPr>
          <w:rFonts w:ascii="Garamond" w:hAnsi="Garamond"/>
          <w:b/>
          <w:bCs/>
          <w:i/>
          <w:iCs/>
          <w:sz w:val="24"/>
          <w:szCs w:val="24"/>
        </w:rPr>
        <w:t xml:space="preserve"> </w:t>
      </w:r>
      <w:r w:rsidR="00677324" w:rsidRPr="00677324">
        <w:rPr>
          <w:rFonts w:ascii="Garamond" w:hAnsi="Garamond"/>
          <w:b/>
          <w:bCs/>
          <w:i/>
          <w:iCs/>
          <w:sz w:val="24"/>
          <w:szCs w:val="24"/>
        </w:rPr>
        <w:t>to the assessment order, though the direction to charge such interest is not mentioned in the assessment order?</w:t>
      </w:r>
    </w:p>
    <w:p w:rsidR="007D40F1" w:rsidRPr="00677324" w:rsidRDefault="007D40F1" w:rsidP="007D40F1">
      <w:pPr>
        <w:pStyle w:val="NoSpacing"/>
        <w:jc w:val="both"/>
        <w:rPr>
          <w:rFonts w:ascii="Garamond" w:eastAsia="Times New Roman" w:hAnsi="Garamond" w:cs="Arial"/>
          <w:b/>
          <w:bCs/>
          <w:i/>
          <w:iCs/>
          <w:sz w:val="24"/>
          <w:szCs w:val="24"/>
          <w:u w:val="single"/>
        </w:rPr>
      </w:pPr>
      <w:r w:rsidRPr="00677324">
        <w:rPr>
          <w:rFonts w:ascii="Garamond" w:eastAsia="Times New Roman" w:hAnsi="Garamond" w:cs="Arial"/>
          <w:b/>
          <w:bCs/>
          <w:i/>
          <w:iCs/>
          <w:sz w:val="24"/>
          <w:szCs w:val="24"/>
          <w:u w:val="single"/>
        </w:rPr>
        <w:t>CIT v. Assam Mineral Development Corporation Ltd.</w:t>
      </w:r>
    </w:p>
    <w:p w:rsidR="007D40F1" w:rsidRDefault="004E7DC7" w:rsidP="007D40F1">
      <w:pPr>
        <w:pStyle w:val="NoSpacing"/>
        <w:jc w:val="both"/>
        <w:rPr>
          <w:rFonts w:ascii="Garamond" w:hAnsi="Garamond"/>
          <w:sz w:val="24"/>
          <w:szCs w:val="24"/>
        </w:rPr>
      </w:pPr>
      <w:r>
        <w:rPr>
          <w:rFonts w:ascii="Garamond" w:hAnsi="Garamond"/>
          <w:sz w:val="24"/>
          <w:szCs w:val="24"/>
        </w:rPr>
        <w:t>HC held that interest u/s 234B&amp;C is mandatory in nature. Levy of interest &amp; basis for arriving at the quantum thereof have been explicitly indicated in computation sheet &amp; therefore such interest has to be paid</w:t>
      </w:r>
    </w:p>
    <w:p w:rsidR="007D40F1" w:rsidRDefault="007D40F1" w:rsidP="007D40F1">
      <w:pPr>
        <w:pStyle w:val="NoSpacing"/>
        <w:jc w:val="both"/>
        <w:rPr>
          <w:rFonts w:ascii="Garamond" w:hAnsi="Garamond"/>
          <w:sz w:val="24"/>
          <w:szCs w:val="24"/>
        </w:rPr>
      </w:pPr>
    </w:p>
    <w:p w:rsidR="007D40F1" w:rsidRDefault="007D40F1" w:rsidP="00814C93">
      <w:pPr>
        <w:pStyle w:val="Heading2"/>
        <w:jc w:val="center"/>
      </w:pPr>
      <w:r>
        <w:t>2009</w:t>
      </w:r>
    </w:p>
    <w:p w:rsidR="009E3C82" w:rsidRPr="009E3C82" w:rsidRDefault="009E3C82" w:rsidP="009E3C82">
      <w:pPr>
        <w:pStyle w:val="NoSpacing"/>
        <w:jc w:val="both"/>
        <w:rPr>
          <w:rFonts w:ascii="Garamond" w:hAnsi="Garamond"/>
          <w:b/>
          <w:bCs/>
          <w:i/>
          <w:iCs/>
          <w:sz w:val="24"/>
          <w:szCs w:val="24"/>
        </w:rPr>
      </w:pPr>
      <w:r w:rsidRPr="009E3C82">
        <w:rPr>
          <w:rFonts w:ascii="Garamond" w:hAnsi="Garamond"/>
          <w:b/>
          <w:bCs/>
          <w:i/>
          <w:iCs/>
          <w:sz w:val="24"/>
          <w:szCs w:val="24"/>
        </w:rPr>
        <w:t>Where the hotel industry was established based on subsidy announced by the State Government, can such subsidy be treated as a revenue receipt solely due to the reason that the same was received by the assessee after completion of the hotel projects and commencement of the business?</w:t>
      </w:r>
    </w:p>
    <w:p w:rsidR="007D40F1" w:rsidRPr="009E3C82" w:rsidRDefault="009E3C82" w:rsidP="007D40F1">
      <w:pPr>
        <w:pStyle w:val="NoSpacing"/>
        <w:jc w:val="both"/>
        <w:rPr>
          <w:rFonts w:ascii="Garamond" w:hAnsi="Garamond"/>
          <w:b/>
          <w:bCs/>
          <w:i/>
          <w:iCs/>
          <w:sz w:val="24"/>
          <w:szCs w:val="24"/>
          <w:u w:val="single"/>
        </w:rPr>
      </w:pPr>
      <w:r w:rsidRPr="009E3C82">
        <w:rPr>
          <w:rFonts w:ascii="Garamond" w:hAnsi="Garamond"/>
          <w:b/>
          <w:bCs/>
          <w:i/>
          <w:iCs/>
          <w:sz w:val="24"/>
          <w:szCs w:val="24"/>
          <w:u w:val="single"/>
        </w:rPr>
        <w:t>CIT v. Udupi Builders P.Ltd</w:t>
      </w:r>
    </w:p>
    <w:p w:rsidR="00AF3656" w:rsidRDefault="007E00A2" w:rsidP="007D40F1">
      <w:pPr>
        <w:pStyle w:val="NoSpacing"/>
        <w:jc w:val="both"/>
        <w:rPr>
          <w:rFonts w:ascii="Garamond" w:hAnsi="Garamond"/>
          <w:sz w:val="24"/>
          <w:szCs w:val="24"/>
        </w:rPr>
      </w:pPr>
      <w:r>
        <w:rPr>
          <w:rFonts w:ascii="Garamond" w:hAnsi="Garamond"/>
          <w:sz w:val="24"/>
          <w:szCs w:val="24"/>
        </w:rPr>
        <w:t xml:space="preserve">HC held that hotel industry was e announced by </w:t>
      </w:r>
      <w:r w:rsidR="00100C7E">
        <w:rPr>
          <w:rFonts w:ascii="Garamond" w:hAnsi="Garamond"/>
          <w:sz w:val="24"/>
          <w:szCs w:val="24"/>
        </w:rPr>
        <w:t>e</w:t>
      </w:r>
      <w:r>
        <w:rPr>
          <w:rFonts w:ascii="Garamond" w:hAnsi="Garamond"/>
          <w:sz w:val="24"/>
          <w:szCs w:val="24"/>
        </w:rPr>
        <w:t>stablished based on subsidy</w:t>
      </w:r>
      <w:r w:rsidR="00100C7E">
        <w:rPr>
          <w:rFonts w:ascii="Garamond" w:hAnsi="Garamond"/>
          <w:sz w:val="24"/>
          <w:szCs w:val="24"/>
        </w:rPr>
        <w:t xml:space="preserve"> announced by SG. SG was in the habit of releasing subsidy amount depending upon budgetary allocation in each year. Subsidy received has to be treated as capital receipt &amp; not taxable</w:t>
      </w:r>
    </w:p>
    <w:p w:rsidR="00100C7E" w:rsidRDefault="00100C7E" w:rsidP="007D40F1">
      <w:pPr>
        <w:pStyle w:val="NoSpacing"/>
        <w:jc w:val="both"/>
        <w:rPr>
          <w:rFonts w:ascii="Garamond" w:hAnsi="Garamond"/>
          <w:sz w:val="24"/>
          <w:szCs w:val="24"/>
        </w:rPr>
      </w:pPr>
    </w:p>
    <w:p w:rsidR="00AF3656" w:rsidRPr="00AF3656" w:rsidRDefault="00AF3656" w:rsidP="00AF3656">
      <w:pPr>
        <w:pStyle w:val="Default"/>
        <w:jc w:val="both"/>
        <w:rPr>
          <w:rFonts w:ascii="Garamond" w:hAnsi="Garamond"/>
          <w:b/>
          <w:bCs/>
          <w:i/>
          <w:iCs/>
        </w:rPr>
      </w:pPr>
      <w:r w:rsidRPr="00AF3656">
        <w:rPr>
          <w:rFonts w:ascii="Garamond" w:hAnsi="Garamond"/>
          <w:b/>
          <w:bCs/>
          <w:i/>
          <w:iCs/>
        </w:rPr>
        <w:t xml:space="preserve">Can the Duty Entitlement Passbook Scheme (DEPB) benefits and Duty Drawback be treated as profit derived from the business of the industrial undertaking to be eligible for deduction under section 80-IB? </w:t>
      </w:r>
    </w:p>
    <w:p w:rsidR="007D40F1"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Liberty India v. CIT</w:t>
      </w:r>
    </w:p>
    <w:p w:rsidR="005A7460" w:rsidRDefault="00FB7ACE" w:rsidP="007D40F1">
      <w:pPr>
        <w:pStyle w:val="NoSpacing"/>
        <w:jc w:val="both"/>
        <w:rPr>
          <w:rFonts w:ascii="Garamond" w:hAnsi="Garamond"/>
          <w:sz w:val="24"/>
          <w:szCs w:val="24"/>
        </w:rPr>
      </w:pPr>
      <w:r>
        <w:rPr>
          <w:rFonts w:ascii="Garamond" w:hAnsi="Garamond"/>
          <w:sz w:val="24"/>
          <w:szCs w:val="24"/>
        </w:rPr>
        <w:t>Duty drawback receipts &amp; DEPB benefits donot form part of profit derived from eligible business for the purpose of deduction u/s 80IB</w:t>
      </w:r>
    </w:p>
    <w:p w:rsidR="005A7460" w:rsidRDefault="005A7460" w:rsidP="007D40F1">
      <w:pPr>
        <w:pStyle w:val="NoSpacing"/>
        <w:jc w:val="both"/>
        <w:rPr>
          <w:rFonts w:ascii="Garamond" w:hAnsi="Garamond"/>
          <w:sz w:val="24"/>
          <w:szCs w:val="24"/>
        </w:rPr>
      </w:pPr>
    </w:p>
    <w:p w:rsidR="004A7564" w:rsidRPr="004A7564" w:rsidRDefault="004A7564" w:rsidP="004A7564">
      <w:pPr>
        <w:pStyle w:val="Default"/>
        <w:jc w:val="both"/>
        <w:rPr>
          <w:rFonts w:ascii="Garamond" w:hAnsi="Garamond"/>
          <w:b/>
          <w:bCs/>
          <w:i/>
          <w:iCs/>
        </w:rPr>
      </w:pPr>
      <w:r w:rsidRPr="004A7564">
        <w:rPr>
          <w:rFonts w:ascii="Garamond" w:hAnsi="Garamond"/>
          <w:b/>
          <w:bCs/>
          <w:i/>
          <w:iCs/>
        </w:rPr>
        <w:t>Can transfer fees received by a co-operative housing society from its incoming and outgoing members be exempt on the ground of principle of mutuality?</w:t>
      </w:r>
    </w:p>
    <w:p w:rsidR="007D40F1" w:rsidRPr="00DB798D" w:rsidRDefault="007D40F1" w:rsidP="007D40F1">
      <w:pPr>
        <w:pStyle w:val="NoSpacing"/>
        <w:jc w:val="both"/>
        <w:rPr>
          <w:rFonts w:ascii="Garamond" w:hAnsi="Garamond"/>
          <w:b/>
          <w:bCs/>
          <w:i/>
          <w:iCs/>
          <w:sz w:val="24"/>
          <w:szCs w:val="24"/>
          <w:u w:val="single"/>
        </w:rPr>
      </w:pPr>
      <w:r w:rsidRPr="00DB798D">
        <w:rPr>
          <w:rFonts w:ascii="Garamond" w:hAnsi="Garamond"/>
          <w:b/>
          <w:bCs/>
          <w:i/>
          <w:iCs/>
          <w:sz w:val="24"/>
          <w:szCs w:val="24"/>
          <w:u w:val="single"/>
        </w:rPr>
        <w:t>Sind Co-operative Housing Society v. ITO</w:t>
      </w:r>
    </w:p>
    <w:p w:rsidR="007D40F1" w:rsidRPr="005908EF" w:rsidRDefault="005908EF" w:rsidP="007D40F1">
      <w:pPr>
        <w:pStyle w:val="NoSpacing"/>
        <w:jc w:val="both"/>
        <w:rPr>
          <w:rFonts w:ascii="Garamond" w:hAnsi="Garamond"/>
          <w:sz w:val="24"/>
          <w:szCs w:val="24"/>
        </w:rPr>
      </w:pPr>
      <w:r>
        <w:rPr>
          <w:rFonts w:ascii="Garamond" w:hAnsi="Garamond"/>
          <w:sz w:val="24"/>
          <w:szCs w:val="24"/>
        </w:rPr>
        <w:t xml:space="preserve">HC held that it is </w:t>
      </w:r>
      <w:r>
        <w:rPr>
          <w:rFonts w:ascii="Garamond" w:hAnsi="Garamond"/>
          <w:sz w:val="24"/>
          <w:szCs w:val="24"/>
          <w:u w:val="single"/>
        </w:rPr>
        <w:t>not liable to tax</w:t>
      </w:r>
      <w:r>
        <w:rPr>
          <w:rFonts w:ascii="Garamond" w:hAnsi="Garamond"/>
          <w:sz w:val="24"/>
          <w:szCs w:val="24"/>
        </w:rPr>
        <w:t xml:space="preserve"> on the ground of principal of mutuality since predominant activity of such co-operative society is maintenance of property of society &amp; there is no taint of commerciality, trade, or business</w:t>
      </w: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7D40F1" w:rsidRDefault="007D40F1" w:rsidP="007D40F1">
      <w:pPr>
        <w:pStyle w:val="NoSpacing"/>
        <w:jc w:val="both"/>
        <w:rPr>
          <w:rFonts w:ascii="Garamond" w:hAnsi="Garamond"/>
          <w:sz w:val="24"/>
          <w:szCs w:val="24"/>
        </w:rPr>
      </w:pPr>
    </w:p>
    <w:p w:rsidR="000517F1" w:rsidRDefault="000517F1" w:rsidP="00D2690B">
      <w:pPr>
        <w:pStyle w:val="NoSpacing"/>
        <w:jc w:val="both"/>
        <w:rPr>
          <w:rFonts w:ascii="Garamond" w:hAnsi="Garamond"/>
          <w:sz w:val="24"/>
          <w:szCs w:val="24"/>
        </w:rPr>
      </w:pPr>
    </w:p>
    <w:sectPr w:rsidR="000517F1" w:rsidSect="00B35127">
      <w:footerReference w:type="default" r:id="rId7"/>
      <w:pgSz w:w="11906" w:h="16838"/>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912" w:rsidRDefault="00ED3912" w:rsidP="005B0454">
      <w:pPr>
        <w:spacing w:after="0" w:line="240" w:lineRule="auto"/>
      </w:pPr>
      <w:r>
        <w:separator/>
      </w:r>
    </w:p>
  </w:endnote>
  <w:endnote w:type="continuationSeparator" w:id="1">
    <w:p w:rsidR="00ED3912" w:rsidRDefault="00ED3912" w:rsidP="005B04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mic Sans MS">
    <w:altName w:val="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C5D" w:rsidRDefault="00943C5D">
    <w:pPr>
      <w:pStyle w:val="Footer"/>
      <w:pBdr>
        <w:top w:val="thinThickSmallGap" w:sz="24" w:space="1" w:color="622423" w:themeColor="accent2" w:themeShade="7F"/>
      </w:pBdr>
      <w:rPr>
        <w:rFonts w:asciiTheme="majorHAnsi" w:hAnsiTheme="majorHAnsi"/>
      </w:rPr>
    </w:pPr>
    <w:r>
      <w:rPr>
        <w:rFonts w:asciiTheme="majorHAnsi" w:hAnsiTheme="majorHAnsi"/>
      </w:rPr>
      <w:t>Prepared by Risa Ravindran</w:t>
    </w:r>
    <w:r>
      <w:rPr>
        <w:rFonts w:asciiTheme="majorHAnsi" w:hAnsiTheme="majorHAnsi"/>
      </w:rPr>
      <w:ptab w:relativeTo="margin" w:alignment="right" w:leader="none"/>
    </w:r>
    <w:r>
      <w:rPr>
        <w:rFonts w:asciiTheme="majorHAnsi" w:hAnsiTheme="majorHAnsi"/>
      </w:rPr>
      <w:t xml:space="preserve">Page </w:t>
    </w:r>
    <w:fldSimple w:instr=" PAGE   \* MERGEFORMAT ">
      <w:r w:rsidR="00DB431C" w:rsidRPr="00DB431C">
        <w:rPr>
          <w:rFonts w:asciiTheme="majorHAnsi" w:hAnsiTheme="majorHAnsi"/>
          <w:noProof/>
        </w:rPr>
        <w:t>24</w:t>
      </w:r>
    </w:fldSimple>
  </w:p>
  <w:p w:rsidR="00943C5D" w:rsidRDefault="00943C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912" w:rsidRDefault="00ED3912" w:rsidP="005B0454">
      <w:pPr>
        <w:spacing w:after="0" w:line="240" w:lineRule="auto"/>
      </w:pPr>
      <w:r>
        <w:separator/>
      </w:r>
    </w:p>
  </w:footnote>
  <w:footnote w:type="continuationSeparator" w:id="1">
    <w:p w:rsidR="00ED3912" w:rsidRDefault="00ED3912" w:rsidP="005B04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5181"/>
    <w:multiLevelType w:val="hybridMultilevel"/>
    <w:tmpl w:val="F634BC1E"/>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A8A4A0A"/>
    <w:multiLevelType w:val="hybridMultilevel"/>
    <w:tmpl w:val="300E05F4"/>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BC87E38"/>
    <w:multiLevelType w:val="hybridMultilevel"/>
    <w:tmpl w:val="F0BE4952"/>
    <w:lvl w:ilvl="0" w:tplc="04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
    <w:nsid w:val="2023047C"/>
    <w:multiLevelType w:val="hybridMultilevel"/>
    <w:tmpl w:val="DC8683A2"/>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3605A2E"/>
    <w:multiLevelType w:val="hybridMultilevel"/>
    <w:tmpl w:val="BD1423DE"/>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36F0E40"/>
    <w:multiLevelType w:val="hybridMultilevel"/>
    <w:tmpl w:val="D70A29C0"/>
    <w:lvl w:ilvl="0" w:tplc="04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24673A95"/>
    <w:multiLevelType w:val="hybridMultilevel"/>
    <w:tmpl w:val="F76478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586372D"/>
    <w:multiLevelType w:val="hybridMultilevel"/>
    <w:tmpl w:val="F2BCDCA6"/>
    <w:lvl w:ilvl="0" w:tplc="04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nsid w:val="2A0D6B8D"/>
    <w:multiLevelType w:val="hybridMultilevel"/>
    <w:tmpl w:val="8C18DB96"/>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BA04661"/>
    <w:multiLevelType w:val="hybridMultilevel"/>
    <w:tmpl w:val="5A16826A"/>
    <w:lvl w:ilvl="0" w:tplc="0409000B">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0">
    <w:nsid w:val="2C3F1808"/>
    <w:multiLevelType w:val="hybridMultilevel"/>
    <w:tmpl w:val="1A5A6CB4"/>
    <w:lvl w:ilvl="0" w:tplc="0409000B">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1">
    <w:nsid w:val="34486E31"/>
    <w:multiLevelType w:val="hybridMultilevel"/>
    <w:tmpl w:val="4A201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C5C54CC"/>
    <w:multiLevelType w:val="hybridMultilevel"/>
    <w:tmpl w:val="A8565B70"/>
    <w:lvl w:ilvl="0" w:tplc="04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3">
    <w:nsid w:val="42DB01E8"/>
    <w:multiLevelType w:val="hybridMultilevel"/>
    <w:tmpl w:val="9A1498F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8437F53"/>
    <w:multiLevelType w:val="hybridMultilevel"/>
    <w:tmpl w:val="BD82CFB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E8B7E9B"/>
    <w:multiLevelType w:val="hybridMultilevel"/>
    <w:tmpl w:val="C0A637F2"/>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70F329E"/>
    <w:multiLevelType w:val="hybridMultilevel"/>
    <w:tmpl w:val="2124A848"/>
    <w:lvl w:ilvl="0" w:tplc="04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7">
    <w:nsid w:val="5EE40E20"/>
    <w:multiLevelType w:val="hybridMultilevel"/>
    <w:tmpl w:val="81783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10E1318"/>
    <w:multiLevelType w:val="hybridMultilevel"/>
    <w:tmpl w:val="4BB8311C"/>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71CD0CC6"/>
    <w:multiLevelType w:val="hybridMultilevel"/>
    <w:tmpl w:val="9288E014"/>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8E06E7E"/>
    <w:multiLevelType w:val="hybridMultilevel"/>
    <w:tmpl w:val="191A4DF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F715B0F"/>
    <w:multiLevelType w:val="hybridMultilevel"/>
    <w:tmpl w:val="183896CA"/>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2"/>
  </w:num>
  <w:num w:numId="4">
    <w:abstractNumId w:val="5"/>
  </w:num>
  <w:num w:numId="5">
    <w:abstractNumId w:val="12"/>
  </w:num>
  <w:num w:numId="6">
    <w:abstractNumId w:val="10"/>
  </w:num>
  <w:num w:numId="7">
    <w:abstractNumId w:val="9"/>
  </w:num>
  <w:num w:numId="8">
    <w:abstractNumId w:val="4"/>
  </w:num>
  <w:num w:numId="9">
    <w:abstractNumId w:val="1"/>
  </w:num>
  <w:num w:numId="10">
    <w:abstractNumId w:val="19"/>
  </w:num>
  <w:num w:numId="11">
    <w:abstractNumId w:val="13"/>
  </w:num>
  <w:num w:numId="12">
    <w:abstractNumId w:val="0"/>
  </w:num>
  <w:num w:numId="13">
    <w:abstractNumId w:val="11"/>
  </w:num>
  <w:num w:numId="14">
    <w:abstractNumId w:val="18"/>
  </w:num>
  <w:num w:numId="15">
    <w:abstractNumId w:val="17"/>
  </w:num>
  <w:num w:numId="16">
    <w:abstractNumId w:val="15"/>
  </w:num>
  <w:num w:numId="17">
    <w:abstractNumId w:val="21"/>
  </w:num>
  <w:num w:numId="18">
    <w:abstractNumId w:val="3"/>
  </w:num>
  <w:num w:numId="19">
    <w:abstractNumId w:val="14"/>
  </w:num>
  <w:num w:numId="20">
    <w:abstractNumId w:val="8"/>
  </w:num>
  <w:num w:numId="21">
    <w:abstractNumId w:val="20"/>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14C4C"/>
    <w:rsid w:val="0000264E"/>
    <w:rsid w:val="00004C4C"/>
    <w:rsid w:val="00010921"/>
    <w:rsid w:val="00011E48"/>
    <w:rsid w:val="0002491F"/>
    <w:rsid w:val="00033A01"/>
    <w:rsid w:val="000358B5"/>
    <w:rsid w:val="00042581"/>
    <w:rsid w:val="000502DA"/>
    <w:rsid w:val="000514B7"/>
    <w:rsid w:val="000517F1"/>
    <w:rsid w:val="00055BA7"/>
    <w:rsid w:val="00057173"/>
    <w:rsid w:val="00066C02"/>
    <w:rsid w:val="000670A3"/>
    <w:rsid w:val="00073702"/>
    <w:rsid w:val="00077EDF"/>
    <w:rsid w:val="0008267C"/>
    <w:rsid w:val="0008606E"/>
    <w:rsid w:val="00091426"/>
    <w:rsid w:val="00095DD7"/>
    <w:rsid w:val="000A27A5"/>
    <w:rsid w:val="000A45A9"/>
    <w:rsid w:val="000C5A45"/>
    <w:rsid w:val="000D2809"/>
    <w:rsid w:val="000D2D82"/>
    <w:rsid w:val="000E37E8"/>
    <w:rsid w:val="000E4ECE"/>
    <w:rsid w:val="000E75BF"/>
    <w:rsid w:val="000F1997"/>
    <w:rsid w:val="000F4A93"/>
    <w:rsid w:val="000F6C14"/>
    <w:rsid w:val="00100AE7"/>
    <w:rsid w:val="00100C7E"/>
    <w:rsid w:val="00102466"/>
    <w:rsid w:val="00106272"/>
    <w:rsid w:val="00117B4E"/>
    <w:rsid w:val="001212AB"/>
    <w:rsid w:val="0012656B"/>
    <w:rsid w:val="001267F5"/>
    <w:rsid w:val="00132BB6"/>
    <w:rsid w:val="00136BA4"/>
    <w:rsid w:val="00137E00"/>
    <w:rsid w:val="00146F6B"/>
    <w:rsid w:val="00150226"/>
    <w:rsid w:val="001507F8"/>
    <w:rsid w:val="001517E0"/>
    <w:rsid w:val="00163E30"/>
    <w:rsid w:val="00167A7D"/>
    <w:rsid w:val="00167E23"/>
    <w:rsid w:val="001706EA"/>
    <w:rsid w:val="001716E4"/>
    <w:rsid w:val="00187D87"/>
    <w:rsid w:val="001A14BD"/>
    <w:rsid w:val="001B1FFA"/>
    <w:rsid w:val="001B33DA"/>
    <w:rsid w:val="001B4290"/>
    <w:rsid w:val="001C0589"/>
    <w:rsid w:val="001C2BCA"/>
    <w:rsid w:val="001C6674"/>
    <w:rsid w:val="001D0794"/>
    <w:rsid w:val="001D0AF3"/>
    <w:rsid w:val="001D1489"/>
    <w:rsid w:val="001D3748"/>
    <w:rsid w:val="001D4E10"/>
    <w:rsid w:val="001D4E66"/>
    <w:rsid w:val="001D6518"/>
    <w:rsid w:val="001D7424"/>
    <w:rsid w:val="001D7B18"/>
    <w:rsid w:val="001E2D2B"/>
    <w:rsid w:val="001E3DE8"/>
    <w:rsid w:val="001F2C5C"/>
    <w:rsid w:val="001F4312"/>
    <w:rsid w:val="002023E3"/>
    <w:rsid w:val="00202EEE"/>
    <w:rsid w:val="00204904"/>
    <w:rsid w:val="00207D14"/>
    <w:rsid w:val="00212D59"/>
    <w:rsid w:val="00213288"/>
    <w:rsid w:val="00216477"/>
    <w:rsid w:val="002164A6"/>
    <w:rsid w:val="00221C4D"/>
    <w:rsid w:val="00225A09"/>
    <w:rsid w:val="002337D7"/>
    <w:rsid w:val="00240A5D"/>
    <w:rsid w:val="00252402"/>
    <w:rsid w:val="00252F32"/>
    <w:rsid w:val="002567A7"/>
    <w:rsid w:val="002708A0"/>
    <w:rsid w:val="00271D86"/>
    <w:rsid w:val="00283F7A"/>
    <w:rsid w:val="002873BF"/>
    <w:rsid w:val="00294F7C"/>
    <w:rsid w:val="002A05D5"/>
    <w:rsid w:val="002A290C"/>
    <w:rsid w:val="002A3A55"/>
    <w:rsid w:val="002A7C44"/>
    <w:rsid w:val="002B3543"/>
    <w:rsid w:val="002C4553"/>
    <w:rsid w:val="002D06F0"/>
    <w:rsid w:val="002D1B76"/>
    <w:rsid w:val="002D3BD3"/>
    <w:rsid w:val="002D4228"/>
    <w:rsid w:val="002E037A"/>
    <w:rsid w:val="002E213E"/>
    <w:rsid w:val="002E2462"/>
    <w:rsid w:val="002F51FD"/>
    <w:rsid w:val="002F67B9"/>
    <w:rsid w:val="0030089A"/>
    <w:rsid w:val="00300FA5"/>
    <w:rsid w:val="00302641"/>
    <w:rsid w:val="00306E02"/>
    <w:rsid w:val="003125AC"/>
    <w:rsid w:val="00312D44"/>
    <w:rsid w:val="00314514"/>
    <w:rsid w:val="00317EB1"/>
    <w:rsid w:val="0032027F"/>
    <w:rsid w:val="00320B31"/>
    <w:rsid w:val="00321D62"/>
    <w:rsid w:val="00333133"/>
    <w:rsid w:val="00334D0D"/>
    <w:rsid w:val="00344BCF"/>
    <w:rsid w:val="00344ED0"/>
    <w:rsid w:val="00353459"/>
    <w:rsid w:val="0035615E"/>
    <w:rsid w:val="00362A9A"/>
    <w:rsid w:val="00366638"/>
    <w:rsid w:val="003717B1"/>
    <w:rsid w:val="003750AF"/>
    <w:rsid w:val="003904E8"/>
    <w:rsid w:val="00390BA0"/>
    <w:rsid w:val="0039132D"/>
    <w:rsid w:val="0039456D"/>
    <w:rsid w:val="003A45D4"/>
    <w:rsid w:val="003B0A0A"/>
    <w:rsid w:val="003B2F51"/>
    <w:rsid w:val="003B65AC"/>
    <w:rsid w:val="003C0617"/>
    <w:rsid w:val="003C0B2B"/>
    <w:rsid w:val="003D3F2B"/>
    <w:rsid w:val="003E3699"/>
    <w:rsid w:val="003E7C08"/>
    <w:rsid w:val="003F1539"/>
    <w:rsid w:val="003F2519"/>
    <w:rsid w:val="003F5D4D"/>
    <w:rsid w:val="003F6C30"/>
    <w:rsid w:val="00401122"/>
    <w:rsid w:val="004036AF"/>
    <w:rsid w:val="00404FCB"/>
    <w:rsid w:val="004056BF"/>
    <w:rsid w:val="00415896"/>
    <w:rsid w:val="00424C8E"/>
    <w:rsid w:val="00426083"/>
    <w:rsid w:val="00427004"/>
    <w:rsid w:val="00430BF5"/>
    <w:rsid w:val="0043708D"/>
    <w:rsid w:val="004439B0"/>
    <w:rsid w:val="004443AD"/>
    <w:rsid w:val="00445277"/>
    <w:rsid w:val="00447AE3"/>
    <w:rsid w:val="004531C9"/>
    <w:rsid w:val="00453655"/>
    <w:rsid w:val="00456950"/>
    <w:rsid w:val="00465100"/>
    <w:rsid w:val="00467E10"/>
    <w:rsid w:val="004713FD"/>
    <w:rsid w:val="00476042"/>
    <w:rsid w:val="004839AA"/>
    <w:rsid w:val="00491459"/>
    <w:rsid w:val="004976EE"/>
    <w:rsid w:val="00497ABB"/>
    <w:rsid w:val="004A6A9C"/>
    <w:rsid w:val="004A7564"/>
    <w:rsid w:val="004B16B2"/>
    <w:rsid w:val="004B1AAF"/>
    <w:rsid w:val="004B5D07"/>
    <w:rsid w:val="004C047D"/>
    <w:rsid w:val="004C2365"/>
    <w:rsid w:val="004C6458"/>
    <w:rsid w:val="004D23D9"/>
    <w:rsid w:val="004D766C"/>
    <w:rsid w:val="004E7DC7"/>
    <w:rsid w:val="004F1F80"/>
    <w:rsid w:val="00501C86"/>
    <w:rsid w:val="00501F78"/>
    <w:rsid w:val="00504CA8"/>
    <w:rsid w:val="0051251C"/>
    <w:rsid w:val="00512BA4"/>
    <w:rsid w:val="00516858"/>
    <w:rsid w:val="00517642"/>
    <w:rsid w:val="00526E6D"/>
    <w:rsid w:val="00527E9D"/>
    <w:rsid w:val="00531802"/>
    <w:rsid w:val="005336B0"/>
    <w:rsid w:val="005367E0"/>
    <w:rsid w:val="00541E54"/>
    <w:rsid w:val="00541EB1"/>
    <w:rsid w:val="005455CE"/>
    <w:rsid w:val="00556F58"/>
    <w:rsid w:val="0055701B"/>
    <w:rsid w:val="0055769C"/>
    <w:rsid w:val="0056527F"/>
    <w:rsid w:val="00567001"/>
    <w:rsid w:val="00567DF4"/>
    <w:rsid w:val="00575572"/>
    <w:rsid w:val="00580FD8"/>
    <w:rsid w:val="005823FB"/>
    <w:rsid w:val="00582C6F"/>
    <w:rsid w:val="005861D4"/>
    <w:rsid w:val="0058643A"/>
    <w:rsid w:val="005900FB"/>
    <w:rsid w:val="005908EF"/>
    <w:rsid w:val="005908FC"/>
    <w:rsid w:val="005946A4"/>
    <w:rsid w:val="0059625E"/>
    <w:rsid w:val="005A1F8D"/>
    <w:rsid w:val="005A7460"/>
    <w:rsid w:val="005B0454"/>
    <w:rsid w:val="005B22F2"/>
    <w:rsid w:val="005C0434"/>
    <w:rsid w:val="005C3EDA"/>
    <w:rsid w:val="005C4D3E"/>
    <w:rsid w:val="005C4D4B"/>
    <w:rsid w:val="005E003D"/>
    <w:rsid w:val="005E35CD"/>
    <w:rsid w:val="005E5A62"/>
    <w:rsid w:val="005F0949"/>
    <w:rsid w:val="005F60B0"/>
    <w:rsid w:val="0060390A"/>
    <w:rsid w:val="00606396"/>
    <w:rsid w:val="00610021"/>
    <w:rsid w:val="006115C2"/>
    <w:rsid w:val="00616E55"/>
    <w:rsid w:val="00616F40"/>
    <w:rsid w:val="0062110A"/>
    <w:rsid w:val="00623671"/>
    <w:rsid w:val="00626522"/>
    <w:rsid w:val="00627666"/>
    <w:rsid w:val="00631CB5"/>
    <w:rsid w:val="00632DF4"/>
    <w:rsid w:val="00636041"/>
    <w:rsid w:val="00637B2F"/>
    <w:rsid w:val="0064242E"/>
    <w:rsid w:val="00651DF0"/>
    <w:rsid w:val="00662DBB"/>
    <w:rsid w:val="00663EAF"/>
    <w:rsid w:val="0066521F"/>
    <w:rsid w:val="00671AF6"/>
    <w:rsid w:val="006759C2"/>
    <w:rsid w:val="00677324"/>
    <w:rsid w:val="0069042A"/>
    <w:rsid w:val="00692D9F"/>
    <w:rsid w:val="00695464"/>
    <w:rsid w:val="006957AC"/>
    <w:rsid w:val="006A1CF4"/>
    <w:rsid w:val="006A6A92"/>
    <w:rsid w:val="006B610F"/>
    <w:rsid w:val="006B6361"/>
    <w:rsid w:val="006B7960"/>
    <w:rsid w:val="006C1038"/>
    <w:rsid w:val="006C43F3"/>
    <w:rsid w:val="006C7DA9"/>
    <w:rsid w:val="006C7F22"/>
    <w:rsid w:val="006D265D"/>
    <w:rsid w:val="006D4982"/>
    <w:rsid w:val="006D5A0B"/>
    <w:rsid w:val="006D6E0E"/>
    <w:rsid w:val="006E12E0"/>
    <w:rsid w:val="006E4767"/>
    <w:rsid w:val="006E4E31"/>
    <w:rsid w:val="006F31B9"/>
    <w:rsid w:val="006F41D3"/>
    <w:rsid w:val="006F6747"/>
    <w:rsid w:val="007011CD"/>
    <w:rsid w:val="00701259"/>
    <w:rsid w:val="00701DD1"/>
    <w:rsid w:val="00701F15"/>
    <w:rsid w:val="00704A1B"/>
    <w:rsid w:val="00707BA9"/>
    <w:rsid w:val="00712074"/>
    <w:rsid w:val="00722205"/>
    <w:rsid w:val="007224BC"/>
    <w:rsid w:val="0072446C"/>
    <w:rsid w:val="007322EC"/>
    <w:rsid w:val="00733E16"/>
    <w:rsid w:val="00742088"/>
    <w:rsid w:val="00743B22"/>
    <w:rsid w:val="00750472"/>
    <w:rsid w:val="00750882"/>
    <w:rsid w:val="00751FE1"/>
    <w:rsid w:val="007601C7"/>
    <w:rsid w:val="00760DC9"/>
    <w:rsid w:val="0076265D"/>
    <w:rsid w:val="0076405C"/>
    <w:rsid w:val="00765CE0"/>
    <w:rsid w:val="00766088"/>
    <w:rsid w:val="0077282C"/>
    <w:rsid w:val="00787EC9"/>
    <w:rsid w:val="007A2477"/>
    <w:rsid w:val="007A33CC"/>
    <w:rsid w:val="007A37B3"/>
    <w:rsid w:val="007C0004"/>
    <w:rsid w:val="007C7445"/>
    <w:rsid w:val="007C753F"/>
    <w:rsid w:val="007D40F1"/>
    <w:rsid w:val="007E00A2"/>
    <w:rsid w:val="007E311B"/>
    <w:rsid w:val="007E5D98"/>
    <w:rsid w:val="007F17A8"/>
    <w:rsid w:val="007F2DD1"/>
    <w:rsid w:val="007F5932"/>
    <w:rsid w:val="007F5972"/>
    <w:rsid w:val="007F5F60"/>
    <w:rsid w:val="007F6F64"/>
    <w:rsid w:val="008008C8"/>
    <w:rsid w:val="00804D18"/>
    <w:rsid w:val="008052A5"/>
    <w:rsid w:val="00812E03"/>
    <w:rsid w:val="00814C93"/>
    <w:rsid w:val="008179B7"/>
    <w:rsid w:val="00820626"/>
    <w:rsid w:val="008233C3"/>
    <w:rsid w:val="00823E87"/>
    <w:rsid w:val="00824B2F"/>
    <w:rsid w:val="00844CEA"/>
    <w:rsid w:val="00846200"/>
    <w:rsid w:val="008468DD"/>
    <w:rsid w:val="0085008C"/>
    <w:rsid w:val="00851E4E"/>
    <w:rsid w:val="0085347E"/>
    <w:rsid w:val="008539CC"/>
    <w:rsid w:val="00854010"/>
    <w:rsid w:val="0085627B"/>
    <w:rsid w:val="00860838"/>
    <w:rsid w:val="00866F03"/>
    <w:rsid w:val="008830C9"/>
    <w:rsid w:val="0088569C"/>
    <w:rsid w:val="00890461"/>
    <w:rsid w:val="008914AC"/>
    <w:rsid w:val="008935EF"/>
    <w:rsid w:val="00897D7F"/>
    <w:rsid w:val="008A0183"/>
    <w:rsid w:val="008A1629"/>
    <w:rsid w:val="008A2792"/>
    <w:rsid w:val="008A2D18"/>
    <w:rsid w:val="008A480C"/>
    <w:rsid w:val="008B00E9"/>
    <w:rsid w:val="008B68FF"/>
    <w:rsid w:val="008B7CDF"/>
    <w:rsid w:val="008C1DBF"/>
    <w:rsid w:val="008C39D5"/>
    <w:rsid w:val="008C5348"/>
    <w:rsid w:val="008C6127"/>
    <w:rsid w:val="008C7A2A"/>
    <w:rsid w:val="008D20B4"/>
    <w:rsid w:val="008D439F"/>
    <w:rsid w:val="008D4CD6"/>
    <w:rsid w:val="008D65B3"/>
    <w:rsid w:val="008E195F"/>
    <w:rsid w:val="008E37EC"/>
    <w:rsid w:val="008E3B80"/>
    <w:rsid w:val="008E64B5"/>
    <w:rsid w:val="008F1B8C"/>
    <w:rsid w:val="008F28C5"/>
    <w:rsid w:val="00904753"/>
    <w:rsid w:val="009076D2"/>
    <w:rsid w:val="00931B0B"/>
    <w:rsid w:val="00933C0D"/>
    <w:rsid w:val="00933F74"/>
    <w:rsid w:val="00936743"/>
    <w:rsid w:val="00936CD3"/>
    <w:rsid w:val="0094033B"/>
    <w:rsid w:val="009406F8"/>
    <w:rsid w:val="00943332"/>
    <w:rsid w:val="00943C5D"/>
    <w:rsid w:val="00947736"/>
    <w:rsid w:val="00950024"/>
    <w:rsid w:val="00953880"/>
    <w:rsid w:val="009558C2"/>
    <w:rsid w:val="00964597"/>
    <w:rsid w:val="00966D76"/>
    <w:rsid w:val="00967A72"/>
    <w:rsid w:val="0097107D"/>
    <w:rsid w:val="00972FDF"/>
    <w:rsid w:val="00973E9F"/>
    <w:rsid w:val="0097794C"/>
    <w:rsid w:val="00983E95"/>
    <w:rsid w:val="00983F5F"/>
    <w:rsid w:val="00984888"/>
    <w:rsid w:val="0099414D"/>
    <w:rsid w:val="009A0442"/>
    <w:rsid w:val="009A5C70"/>
    <w:rsid w:val="009C0845"/>
    <w:rsid w:val="009D48D2"/>
    <w:rsid w:val="009E018D"/>
    <w:rsid w:val="009E0665"/>
    <w:rsid w:val="009E30DB"/>
    <w:rsid w:val="009E3C82"/>
    <w:rsid w:val="009F1D68"/>
    <w:rsid w:val="009F4869"/>
    <w:rsid w:val="00A12900"/>
    <w:rsid w:val="00A14755"/>
    <w:rsid w:val="00A14C4C"/>
    <w:rsid w:val="00A237E2"/>
    <w:rsid w:val="00A4324E"/>
    <w:rsid w:val="00A457C0"/>
    <w:rsid w:val="00A50D40"/>
    <w:rsid w:val="00A56AF7"/>
    <w:rsid w:val="00A60F6E"/>
    <w:rsid w:val="00A644D4"/>
    <w:rsid w:val="00A672FA"/>
    <w:rsid w:val="00A718FA"/>
    <w:rsid w:val="00A7739E"/>
    <w:rsid w:val="00A81B76"/>
    <w:rsid w:val="00A83F19"/>
    <w:rsid w:val="00A853AE"/>
    <w:rsid w:val="00A93989"/>
    <w:rsid w:val="00AA257A"/>
    <w:rsid w:val="00AA46A4"/>
    <w:rsid w:val="00AA49EC"/>
    <w:rsid w:val="00AB1219"/>
    <w:rsid w:val="00AB2CDC"/>
    <w:rsid w:val="00AB533B"/>
    <w:rsid w:val="00AB625D"/>
    <w:rsid w:val="00AC08E4"/>
    <w:rsid w:val="00AC1E35"/>
    <w:rsid w:val="00AC3F70"/>
    <w:rsid w:val="00AC5DA4"/>
    <w:rsid w:val="00AD584E"/>
    <w:rsid w:val="00AD5FC7"/>
    <w:rsid w:val="00AF035C"/>
    <w:rsid w:val="00AF3656"/>
    <w:rsid w:val="00AF4A25"/>
    <w:rsid w:val="00AF4CEF"/>
    <w:rsid w:val="00AF7B85"/>
    <w:rsid w:val="00B01CF4"/>
    <w:rsid w:val="00B06FAD"/>
    <w:rsid w:val="00B07AAD"/>
    <w:rsid w:val="00B1029B"/>
    <w:rsid w:val="00B220A6"/>
    <w:rsid w:val="00B31CF8"/>
    <w:rsid w:val="00B35127"/>
    <w:rsid w:val="00B37A89"/>
    <w:rsid w:val="00B43504"/>
    <w:rsid w:val="00B43F0C"/>
    <w:rsid w:val="00B61533"/>
    <w:rsid w:val="00B658FA"/>
    <w:rsid w:val="00B65A2A"/>
    <w:rsid w:val="00B71902"/>
    <w:rsid w:val="00B71D5E"/>
    <w:rsid w:val="00B73A70"/>
    <w:rsid w:val="00B75C4D"/>
    <w:rsid w:val="00B8734A"/>
    <w:rsid w:val="00B91AD8"/>
    <w:rsid w:val="00B94276"/>
    <w:rsid w:val="00B9575E"/>
    <w:rsid w:val="00BA0A9D"/>
    <w:rsid w:val="00BA1FB4"/>
    <w:rsid w:val="00BA334B"/>
    <w:rsid w:val="00BA75AE"/>
    <w:rsid w:val="00BB44F5"/>
    <w:rsid w:val="00BC31D7"/>
    <w:rsid w:val="00BE080E"/>
    <w:rsid w:val="00BE3148"/>
    <w:rsid w:val="00BE60C3"/>
    <w:rsid w:val="00BF21CB"/>
    <w:rsid w:val="00BF23B9"/>
    <w:rsid w:val="00C04C5C"/>
    <w:rsid w:val="00C101C8"/>
    <w:rsid w:val="00C14EEC"/>
    <w:rsid w:val="00C16E31"/>
    <w:rsid w:val="00C21570"/>
    <w:rsid w:val="00C23F7F"/>
    <w:rsid w:val="00C249AC"/>
    <w:rsid w:val="00C25CEA"/>
    <w:rsid w:val="00C263CF"/>
    <w:rsid w:val="00C27FB4"/>
    <w:rsid w:val="00C34229"/>
    <w:rsid w:val="00C35902"/>
    <w:rsid w:val="00C40676"/>
    <w:rsid w:val="00C509C6"/>
    <w:rsid w:val="00C51B4E"/>
    <w:rsid w:val="00C548CC"/>
    <w:rsid w:val="00C57ED8"/>
    <w:rsid w:val="00C608A7"/>
    <w:rsid w:val="00C66BF9"/>
    <w:rsid w:val="00C67F72"/>
    <w:rsid w:val="00C811A0"/>
    <w:rsid w:val="00C81F08"/>
    <w:rsid w:val="00C83733"/>
    <w:rsid w:val="00C9539C"/>
    <w:rsid w:val="00CA0475"/>
    <w:rsid w:val="00CA1549"/>
    <w:rsid w:val="00CA2CB6"/>
    <w:rsid w:val="00CA67ED"/>
    <w:rsid w:val="00CA6FBC"/>
    <w:rsid w:val="00CB6AAC"/>
    <w:rsid w:val="00CB7ED9"/>
    <w:rsid w:val="00CC1831"/>
    <w:rsid w:val="00CC7D74"/>
    <w:rsid w:val="00CD5C21"/>
    <w:rsid w:val="00CE2428"/>
    <w:rsid w:val="00CE7336"/>
    <w:rsid w:val="00CF06CB"/>
    <w:rsid w:val="00CF15BC"/>
    <w:rsid w:val="00CF3854"/>
    <w:rsid w:val="00D00DA3"/>
    <w:rsid w:val="00D01040"/>
    <w:rsid w:val="00D03D8A"/>
    <w:rsid w:val="00D07F89"/>
    <w:rsid w:val="00D13F76"/>
    <w:rsid w:val="00D232FB"/>
    <w:rsid w:val="00D23C00"/>
    <w:rsid w:val="00D25DB0"/>
    <w:rsid w:val="00D2690B"/>
    <w:rsid w:val="00D306E4"/>
    <w:rsid w:val="00D32287"/>
    <w:rsid w:val="00D42224"/>
    <w:rsid w:val="00D43CE8"/>
    <w:rsid w:val="00D4782C"/>
    <w:rsid w:val="00D532AC"/>
    <w:rsid w:val="00D553EF"/>
    <w:rsid w:val="00D5651E"/>
    <w:rsid w:val="00D626DD"/>
    <w:rsid w:val="00D642D9"/>
    <w:rsid w:val="00D67EE1"/>
    <w:rsid w:val="00D71A54"/>
    <w:rsid w:val="00D76C92"/>
    <w:rsid w:val="00D76D93"/>
    <w:rsid w:val="00D81779"/>
    <w:rsid w:val="00D8527B"/>
    <w:rsid w:val="00D85305"/>
    <w:rsid w:val="00D86521"/>
    <w:rsid w:val="00D92287"/>
    <w:rsid w:val="00D926C4"/>
    <w:rsid w:val="00D93332"/>
    <w:rsid w:val="00D94499"/>
    <w:rsid w:val="00DA0348"/>
    <w:rsid w:val="00DA0BBD"/>
    <w:rsid w:val="00DA5732"/>
    <w:rsid w:val="00DA614D"/>
    <w:rsid w:val="00DA7F84"/>
    <w:rsid w:val="00DB0F8A"/>
    <w:rsid w:val="00DB35FF"/>
    <w:rsid w:val="00DB431C"/>
    <w:rsid w:val="00DB5EE8"/>
    <w:rsid w:val="00DB798D"/>
    <w:rsid w:val="00DC11FE"/>
    <w:rsid w:val="00DC2B47"/>
    <w:rsid w:val="00DC551E"/>
    <w:rsid w:val="00DC7A94"/>
    <w:rsid w:val="00DD13C5"/>
    <w:rsid w:val="00DD5BEE"/>
    <w:rsid w:val="00DE10F6"/>
    <w:rsid w:val="00DE3B58"/>
    <w:rsid w:val="00DE7144"/>
    <w:rsid w:val="00DE75A5"/>
    <w:rsid w:val="00DF3EB4"/>
    <w:rsid w:val="00DF4683"/>
    <w:rsid w:val="00DF6ED0"/>
    <w:rsid w:val="00E02AF4"/>
    <w:rsid w:val="00E16777"/>
    <w:rsid w:val="00E22D60"/>
    <w:rsid w:val="00E30A60"/>
    <w:rsid w:val="00E32B3C"/>
    <w:rsid w:val="00E35D2A"/>
    <w:rsid w:val="00E36679"/>
    <w:rsid w:val="00E37CC1"/>
    <w:rsid w:val="00E403BC"/>
    <w:rsid w:val="00E50B2E"/>
    <w:rsid w:val="00E54852"/>
    <w:rsid w:val="00E6151A"/>
    <w:rsid w:val="00E627DD"/>
    <w:rsid w:val="00E6482D"/>
    <w:rsid w:val="00E75BA5"/>
    <w:rsid w:val="00E80444"/>
    <w:rsid w:val="00E81217"/>
    <w:rsid w:val="00E8332D"/>
    <w:rsid w:val="00E83C8A"/>
    <w:rsid w:val="00E84AFE"/>
    <w:rsid w:val="00E867BC"/>
    <w:rsid w:val="00E9488B"/>
    <w:rsid w:val="00E97B1B"/>
    <w:rsid w:val="00EA01F8"/>
    <w:rsid w:val="00EA2958"/>
    <w:rsid w:val="00EC615F"/>
    <w:rsid w:val="00EC6BD5"/>
    <w:rsid w:val="00EC74F4"/>
    <w:rsid w:val="00ED1279"/>
    <w:rsid w:val="00ED12DB"/>
    <w:rsid w:val="00ED148B"/>
    <w:rsid w:val="00ED29EC"/>
    <w:rsid w:val="00ED3912"/>
    <w:rsid w:val="00EE63D7"/>
    <w:rsid w:val="00EF16D4"/>
    <w:rsid w:val="00EF55E3"/>
    <w:rsid w:val="00F01293"/>
    <w:rsid w:val="00F02959"/>
    <w:rsid w:val="00F034B9"/>
    <w:rsid w:val="00F04485"/>
    <w:rsid w:val="00F0682C"/>
    <w:rsid w:val="00F11428"/>
    <w:rsid w:val="00F16A62"/>
    <w:rsid w:val="00F237A6"/>
    <w:rsid w:val="00F324EB"/>
    <w:rsid w:val="00F34FFF"/>
    <w:rsid w:val="00F35C54"/>
    <w:rsid w:val="00F3774E"/>
    <w:rsid w:val="00F43703"/>
    <w:rsid w:val="00F501D3"/>
    <w:rsid w:val="00F5237D"/>
    <w:rsid w:val="00F527C4"/>
    <w:rsid w:val="00F5297B"/>
    <w:rsid w:val="00F55F40"/>
    <w:rsid w:val="00F56C31"/>
    <w:rsid w:val="00F57653"/>
    <w:rsid w:val="00F62C06"/>
    <w:rsid w:val="00F62DD3"/>
    <w:rsid w:val="00F63FF0"/>
    <w:rsid w:val="00F64EFF"/>
    <w:rsid w:val="00F7031E"/>
    <w:rsid w:val="00F74FD6"/>
    <w:rsid w:val="00F77BB3"/>
    <w:rsid w:val="00F83950"/>
    <w:rsid w:val="00F844FF"/>
    <w:rsid w:val="00F87877"/>
    <w:rsid w:val="00F961D4"/>
    <w:rsid w:val="00FB7ACE"/>
    <w:rsid w:val="00FC7715"/>
    <w:rsid w:val="00FC7E07"/>
    <w:rsid w:val="00FD25F8"/>
    <w:rsid w:val="00FD2694"/>
    <w:rsid w:val="00FE1E30"/>
    <w:rsid w:val="00FE47FA"/>
    <w:rsid w:val="00FE7120"/>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6E4"/>
  </w:style>
  <w:style w:type="paragraph" w:styleId="Heading2">
    <w:name w:val="heading 2"/>
    <w:basedOn w:val="Normal"/>
    <w:next w:val="Normal"/>
    <w:link w:val="Heading2Char"/>
    <w:uiPriority w:val="9"/>
    <w:unhideWhenUsed/>
    <w:qFormat/>
    <w:rsid w:val="00E36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9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2DBB"/>
    <w:pPr>
      <w:ind w:left="720"/>
      <w:contextualSpacing/>
    </w:pPr>
  </w:style>
  <w:style w:type="paragraph" w:styleId="NoSpacing">
    <w:name w:val="No Spacing"/>
    <w:uiPriority w:val="1"/>
    <w:qFormat/>
    <w:rsid w:val="00D2690B"/>
    <w:pPr>
      <w:spacing w:after="0" w:line="240" w:lineRule="auto"/>
    </w:pPr>
  </w:style>
  <w:style w:type="paragraph" w:customStyle="1" w:styleId="Default">
    <w:name w:val="Default"/>
    <w:rsid w:val="00E30A60"/>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next w:val="Normal"/>
    <w:link w:val="SubtitleChar"/>
    <w:uiPriority w:val="11"/>
    <w:qFormat/>
    <w:rsid w:val="00DA034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0348"/>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semiHidden/>
    <w:unhideWhenUsed/>
    <w:rsid w:val="005B04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0454"/>
  </w:style>
  <w:style w:type="paragraph" w:styleId="Footer">
    <w:name w:val="footer"/>
    <w:basedOn w:val="Normal"/>
    <w:link w:val="FooterChar"/>
    <w:uiPriority w:val="99"/>
    <w:unhideWhenUsed/>
    <w:rsid w:val="005B0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454"/>
  </w:style>
  <w:style w:type="paragraph" w:styleId="BalloonText">
    <w:name w:val="Balloon Text"/>
    <w:basedOn w:val="Normal"/>
    <w:link w:val="BalloonTextChar"/>
    <w:uiPriority w:val="99"/>
    <w:semiHidden/>
    <w:unhideWhenUsed/>
    <w:rsid w:val="005B0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454"/>
    <w:rPr>
      <w:rFonts w:ascii="Tahoma" w:hAnsi="Tahoma" w:cs="Tahoma"/>
      <w:sz w:val="16"/>
      <w:szCs w:val="16"/>
    </w:rPr>
  </w:style>
  <w:style w:type="character" w:customStyle="1" w:styleId="Heading2Char">
    <w:name w:val="Heading 2 Char"/>
    <w:basedOn w:val="DefaultParagraphFont"/>
    <w:link w:val="Heading2"/>
    <w:uiPriority w:val="9"/>
    <w:rsid w:val="00E3667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617037">
      <w:bodyDiv w:val="1"/>
      <w:marLeft w:val="0"/>
      <w:marRight w:val="0"/>
      <w:marTop w:val="0"/>
      <w:marBottom w:val="0"/>
      <w:divBdr>
        <w:top w:val="none" w:sz="0" w:space="0" w:color="auto"/>
        <w:left w:val="none" w:sz="0" w:space="0" w:color="auto"/>
        <w:bottom w:val="none" w:sz="0" w:space="0" w:color="auto"/>
        <w:right w:val="none" w:sz="0" w:space="0" w:color="auto"/>
      </w:divBdr>
    </w:div>
    <w:div w:id="16735372">
      <w:bodyDiv w:val="1"/>
      <w:marLeft w:val="0"/>
      <w:marRight w:val="0"/>
      <w:marTop w:val="0"/>
      <w:marBottom w:val="0"/>
      <w:divBdr>
        <w:top w:val="none" w:sz="0" w:space="0" w:color="auto"/>
        <w:left w:val="none" w:sz="0" w:space="0" w:color="auto"/>
        <w:bottom w:val="none" w:sz="0" w:space="0" w:color="auto"/>
        <w:right w:val="none" w:sz="0" w:space="0" w:color="auto"/>
      </w:divBdr>
    </w:div>
    <w:div w:id="18897235">
      <w:bodyDiv w:val="1"/>
      <w:marLeft w:val="0"/>
      <w:marRight w:val="0"/>
      <w:marTop w:val="0"/>
      <w:marBottom w:val="0"/>
      <w:divBdr>
        <w:top w:val="none" w:sz="0" w:space="0" w:color="auto"/>
        <w:left w:val="none" w:sz="0" w:space="0" w:color="auto"/>
        <w:bottom w:val="none" w:sz="0" w:space="0" w:color="auto"/>
        <w:right w:val="none" w:sz="0" w:space="0" w:color="auto"/>
      </w:divBdr>
    </w:div>
    <w:div w:id="34159896">
      <w:bodyDiv w:val="1"/>
      <w:marLeft w:val="0"/>
      <w:marRight w:val="0"/>
      <w:marTop w:val="0"/>
      <w:marBottom w:val="0"/>
      <w:divBdr>
        <w:top w:val="none" w:sz="0" w:space="0" w:color="auto"/>
        <w:left w:val="none" w:sz="0" w:space="0" w:color="auto"/>
        <w:bottom w:val="none" w:sz="0" w:space="0" w:color="auto"/>
        <w:right w:val="none" w:sz="0" w:space="0" w:color="auto"/>
      </w:divBdr>
    </w:div>
    <w:div w:id="35934796">
      <w:bodyDiv w:val="1"/>
      <w:marLeft w:val="0"/>
      <w:marRight w:val="0"/>
      <w:marTop w:val="0"/>
      <w:marBottom w:val="0"/>
      <w:divBdr>
        <w:top w:val="none" w:sz="0" w:space="0" w:color="auto"/>
        <w:left w:val="none" w:sz="0" w:space="0" w:color="auto"/>
        <w:bottom w:val="none" w:sz="0" w:space="0" w:color="auto"/>
        <w:right w:val="none" w:sz="0" w:space="0" w:color="auto"/>
      </w:divBdr>
    </w:div>
    <w:div w:id="43649813">
      <w:bodyDiv w:val="1"/>
      <w:marLeft w:val="0"/>
      <w:marRight w:val="0"/>
      <w:marTop w:val="0"/>
      <w:marBottom w:val="0"/>
      <w:divBdr>
        <w:top w:val="none" w:sz="0" w:space="0" w:color="auto"/>
        <w:left w:val="none" w:sz="0" w:space="0" w:color="auto"/>
        <w:bottom w:val="none" w:sz="0" w:space="0" w:color="auto"/>
        <w:right w:val="none" w:sz="0" w:space="0" w:color="auto"/>
      </w:divBdr>
    </w:div>
    <w:div w:id="49574495">
      <w:bodyDiv w:val="1"/>
      <w:marLeft w:val="0"/>
      <w:marRight w:val="0"/>
      <w:marTop w:val="0"/>
      <w:marBottom w:val="0"/>
      <w:divBdr>
        <w:top w:val="none" w:sz="0" w:space="0" w:color="auto"/>
        <w:left w:val="none" w:sz="0" w:space="0" w:color="auto"/>
        <w:bottom w:val="none" w:sz="0" w:space="0" w:color="auto"/>
        <w:right w:val="none" w:sz="0" w:space="0" w:color="auto"/>
      </w:divBdr>
    </w:div>
    <w:div w:id="58015388">
      <w:bodyDiv w:val="1"/>
      <w:marLeft w:val="0"/>
      <w:marRight w:val="0"/>
      <w:marTop w:val="0"/>
      <w:marBottom w:val="0"/>
      <w:divBdr>
        <w:top w:val="none" w:sz="0" w:space="0" w:color="auto"/>
        <w:left w:val="none" w:sz="0" w:space="0" w:color="auto"/>
        <w:bottom w:val="none" w:sz="0" w:space="0" w:color="auto"/>
        <w:right w:val="none" w:sz="0" w:space="0" w:color="auto"/>
      </w:divBdr>
    </w:div>
    <w:div w:id="75979735">
      <w:bodyDiv w:val="1"/>
      <w:marLeft w:val="0"/>
      <w:marRight w:val="0"/>
      <w:marTop w:val="0"/>
      <w:marBottom w:val="0"/>
      <w:divBdr>
        <w:top w:val="none" w:sz="0" w:space="0" w:color="auto"/>
        <w:left w:val="none" w:sz="0" w:space="0" w:color="auto"/>
        <w:bottom w:val="none" w:sz="0" w:space="0" w:color="auto"/>
        <w:right w:val="none" w:sz="0" w:space="0" w:color="auto"/>
      </w:divBdr>
    </w:div>
    <w:div w:id="76485118">
      <w:bodyDiv w:val="1"/>
      <w:marLeft w:val="0"/>
      <w:marRight w:val="0"/>
      <w:marTop w:val="0"/>
      <w:marBottom w:val="0"/>
      <w:divBdr>
        <w:top w:val="none" w:sz="0" w:space="0" w:color="auto"/>
        <w:left w:val="none" w:sz="0" w:space="0" w:color="auto"/>
        <w:bottom w:val="none" w:sz="0" w:space="0" w:color="auto"/>
        <w:right w:val="none" w:sz="0" w:space="0" w:color="auto"/>
      </w:divBdr>
    </w:div>
    <w:div w:id="80371335">
      <w:bodyDiv w:val="1"/>
      <w:marLeft w:val="0"/>
      <w:marRight w:val="0"/>
      <w:marTop w:val="0"/>
      <w:marBottom w:val="0"/>
      <w:divBdr>
        <w:top w:val="none" w:sz="0" w:space="0" w:color="auto"/>
        <w:left w:val="none" w:sz="0" w:space="0" w:color="auto"/>
        <w:bottom w:val="none" w:sz="0" w:space="0" w:color="auto"/>
        <w:right w:val="none" w:sz="0" w:space="0" w:color="auto"/>
      </w:divBdr>
    </w:div>
    <w:div w:id="81143719">
      <w:bodyDiv w:val="1"/>
      <w:marLeft w:val="0"/>
      <w:marRight w:val="0"/>
      <w:marTop w:val="0"/>
      <w:marBottom w:val="0"/>
      <w:divBdr>
        <w:top w:val="none" w:sz="0" w:space="0" w:color="auto"/>
        <w:left w:val="none" w:sz="0" w:space="0" w:color="auto"/>
        <w:bottom w:val="none" w:sz="0" w:space="0" w:color="auto"/>
        <w:right w:val="none" w:sz="0" w:space="0" w:color="auto"/>
      </w:divBdr>
    </w:div>
    <w:div w:id="91826050">
      <w:bodyDiv w:val="1"/>
      <w:marLeft w:val="0"/>
      <w:marRight w:val="0"/>
      <w:marTop w:val="0"/>
      <w:marBottom w:val="0"/>
      <w:divBdr>
        <w:top w:val="none" w:sz="0" w:space="0" w:color="auto"/>
        <w:left w:val="none" w:sz="0" w:space="0" w:color="auto"/>
        <w:bottom w:val="none" w:sz="0" w:space="0" w:color="auto"/>
        <w:right w:val="none" w:sz="0" w:space="0" w:color="auto"/>
      </w:divBdr>
    </w:div>
    <w:div w:id="92283045">
      <w:bodyDiv w:val="1"/>
      <w:marLeft w:val="0"/>
      <w:marRight w:val="0"/>
      <w:marTop w:val="0"/>
      <w:marBottom w:val="0"/>
      <w:divBdr>
        <w:top w:val="none" w:sz="0" w:space="0" w:color="auto"/>
        <w:left w:val="none" w:sz="0" w:space="0" w:color="auto"/>
        <w:bottom w:val="none" w:sz="0" w:space="0" w:color="auto"/>
        <w:right w:val="none" w:sz="0" w:space="0" w:color="auto"/>
      </w:divBdr>
    </w:div>
    <w:div w:id="99952933">
      <w:bodyDiv w:val="1"/>
      <w:marLeft w:val="0"/>
      <w:marRight w:val="0"/>
      <w:marTop w:val="0"/>
      <w:marBottom w:val="0"/>
      <w:divBdr>
        <w:top w:val="none" w:sz="0" w:space="0" w:color="auto"/>
        <w:left w:val="none" w:sz="0" w:space="0" w:color="auto"/>
        <w:bottom w:val="none" w:sz="0" w:space="0" w:color="auto"/>
        <w:right w:val="none" w:sz="0" w:space="0" w:color="auto"/>
      </w:divBdr>
    </w:div>
    <w:div w:id="110250226">
      <w:bodyDiv w:val="1"/>
      <w:marLeft w:val="0"/>
      <w:marRight w:val="0"/>
      <w:marTop w:val="0"/>
      <w:marBottom w:val="0"/>
      <w:divBdr>
        <w:top w:val="none" w:sz="0" w:space="0" w:color="auto"/>
        <w:left w:val="none" w:sz="0" w:space="0" w:color="auto"/>
        <w:bottom w:val="none" w:sz="0" w:space="0" w:color="auto"/>
        <w:right w:val="none" w:sz="0" w:space="0" w:color="auto"/>
      </w:divBdr>
    </w:div>
    <w:div w:id="118307701">
      <w:bodyDiv w:val="1"/>
      <w:marLeft w:val="0"/>
      <w:marRight w:val="0"/>
      <w:marTop w:val="0"/>
      <w:marBottom w:val="0"/>
      <w:divBdr>
        <w:top w:val="none" w:sz="0" w:space="0" w:color="auto"/>
        <w:left w:val="none" w:sz="0" w:space="0" w:color="auto"/>
        <w:bottom w:val="none" w:sz="0" w:space="0" w:color="auto"/>
        <w:right w:val="none" w:sz="0" w:space="0" w:color="auto"/>
      </w:divBdr>
    </w:div>
    <w:div w:id="124471696">
      <w:bodyDiv w:val="1"/>
      <w:marLeft w:val="0"/>
      <w:marRight w:val="0"/>
      <w:marTop w:val="0"/>
      <w:marBottom w:val="0"/>
      <w:divBdr>
        <w:top w:val="none" w:sz="0" w:space="0" w:color="auto"/>
        <w:left w:val="none" w:sz="0" w:space="0" w:color="auto"/>
        <w:bottom w:val="none" w:sz="0" w:space="0" w:color="auto"/>
        <w:right w:val="none" w:sz="0" w:space="0" w:color="auto"/>
      </w:divBdr>
    </w:div>
    <w:div w:id="129786834">
      <w:bodyDiv w:val="1"/>
      <w:marLeft w:val="0"/>
      <w:marRight w:val="0"/>
      <w:marTop w:val="0"/>
      <w:marBottom w:val="0"/>
      <w:divBdr>
        <w:top w:val="none" w:sz="0" w:space="0" w:color="auto"/>
        <w:left w:val="none" w:sz="0" w:space="0" w:color="auto"/>
        <w:bottom w:val="none" w:sz="0" w:space="0" w:color="auto"/>
        <w:right w:val="none" w:sz="0" w:space="0" w:color="auto"/>
      </w:divBdr>
    </w:div>
    <w:div w:id="159318494">
      <w:bodyDiv w:val="1"/>
      <w:marLeft w:val="0"/>
      <w:marRight w:val="0"/>
      <w:marTop w:val="0"/>
      <w:marBottom w:val="0"/>
      <w:divBdr>
        <w:top w:val="none" w:sz="0" w:space="0" w:color="auto"/>
        <w:left w:val="none" w:sz="0" w:space="0" w:color="auto"/>
        <w:bottom w:val="none" w:sz="0" w:space="0" w:color="auto"/>
        <w:right w:val="none" w:sz="0" w:space="0" w:color="auto"/>
      </w:divBdr>
    </w:div>
    <w:div w:id="161970736">
      <w:bodyDiv w:val="1"/>
      <w:marLeft w:val="0"/>
      <w:marRight w:val="0"/>
      <w:marTop w:val="0"/>
      <w:marBottom w:val="0"/>
      <w:divBdr>
        <w:top w:val="none" w:sz="0" w:space="0" w:color="auto"/>
        <w:left w:val="none" w:sz="0" w:space="0" w:color="auto"/>
        <w:bottom w:val="none" w:sz="0" w:space="0" w:color="auto"/>
        <w:right w:val="none" w:sz="0" w:space="0" w:color="auto"/>
      </w:divBdr>
    </w:div>
    <w:div w:id="164445682">
      <w:bodyDiv w:val="1"/>
      <w:marLeft w:val="0"/>
      <w:marRight w:val="0"/>
      <w:marTop w:val="0"/>
      <w:marBottom w:val="0"/>
      <w:divBdr>
        <w:top w:val="none" w:sz="0" w:space="0" w:color="auto"/>
        <w:left w:val="none" w:sz="0" w:space="0" w:color="auto"/>
        <w:bottom w:val="none" w:sz="0" w:space="0" w:color="auto"/>
        <w:right w:val="none" w:sz="0" w:space="0" w:color="auto"/>
      </w:divBdr>
    </w:div>
    <w:div w:id="172426035">
      <w:bodyDiv w:val="1"/>
      <w:marLeft w:val="0"/>
      <w:marRight w:val="0"/>
      <w:marTop w:val="0"/>
      <w:marBottom w:val="0"/>
      <w:divBdr>
        <w:top w:val="none" w:sz="0" w:space="0" w:color="auto"/>
        <w:left w:val="none" w:sz="0" w:space="0" w:color="auto"/>
        <w:bottom w:val="none" w:sz="0" w:space="0" w:color="auto"/>
        <w:right w:val="none" w:sz="0" w:space="0" w:color="auto"/>
      </w:divBdr>
    </w:div>
    <w:div w:id="178130109">
      <w:bodyDiv w:val="1"/>
      <w:marLeft w:val="0"/>
      <w:marRight w:val="0"/>
      <w:marTop w:val="0"/>
      <w:marBottom w:val="0"/>
      <w:divBdr>
        <w:top w:val="none" w:sz="0" w:space="0" w:color="auto"/>
        <w:left w:val="none" w:sz="0" w:space="0" w:color="auto"/>
        <w:bottom w:val="none" w:sz="0" w:space="0" w:color="auto"/>
        <w:right w:val="none" w:sz="0" w:space="0" w:color="auto"/>
      </w:divBdr>
    </w:div>
    <w:div w:id="178589613">
      <w:bodyDiv w:val="1"/>
      <w:marLeft w:val="0"/>
      <w:marRight w:val="0"/>
      <w:marTop w:val="0"/>
      <w:marBottom w:val="0"/>
      <w:divBdr>
        <w:top w:val="none" w:sz="0" w:space="0" w:color="auto"/>
        <w:left w:val="none" w:sz="0" w:space="0" w:color="auto"/>
        <w:bottom w:val="none" w:sz="0" w:space="0" w:color="auto"/>
        <w:right w:val="none" w:sz="0" w:space="0" w:color="auto"/>
      </w:divBdr>
    </w:div>
    <w:div w:id="179272992">
      <w:bodyDiv w:val="1"/>
      <w:marLeft w:val="0"/>
      <w:marRight w:val="0"/>
      <w:marTop w:val="0"/>
      <w:marBottom w:val="0"/>
      <w:divBdr>
        <w:top w:val="none" w:sz="0" w:space="0" w:color="auto"/>
        <w:left w:val="none" w:sz="0" w:space="0" w:color="auto"/>
        <w:bottom w:val="none" w:sz="0" w:space="0" w:color="auto"/>
        <w:right w:val="none" w:sz="0" w:space="0" w:color="auto"/>
      </w:divBdr>
    </w:div>
    <w:div w:id="186528389">
      <w:bodyDiv w:val="1"/>
      <w:marLeft w:val="0"/>
      <w:marRight w:val="0"/>
      <w:marTop w:val="0"/>
      <w:marBottom w:val="0"/>
      <w:divBdr>
        <w:top w:val="none" w:sz="0" w:space="0" w:color="auto"/>
        <w:left w:val="none" w:sz="0" w:space="0" w:color="auto"/>
        <w:bottom w:val="none" w:sz="0" w:space="0" w:color="auto"/>
        <w:right w:val="none" w:sz="0" w:space="0" w:color="auto"/>
      </w:divBdr>
    </w:div>
    <w:div w:id="188686821">
      <w:bodyDiv w:val="1"/>
      <w:marLeft w:val="0"/>
      <w:marRight w:val="0"/>
      <w:marTop w:val="0"/>
      <w:marBottom w:val="0"/>
      <w:divBdr>
        <w:top w:val="none" w:sz="0" w:space="0" w:color="auto"/>
        <w:left w:val="none" w:sz="0" w:space="0" w:color="auto"/>
        <w:bottom w:val="none" w:sz="0" w:space="0" w:color="auto"/>
        <w:right w:val="none" w:sz="0" w:space="0" w:color="auto"/>
      </w:divBdr>
    </w:div>
    <w:div w:id="194734290">
      <w:bodyDiv w:val="1"/>
      <w:marLeft w:val="0"/>
      <w:marRight w:val="0"/>
      <w:marTop w:val="0"/>
      <w:marBottom w:val="0"/>
      <w:divBdr>
        <w:top w:val="none" w:sz="0" w:space="0" w:color="auto"/>
        <w:left w:val="none" w:sz="0" w:space="0" w:color="auto"/>
        <w:bottom w:val="none" w:sz="0" w:space="0" w:color="auto"/>
        <w:right w:val="none" w:sz="0" w:space="0" w:color="auto"/>
      </w:divBdr>
    </w:div>
    <w:div w:id="199125322">
      <w:bodyDiv w:val="1"/>
      <w:marLeft w:val="0"/>
      <w:marRight w:val="0"/>
      <w:marTop w:val="0"/>
      <w:marBottom w:val="0"/>
      <w:divBdr>
        <w:top w:val="none" w:sz="0" w:space="0" w:color="auto"/>
        <w:left w:val="none" w:sz="0" w:space="0" w:color="auto"/>
        <w:bottom w:val="none" w:sz="0" w:space="0" w:color="auto"/>
        <w:right w:val="none" w:sz="0" w:space="0" w:color="auto"/>
      </w:divBdr>
    </w:div>
    <w:div w:id="206652473">
      <w:bodyDiv w:val="1"/>
      <w:marLeft w:val="0"/>
      <w:marRight w:val="0"/>
      <w:marTop w:val="0"/>
      <w:marBottom w:val="0"/>
      <w:divBdr>
        <w:top w:val="none" w:sz="0" w:space="0" w:color="auto"/>
        <w:left w:val="none" w:sz="0" w:space="0" w:color="auto"/>
        <w:bottom w:val="none" w:sz="0" w:space="0" w:color="auto"/>
        <w:right w:val="none" w:sz="0" w:space="0" w:color="auto"/>
      </w:divBdr>
    </w:div>
    <w:div w:id="209272376">
      <w:bodyDiv w:val="1"/>
      <w:marLeft w:val="0"/>
      <w:marRight w:val="0"/>
      <w:marTop w:val="0"/>
      <w:marBottom w:val="0"/>
      <w:divBdr>
        <w:top w:val="none" w:sz="0" w:space="0" w:color="auto"/>
        <w:left w:val="none" w:sz="0" w:space="0" w:color="auto"/>
        <w:bottom w:val="none" w:sz="0" w:space="0" w:color="auto"/>
        <w:right w:val="none" w:sz="0" w:space="0" w:color="auto"/>
      </w:divBdr>
    </w:div>
    <w:div w:id="217595930">
      <w:bodyDiv w:val="1"/>
      <w:marLeft w:val="0"/>
      <w:marRight w:val="0"/>
      <w:marTop w:val="0"/>
      <w:marBottom w:val="0"/>
      <w:divBdr>
        <w:top w:val="none" w:sz="0" w:space="0" w:color="auto"/>
        <w:left w:val="none" w:sz="0" w:space="0" w:color="auto"/>
        <w:bottom w:val="none" w:sz="0" w:space="0" w:color="auto"/>
        <w:right w:val="none" w:sz="0" w:space="0" w:color="auto"/>
      </w:divBdr>
    </w:div>
    <w:div w:id="229342075">
      <w:bodyDiv w:val="1"/>
      <w:marLeft w:val="0"/>
      <w:marRight w:val="0"/>
      <w:marTop w:val="0"/>
      <w:marBottom w:val="0"/>
      <w:divBdr>
        <w:top w:val="none" w:sz="0" w:space="0" w:color="auto"/>
        <w:left w:val="none" w:sz="0" w:space="0" w:color="auto"/>
        <w:bottom w:val="none" w:sz="0" w:space="0" w:color="auto"/>
        <w:right w:val="none" w:sz="0" w:space="0" w:color="auto"/>
      </w:divBdr>
    </w:div>
    <w:div w:id="239604348">
      <w:bodyDiv w:val="1"/>
      <w:marLeft w:val="0"/>
      <w:marRight w:val="0"/>
      <w:marTop w:val="0"/>
      <w:marBottom w:val="0"/>
      <w:divBdr>
        <w:top w:val="none" w:sz="0" w:space="0" w:color="auto"/>
        <w:left w:val="none" w:sz="0" w:space="0" w:color="auto"/>
        <w:bottom w:val="none" w:sz="0" w:space="0" w:color="auto"/>
        <w:right w:val="none" w:sz="0" w:space="0" w:color="auto"/>
      </w:divBdr>
    </w:div>
    <w:div w:id="248971395">
      <w:bodyDiv w:val="1"/>
      <w:marLeft w:val="0"/>
      <w:marRight w:val="0"/>
      <w:marTop w:val="0"/>
      <w:marBottom w:val="0"/>
      <w:divBdr>
        <w:top w:val="none" w:sz="0" w:space="0" w:color="auto"/>
        <w:left w:val="none" w:sz="0" w:space="0" w:color="auto"/>
        <w:bottom w:val="none" w:sz="0" w:space="0" w:color="auto"/>
        <w:right w:val="none" w:sz="0" w:space="0" w:color="auto"/>
      </w:divBdr>
    </w:div>
    <w:div w:id="256863190">
      <w:bodyDiv w:val="1"/>
      <w:marLeft w:val="0"/>
      <w:marRight w:val="0"/>
      <w:marTop w:val="0"/>
      <w:marBottom w:val="0"/>
      <w:divBdr>
        <w:top w:val="none" w:sz="0" w:space="0" w:color="auto"/>
        <w:left w:val="none" w:sz="0" w:space="0" w:color="auto"/>
        <w:bottom w:val="none" w:sz="0" w:space="0" w:color="auto"/>
        <w:right w:val="none" w:sz="0" w:space="0" w:color="auto"/>
      </w:divBdr>
    </w:div>
    <w:div w:id="285166851">
      <w:bodyDiv w:val="1"/>
      <w:marLeft w:val="0"/>
      <w:marRight w:val="0"/>
      <w:marTop w:val="0"/>
      <w:marBottom w:val="0"/>
      <w:divBdr>
        <w:top w:val="none" w:sz="0" w:space="0" w:color="auto"/>
        <w:left w:val="none" w:sz="0" w:space="0" w:color="auto"/>
        <w:bottom w:val="none" w:sz="0" w:space="0" w:color="auto"/>
        <w:right w:val="none" w:sz="0" w:space="0" w:color="auto"/>
      </w:divBdr>
    </w:div>
    <w:div w:id="286354891">
      <w:bodyDiv w:val="1"/>
      <w:marLeft w:val="0"/>
      <w:marRight w:val="0"/>
      <w:marTop w:val="0"/>
      <w:marBottom w:val="0"/>
      <w:divBdr>
        <w:top w:val="none" w:sz="0" w:space="0" w:color="auto"/>
        <w:left w:val="none" w:sz="0" w:space="0" w:color="auto"/>
        <w:bottom w:val="none" w:sz="0" w:space="0" w:color="auto"/>
        <w:right w:val="none" w:sz="0" w:space="0" w:color="auto"/>
      </w:divBdr>
    </w:div>
    <w:div w:id="292753781">
      <w:bodyDiv w:val="1"/>
      <w:marLeft w:val="0"/>
      <w:marRight w:val="0"/>
      <w:marTop w:val="0"/>
      <w:marBottom w:val="0"/>
      <w:divBdr>
        <w:top w:val="none" w:sz="0" w:space="0" w:color="auto"/>
        <w:left w:val="none" w:sz="0" w:space="0" w:color="auto"/>
        <w:bottom w:val="none" w:sz="0" w:space="0" w:color="auto"/>
        <w:right w:val="none" w:sz="0" w:space="0" w:color="auto"/>
      </w:divBdr>
    </w:div>
    <w:div w:id="317881264">
      <w:bodyDiv w:val="1"/>
      <w:marLeft w:val="0"/>
      <w:marRight w:val="0"/>
      <w:marTop w:val="0"/>
      <w:marBottom w:val="0"/>
      <w:divBdr>
        <w:top w:val="none" w:sz="0" w:space="0" w:color="auto"/>
        <w:left w:val="none" w:sz="0" w:space="0" w:color="auto"/>
        <w:bottom w:val="none" w:sz="0" w:space="0" w:color="auto"/>
        <w:right w:val="none" w:sz="0" w:space="0" w:color="auto"/>
      </w:divBdr>
    </w:div>
    <w:div w:id="319892692">
      <w:bodyDiv w:val="1"/>
      <w:marLeft w:val="0"/>
      <w:marRight w:val="0"/>
      <w:marTop w:val="0"/>
      <w:marBottom w:val="0"/>
      <w:divBdr>
        <w:top w:val="none" w:sz="0" w:space="0" w:color="auto"/>
        <w:left w:val="none" w:sz="0" w:space="0" w:color="auto"/>
        <w:bottom w:val="none" w:sz="0" w:space="0" w:color="auto"/>
        <w:right w:val="none" w:sz="0" w:space="0" w:color="auto"/>
      </w:divBdr>
    </w:div>
    <w:div w:id="325717257">
      <w:bodyDiv w:val="1"/>
      <w:marLeft w:val="0"/>
      <w:marRight w:val="0"/>
      <w:marTop w:val="0"/>
      <w:marBottom w:val="0"/>
      <w:divBdr>
        <w:top w:val="none" w:sz="0" w:space="0" w:color="auto"/>
        <w:left w:val="none" w:sz="0" w:space="0" w:color="auto"/>
        <w:bottom w:val="none" w:sz="0" w:space="0" w:color="auto"/>
        <w:right w:val="none" w:sz="0" w:space="0" w:color="auto"/>
      </w:divBdr>
    </w:div>
    <w:div w:id="331759654">
      <w:bodyDiv w:val="1"/>
      <w:marLeft w:val="0"/>
      <w:marRight w:val="0"/>
      <w:marTop w:val="0"/>
      <w:marBottom w:val="0"/>
      <w:divBdr>
        <w:top w:val="none" w:sz="0" w:space="0" w:color="auto"/>
        <w:left w:val="none" w:sz="0" w:space="0" w:color="auto"/>
        <w:bottom w:val="none" w:sz="0" w:space="0" w:color="auto"/>
        <w:right w:val="none" w:sz="0" w:space="0" w:color="auto"/>
      </w:divBdr>
    </w:div>
    <w:div w:id="337729650">
      <w:bodyDiv w:val="1"/>
      <w:marLeft w:val="0"/>
      <w:marRight w:val="0"/>
      <w:marTop w:val="0"/>
      <w:marBottom w:val="0"/>
      <w:divBdr>
        <w:top w:val="none" w:sz="0" w:space="0" w:color="auto"/>
        <w:left w:val="none" w:sz="0" w:space="0" w:color="auto"/>
        <w:bottom w:val="none" w:sz="0" w:space="0" w:color="auto"/>
        <w:right w:val="none" w:sz="0" w:space="0" w:color="auto"/>
      </w:divBdr>
    </w:div>
    <w:div w:id="347030181">
      <w:bodyDiv w:val="1"/>
      <w:marLeft w:val="0"/>
      <w:marRight w:val="0"/>
      <w:marTop w:val="0"/>
      <w:marBottom w:val="0"/>
      <w:divBdr>
        <w:top w:val="none" w:sz="0" w:space="0" w:color="auto"/>
        <w:left w:val="none" w:sz="0" w:space="0" w:color="auto"/>
        <w:bottom w:val="none" w:sz="0" w:space="0" w:color="auto"/>
        <w:right w:val="none" w:sz="0" w:space="0" w:color="auto"/>
      </w:divBdr>
    </w:div>
    <w:div w:id="362367781">
      <w:bodyDiv w:val="1"/>
      <w:marLeft w:val="0"/>
      <w:marRight w:val="0"/>
      <w:marTop w:val="0"/>
      <w:marBottom w:val="0"/>
      <w:divBdr>
        <w:top w:val="none" w:sz="0" w:space="0" w:color="auto"/>
        <w:left w:val="none" w:sz="0" w:space="0" w:color="auto"/>
        <w:bottom w:val="none" w:sz="0" w:space="0" w:color="auto"/>
        <w:right w:val="none" w:sz="0" w:space="0" w:color="auto"/>
      </w:divBdr>
    </w:div>
    <w:div w:id="364794806">
      <w:bodyDiv w:val="1"/>
      <w:marLeft w:val="0"/>
      <w:marRight w:val="0"/>
      <w:marTop w:val="0"/>
      <w:marBottom w:val="0"/>
      <w:divBdr>
        <w:top w:val="none" w:sz="0" w:space="0" w:color="auto"/>
        <w:left w:val="none" w:sz="0" w:space="0" w:color="auto"/>
        <w:bottom w:val="none" w:sz="0" w:space="0" w:color="auto"/>
        <w:right w:val="none" w:sz="0" w:space="0" w:color="auto"/>
      </w:divBdr>
    </w:div>
    <w:div w:id="371926732">
      <w:bodyDiv w:val="1"/>
      <w:marLeft w:val="0"/>
      <w:marRight w:val="0"/>
      <w:marTop w:val="0"/>
      <w:marBottom w:val="0"/>
      <w:divBdr>
        <w:top w:val="none" w:sz="0" w:space="0" w:color="auto"/>
        <w:left w:val="none" w:sz="0" w:space="0" w:color="auto"/>
        <w:bottom w:val="none" w:sz="0" w:space="0" w:color="auto"/>
        <w:right w:val="none" w:sz="0" w:space="0" w:color="auto"/>
      </w:divBdr>
    </w:div>
    <w:div w:id="377898551">
      <w:bodyDiv w:val="1"/>
      <w:marLeft w:val="0"/>
      <w:marRight w:val="0"/>
      <w:marTop w:val="0"/>
      <w:marBottom w:val="0"/>
      <w:divBdr>
        <w:top w:val="none" w:sz="0" w:space="0" w:color="auto"/>
        <w:left w:val="none" w:sz="0" w:space="0" w:color="auto"/>
        <w:bottom w:val="none" w:sz="0" w:space="0" w:color="auto"/>
        <w:right w:val="none" w:sz="0" w:space="0" w:color="auto"/>
      </w:divBdr>
    </w:div>
    <w:div w:id="383218439">
      <w:bodyDiv w:val="1"/>
      <w:marLeft w:val="0"/>
      <w:marRight w:val="0"/>
      <w:marTop w:val="0"/>
      <w:marBottom w:val="0"/>
      <w:divBdr>
        <w:top w:val="none" w:sz="0" w:space="0" w:color="auto"/>
        <w:left w:val="none" w:sz="0" w:space="0" w:color="auto"/>
        <w:bottom w:val="none" w:sz="0" w:space="0" w:color="auto"/>
        <w:right w:val="none" w:sz="0" w:space="0" w:color="auto"/>
      </w:divBdr>
    </w:div>
    <w:div w:id="402029092">
      <w:bodyDiv w:val="1"/>
      <w:marLeft w:val="0"/>
      <w:marRight w:val="0"/>
      <w:marTop w:val="0"/>
      <w:marBottom w:val="0"/>
      <w:divBdr>
        <w:top w:val="none" w:sz="0" w:space="0" w:color="auto"/>
        <w:left w:val="none" w:sz="0" w:space="0" w:color="auto"/>
        <w:bottom w:val="none" w:sz="0" w:space="0" w:color="auto"/>
        <w:right w:val="none" w:sz="0" w:space="0" w:color="auto"/>
      </w:divBdr>
    </w:div>
    <w:div w:id="402334770">
      <w:bodyDiv w:val="1"/>
      <w:marLeft w:val="0"/>
      <w:marRight w:val="0"/>
      <w:marTop w:val="0"/>
      <w:marBottom w:val="0"/>
      <w:divBdr>
        <w:top w:val="none" w:sz="0" w:space="0" w:color="auto"/>
        <w:left w:val="none" w:sz="0" w:space="0" w:color="auto"/>
        <w:bottom w:val="none" w:sz="0" w:space="0" w:color="auto"/>
        <w:right w:val="none" w:sz="0" w:space="0" w:color="auto"/>
      </w:divBdr>
    </w:div>
    <w:div w:id="420445743">
      <w:bodyDiv w:val="1"/>
      <w:marLeft w:val="0"/>
      <w:marRight w:val="0"/>
      <w:marTop w:val="0"/>
      <w:marBottom w:val="0"/>
      <w:divBdr>
        <w:top w:val="none" w:sz="0" w:space="0" w:color="auto"/>
        <w:left w:val="none" w:sz="0" w:space="0" w:color="auto"/>
        <w:bottom w:val="none" w:sz="0" w:space="0" w:color="auto"/>
        <w:right w:val="none" w:sz="0" w:space="0" w:color="auto"/>
      </w:divBdr>
    </w:div>
    <w:div w:id="427048043">
      <w:bodyDiv w:val="1"/>
      <w:marLeft w:val="0"/>
      <w:marRight w:val="0"/>
      <w:marTop w:val="0"/>
      <w:marBottom w:val="0"/>
      <w:divBdr>
        <w:top w:val="none" w:sz="0" w:space="0" w:color="auto"/>
        <w:left w:val="none" w:sz="0" w:space="0" w:color="auto"/>
        <w:bottom w:val="none" w:sz="0" w:space="0" w:color="auto"/>
        <w:right w:val="none" w:sz="0" w:space="0" w:color="auto"/>
      </w:divBdr>
    </w:div>
    <w:div w:id="452864249">
      <w:bodyDiv w:val="1"/>
      <w:marLeft w:val="0"/>
      <w:marRight w:val="0"/>
      <w:marTop w:val="0"/>
      <w:marBottom w:val="0"/>
      <w:divBdr>
        <w:top w:val="none" w:sz="0" w:space="0" w:color="auto"/>
        <w:left w:val="none" w:sz="0" w:space="0" w:color="auto"/>
        <w:bottom w:val="none" w:sz="0" w:space="0" w:color="auto"/>
        <w:right w:val="none" w:sz="0" w:space="0" w:color="auto"/>
      </w:divBdr>
    </w:div>
    <w:div w:id="468937022">
      <w:bodyDiv w:val="1"/>
      <w:marLeft w:val="0"/>
      <w:marRight w:val="0"/>
      <w:marTop w:val="0"/>
      <w:marBottom w:val="0"/>
      <w:divBdr>
        <w:top w:val="none" w:sz="0" w:space="0" w:color="auto"/>
        <w:left w:val="none" w:sz="0" w:space="0" w:color="auto"/>
        <w:bottom w:val="none" w:sz="0" w:space="0" w:color="auto"/>
        <w:right w:val="none" w:sz="0" w:space="0" w:color="auto"/>
      </w:divBdr>
    </w:div>
    <w:div w:id="474223953">
      <w:bodyDiv w:val="1"/>
      <w:marLeft w:val="0"/>
      <w:marRight w:val="0"/>
      <w:marTop w:val="0"/>
      <w:marBottom w:val="0"/>
      <w:divBdr>
        <w:top w:val="none" w:sz="0" w:space="0" w:color="auto"/>
        <w:left w:val="none" w:sz="0" w:space="0" w:color="auto"/>
        <w:bottom w:val="none" w:sz="0" w:space="0" w:color="auto"/>
        <w:right w:val="none" w:sz="0" w:space="0" w:color="auto"/>
      </w:divBdr>
    </w:div>
    <w:div w:id="482550588">
      <w:bodyDiv w:val="1"/>
      <w:marLeft w:val="0"/>
      <w:marRight w:val="0"/>
      <w:marTop w:val="0"/>
      <w:marBottom w:val="0"/>
      <w:divBdr>
        <w:top w:val="none" w:sz="0" w:space="0" w:color="auto"/>
        <w:left w:val="none" w:sz="0" w:space="0" w:color="auto"/>
        <w:bottom w:val="none" w:sz="0" w:space="0" w:color="auto"/>
        <w:right w:val="none" w:sz="0" w:space="0" w:color="auto"/>
      </w:divBdr>
    </w:div>
    <w:div w:id="499200135">
      <w:bodyDiv w:val="1"/>
      <w:marLeft w:val="0"/>
      <w:marRight w:val="0"/>
      <w:marTop w:val="0"/>
      <w:marBottom w:val="0"/>
      <w:divBdr>
        <w:top w:val="none" w:sz="0" w:space="0" w:color="auto"/>
        <w:left w:val="none" w:sz="0" w:space="0" w:color="auto"/>
        <w:bottom w:val="none" w:sz="0" w:space="0" w:color="auto"/>
        <w:right w:val="none" w:sz="0" w:space="0" w:color="auto"/>
      </w:divBdr>
    </w:div>
    <w:div w:id="518932881">
      <w:bodyDiv w:val="1"/>
      <w:marLeft w:val="0"/>
      <w:marRight w:val="0"/>
      <w:marTop w:val="0"/>
      <w:marBottom w:val="0"/>
      <w:divBdr>
        <w:top w:val="none" w:sz="0" w:space="0" w:color="auto"/>
        <w:left w:val="none" w:sz="0" w:space="0" w:color="auto"/>
        <w:bottom w:val="none" w:sz="0" w:space="0" w:color="auto"/>
        <w:right w:val="none" w:sz="0" w:space="0" w:color="auto"/>
      </w:divBdr>
    </w:div>
    <w:div w:id="538862571">
      <w:bodyDiv w:val="1"/>
      <w:marLeft w:val="0"/>
      <w:marRight w:val="0"/>
      <w:marTop w:val="0"/>
      <w:marBottom w:val="0"/>
      <w:divBdr>
        <w:top w:val="none" w:sz="0" w:space="0" w:color="auto"/>
        <w:left w:val="none" w:sz="0" w:space="0" w:color="auto"/>
        <w:bottom w:val="none" w:sz="0" w:space="0" w:color="auto"/>
        <w:right w:val="none" w:sz="0" w:space="0" w:color="auto"/>
      </w:divBdr>
    </w:div>
    <w:div w:id="558133452">
      <w:bodyDiv w:val="1"/>
      <w:marLeft w:val="0"/>
      <w:marRight w:val="0"/>
      <w:marTop w:val="0"/>
      <w:marBottom w:val="0"/>
      <w:divBdr>
        <w:top w:val="none" w:sz="0" w:space="0" w:color="auto"/>
        <w:left w:val="none" w:sz="0" w:space="0" w:color="auto"/>
        <w:bottom w:val="none" w:sz="0" w:space="0" w:color="auto"/>
        <w:right w:val="none" w:sz="0" w:space="0" w:color="auto"/>
      </w:divBdr>
    </w:div>
    <w:div w:id="571164696">
      <w:bodyDiv w:val="1"/>
      <w:marLeft w:val="0"/>
      <w:marRight w:val="0"/>
      <w:marTop w:val="0"/>
      <w:marBottom w:val="0"/>
      <w:divBdr>
        <w:top w:val="none" w:sz="0" w:space="0" w:color="auto"/>
        <w:left w:val="none" w:sz="0" w:space="0" w:color="auto"/>
        <w:bottom w:val="none" w:sz="0" w:space="0" w:color="auto"/>
        <w:right w:val="none" w:sz="0" w:space="0" w:color="auto"/>
      </w:divBdr>
    </w:div>
    <w:div w:id="574243407">
      <w:bodyDiv w:val="1"/>
      <w:marLeft w:val="0"/>
      <w:marRight w:val="0"/>
      <w:marTop w:val="0"/>
      <w:marBottom w:val="0"/>
      <w:divBdr>
        <w:top w:val="none" w:sz="0" w:space="0" w:color="auto"/>
        <w:left w:val="none" w:sz="0" w:space="0" w:color="auto"/>
        <w:bottom w:val="none" w:sz="0" w:space="0" w:color="auto"/>
        <w:right w:val="none" w:sz="0" w:space="0" w:color="auto"/>
      </w:divBdr>
    </w:div>
    <w:div w:id="598565857">
      <w:bodyDiv w:val="1"/>
      <w:marLeft w:val="0"/>
      <w:marRight w:val="0"/>
      <w:marTop w:val="0"/>
      <w:marBottom w:val="0"/>
      <w:divBdr>
        <w:top w:val="none" w:sz="0" w:space="0" w:color="auto"/>
        <w:left w:val="none" w:sz="0" w:space="0" w:color="auto"/>
        <w:bottom w:val="none" w:sz="0" w:space="0" w:color="auto"/>
        <w:right w:val="none" w:sz="0" w:space="0" w:color="auto"/>
      </w:divBdr>
    </w:div>
    <w:div w:id="602492365">
      <w:bodyDiv w:val="1"/>
      <w:marLeft w:val="0"/>
      <w:marRight w:val="0"/>
      <w:marTop w:val="0"/>
      <w:marBottom w:val="0"/>
      <w:divBdr>
        <w:top w:val="none" w:sz="0" w:space="0" w:color="auto"/>
        <w:left w:val="none" w:sz="0" w:space="0" w:color="auto"/>
        <w:bottom w:val="none" w:sz="0" w:space="0" w:color="auto"/>
        <w:right w:val="none" w:sz="0" w:space="0" w:color="auto"/>
      </w:divBdr>
    </w:div>
    <w:div w:id="607354474">
      <w:bodyDiv w:val="1"/>
      <w:marLeft w:val="0"/>
      <w:marRight w:val="0"/>
      <w:marTop w:val="0"/>
      <w:marBottom w:val="0"/>
      <w:divBdr>
        <w:top w:val="none" w:sz="0" w:space="0" w:color="auto"/>
        <w:left w:val="none" w:sz="0" w:space="0" w:color="auto"/>
        <w:bottom w:val="none" w:sz="0" w:space="0" w:color="auto"/>
        <w:right w:val="none" w:sz="0" w:space="0" w:color="auto"/>
      </w:divBdr>
    </w:div>
    <w:div w:id="608321033">
      <w:bodyDiv w:val="1"/>
      <w:marLeft w:val="0"/>
      <w:marRight w:val="0"/>
      <w:marTop w:val="0"/>
      <w:marBottom w:val="0"/>
      <w:divBdr>
        <w:top w:val="none" w:sz="0" w:space="0" w:color="auto"/>
        <w:left w:val="none" w:sz="0" w:space="0" w:color="auto"/>
        <w:bottom w:val="none" w:sz="0" w:space="0" w:color="auto"/>
        <w:right w:val="none" w:sz="0" w:space="0" w:color="auto"/>
      </w:divBdr>
    </w:div>
    <w:div w:id="614795759">
      <w:bodyDiv w:val="1"/>
      <w:marLeft w:val="0"/>
      <w:marRight w:val="0"/>
      <w:marTop w:val="0"/>
      <w:marBottom w:val="0"/>
      <w:divBdr>
        <w:top w:val="none" w:sz="0" w:space="0" w:color="auto"/>
        <w:left w:val="none" w:sz="0" w:space="0" w:color="auto"/>
        <w:bottom w:val="none" w:sz="0" w:space="0" w:color="auto"/>
        <w:right w:val="none" w:sz="0" w:space="0" w:color="auto"/>
      </w:divBdr>
    </w:div>
    <w:div w:id="628899112">
      <w:bodyDiv w:val="1"/>
      <w:marLeft w:val="0"/>
      <w:marRight w:val="0"/>
      <w:marTop w:val="0"/>
      <w:marBottom w:val="0"/>
      <w:divBdr>
        <w:top w:val="none" w:sz="0" w:space="0" w:color="auto"/>
        <w:left w:val="none" w:sz="0" w:space="0" w:color="auto"/>
        <w:bottom w:val="none" w:sz="0" w:space="0" w:color="auto"/>
        <w:right w:val="none" w:sz="0" w:space="0" w:color="auto"/>
      </w:divBdr>
    </w:div>
    <w:div w:id="659118179">
      <w:bodyDiv w:val="1"/>
      <w:marLeft w:val="0"/>
      <w:marRight w:val="0"/>
      <w:marTop w:val="0"/>
      <w:marBottom w:val="0"/>
      <w:divBdr>
        <w:top w:val="none" w:sz="0" w:space="0" w:color="auto"/>
        <w:left w:val="none" w:sz="0" w:space="0" w:color="auto"/>
        <w:bottom w:val="none" w:sz="0" w:space="0" w:color="auto"/>
        <w:right w:val="none" w:sz="0" w:space="0" w:color="auto"/>
      </w:divBdr>
    </w:div>
    <w:div w:id="664019930">
      <w:bodyDiv w:val="1"/>
      <w:marLeft w:val="0"/>
      <w:marRight w:val="0"/>
      <w:marTop w:val="0"/>
      <w:marBottom w:val="0"/>
      <w:divBdr>
        <w:top w:val="none" w:sz="0" w:space="0" w:color="auto"/>
        <w:left w:val="none" w:sz="0" w:space="0" w:color="auto"/>
        <w:bottom w:val="none" w:sz="0" w:space="0" w:color="auto"/>
        <w:right w:val="none" w:sz="0" w:space="0" w:color="auto"/>
      </w:divBdr>
    </w:div>
    <w:div w:id="675577685">
      <w:bodyDiv w:val="1"/>
      <w:marLeft w:val="0"/>
      <w:marRight w:val="0"/>
      <w:marTop w:val="0"/>
      <w:marBottom w:val="0"/>
      <w:divBdr>
        <w:top w:val="none" w:sz="0" w:space="0" w:color="auto"/>
        <w:left w:val="none" w:sz="0" w:space="0" w:color="auto"/>
        <w:bottom w:val="none" w:sz="0" w:space="0" w:color="auto"/>
        <w:right w:val="none" w:sz="0" w:space="0" w:color="auto"/>
      </w:divBdr>
    </w:div>
    <w:div w:id="675961084">
      <w:bodyDiv w:val="1"/>
      <w:marLeft w:val="0"/>
      <w:marRight w:val="0"/>
      <w:marTop w:val="0"/>
      <w:marBottom w:val="0"/>
      <w:divBdr>
        <w:top w:val="none" w:sz="0" w:space="0" w:color="auto"/>
        <w:left w:val="none" w:sz="0" w:space="0" w:color="auto"/>
        <w:bottom w:val="none" w:sz="0" w:space="0" w:color="auto"/>
        <w:right w:val="none" w:sz="0" w:space="0" w:color="auto"/>
      </w:divBdr>
    </w:div>
    <w:div w:id="689373836">
      <w:bodyDiv w:val="1"/>
      <w:marLeft w:val="0"/>
      <w:marRight w:val="0"/>
      <w:marTop w:val="0"/>
      <w:marBottom w:val="0"/>
      <w:divBdr>
        <w:top w:val="none" w:sz="0" w:space="0" w:color="auto"/>
        <w:left w:val="none" w:sz="0" w:space="0" w:color="auto"/>
        <w:bottom w:val="none" w:sz="0" w:space="0" w:color="auto"/>
        <w:right w:val="none" w:sz="0" w:space="0" w:color="auto"/>
      </w:divBdr>
    </w:div>
    <w:div w:id="697893478">
      <w:bodyDiv w:val="1"/>
      <w:marLeft w:val="0"/>
      <w:marRight w:val="0"/>
      <w:marTop w:val="0"/>
      <w:marBottom w:val="0"/>
      <w:divBdr>
        <w:top w:val="none" w:sz="0" w:space="0" w:color="auto"/>
        <w:left w:val="none" w:sz="0" w:space="0" w:color="auto"/>
        <w:bottom w:val="none" w:sz="0" w:space="0" w:color="auto"/>
        <w:right w:val="none" w:sz="0" w:space="0" w:color="auto"/>
      </w:divBdr>
    </w:div>
    <w:div w:id="702630277">
      <w:bodyDiv w:val="1"/>
      <w:marLeft w:val="0"/>
      <w:marRight w:val="0"/>
      <w:marTop w:val="0"/>
      <w:marBottom w:val="0"/>
      <w:divBdr>
        <w:top w:val="none" w:sz="0" w:space="0" w:color="auto"/>
        <w:left w:val="none" w:sz="0" w:space="0" w:color="auto"/>
        <w:bottom w:val="none" w:sz="0" w:space="0" w:color="auto"/>
        <w:right w:val="none" w:sz="0" w:space="0" w:color="auto"/>
      </w:divBdr>
    </w:div>
    <w:div w:id="714084888">
      <w:bodyDiv w:val="1"/>
      <w:marLeft w:val="0"/>
      <w:marRight w:val="0"/>
      <w:marTop w:val="0"/>
      <w:marBottom w:val="0"/>
      <w:divBdr>
        <w:top w:val="none" w:sz="0" w:space="0" w:color="auto"/>
        <w:left w:val="none" w:sz="0" w:space="0" w:color="auto"/>
        <w:bottom w:val="none" w:sz="0" w:space="0" w:color="auto"/>
        <w:right w:val="none" w:sz="0" w:space="0" w:color="auto"/>
      </w:divBdr>
    </w:div>
    <w:div w:id="716197741">
      <w:bodyDiv w:val="1"/>
      <w:marLeft w:val="0"/>
      <w:marRight w:val="0"/>
      <w:marTop w:val="0"/>
      <w:marBottom w:val="0"/>
      <w:divBdr>
        <w:top w:val="none" w:sz="0" w:space="0" w:color="auto"/>
        <w:left w:val="none" w:sz="0" w:space="0" w:color="auto"/>
        <w:bottom w:val="none" w:sz="0" w:space="0" w:color="auto"/>
        <w:right w:val="none" w:sz="0" w:space="0" w:color="auto"/>
      </w:divBdr>
    </w:div>
    <w:div w:id="718280805">
      <w:bodyDiv w:val="1"/>
      <w:marLeft w:val="0"/>
      <w:marRight w:val="0"/>
      <w:marTop w:val="0"/>
      <w:marBottom w:val="0"/>
      <w:divBdr>
        <w:top w:val="none" w:sz="0" w:space="0" w:color="auto"/>
        <w:left w:val="none" w:sz="0" w:space="0" w:color="auto"/>
        <w:bottom w:val="none" w:sz="0" w:space="0" w:color="auto"/>
        <w:right w:val="none" w:sz="0" w:space="0" w:color="auto"/>
      </w:divBdr>
    </w:div>
    <w:div w:id="723063314">
      <w:bodyDiv w:val="1"/>
      <w:marLeft w:val="0"/>
      <w:marRight w:val="0"/>
      <w:marTop w:val="0"/>
      <w:marBottom w:val="0"/>
      <w:divBdr>
        <w:top w:val="none" w:sz="0" w:space="0" w:color="auto"/>
        <w:left w:val="none" w:sz="0" w:space="0" w:color="auto"/>
        <w:bottom w:val="none" w:sz="0" w:space="0" w:color="auto"/>
        <w:right w:val="none" w:sz="0" w:space="0" w:color="auto"/>
      </w:divBdr>
    </w:div>
    <w:div w:id="742408137">
      <w:bodyDiv w:val="1"/>
      <w:marLeft w:val="0"/>
      <w:marRight w:val="0"/>
      <w:marTop w:val="0"/>
      <w:marBottom w:val="0"/>
      <w:divBdr>
        <w:top w:val="none" w:sz="0" w:space="0" w:color="auto"/>
        <w:left w:val="none" w:sz="0" w:space="0" w:color="auto"/>
        <w:bottom w:val="none" w:sz="0" w:space="0" w:color="auto"/>
        <w:right w:val="none" w:sz="0" w:space="0" w:color="auto"/>
      </w:divBdr>
    </w:div>
    <w:div w:id="743651590">
      <w:bodyDiv w:val="1"/>
      <w:marLeft w:val="0"/>
      <w:marRight w:val="0"/>
      <w:marTop w:val="0"/>
      <w:marBottom w:val="0"/>
      <w:divBdr>
        <w:top w:val="none" w:sz="0" w:space="0" w:color="auto"/>
        <w:left w:val="none" w:sz="0" w:space="0" w:color="auto"/>
        <w:bottom w:val="none" w:sz="0" w:space="0" w:color="auto"/>
        <w:right w:val="none" w:sz="0" w:space="0" w:color="auto"/>
      </w:divBdr>
    </w:div>
    <w:div w:id="743844485">
      <w:bodyDiv w:val="1"/>
      <w:marLeft w:val="0"/>
      <w:marRight w:val="0"/>
      <w:marTop w:val="0"/>
      <w:marBottom w:val="0"/>
      <w:divBdr>
        <w:top w:val="none" w:sz="0" w:space="0" w:color="auto"/>
        <w:left w:val="none" w:sz="0" w:space="0" w:color="auto"/>
        <w:bottom w:val="none" w:sz="0" w:space="0" w:color="auto"/>
        <w:right w:val="none" w:sz="0" w:space="0" w:color="auto"/>
      </w:divBdr>
    </w:div>
    <w:div w:id="750347816">
      <w:bodyDiv w:val="1"/>
      <w:marLeft w:val="0"/>
      <w:marRight w:val="0"/>
      <w:marTop w:val="0"/>
      <w:marBottom w:val="0"/>
      <w:divBdr>
        <w:top w:val="none" w:sz="0" w:space="0" w:color="auto"/>
        <w:left w:val="none" w:sz="0" w:space="0" w:color="auto"/>
        <w:bottom w:val="none" w:sz="0" w:space="0" w:color="auto"/>
        <w:right w:val="none" w:sz="0" w:space="0" w:color="auto"/>
      </w:divBdr>
    </w:div>
    <w:div w:id="778985401">
      <w:bodyDiv w:val="1"/>
      <w:marLeft w:val="0"/>
      <w:marRight w:val="0"/>
      <w:marTop w:val="0"/>
      <w:marBottom w:val="0"/>
      <w:divBdr>
        <w:top w:val="none" w:sz="0" w:space="0" w:color="auto"/>
        <w:left w:val="none" w:sz="0" w:space="0" w:color="auto"/>
        <w:bottom w:val="none" w:sz="0" w:space="0" w:color="auto"/>
        <w:right w:val="none" w:sz="0" w:space="0" w:color="auto"/>
      </w:divBdr>
    </w:div>
    <w:div w:id="796071076">
      <w:bodyDiv w:val="1"/>
      <w:marLeft w:val="0"/>
      <w:marRight w:val="0"/>
      <w:marTop w:val="0"/>
      <w:marBottom w:val="0"/>
      <w:divBdr>
        <w:top w:val="none" w:sz="0" w:space="0" w:color="auto"/>
        <w:left w:val="none" w:sz="0" w:space="0" w:color="auto"/>
        <w:bottom w:val="none" w:sz="0" w:space="0" w:color="auto"/>
        <w:right w:val="none" w:sz="0" w:space="0" w:color="auto"/>
      </w:divBdr>
    </w:div>
    <w:div w:id="804784893">
      <w:bodyDiv w:val="1"/>
      <w:marLeft w:val="0"/>
      <w:marRight w:val="0"/>
      <w:marTop w:val="0"/>
      <w:marBottom w:val="0"/>
      <w:divBdr>
        <w:top w:val="none" w:sz="0" w:space="0" w:color="auto"/>
        <w:left w:val="none" w:sz="0" w:space="0" w:color="auto"/>
        <w:bottom w:val="none" w:sz="0" w:space="0" w:color="auto"/>
        <w:right w:val="none" w:sz="0" w:space="0" w:color="auto"/>
      </w:divBdr>
    </w:div>
    <w:div w:id="813253907">
      <w:bodyDiv w:val="1"/>
      <w:marLeft w:val="0"/>
      <w:marRight w:val="0"/>
      <w:marTop w:val="0"/>
      <w:marBottom w:val="0"/>
      <w:divBdr>
        <w:top w:val="none" w:sz="0" w:space="0" w:color="auto"/>
        <w:left w:val="none" w:sz="0" w:space="0" w:color="auto"/>
        <w:bottom w:val="none" w:sz="0" w:space="0" w:color="auto"/>
        <w:right w:val="none" w:sz="0" w:space="0" w:color="auto"/>
      </w:divBdr>
    </w:div>
    <w:div w:id="832911638">
      <w:bodyDiv w:val="1"/>
      <w:marLeft w:val="0"/>
      <w:marRight w:val="0"/>
      <w:marTop w:val="0"/>
      <w:marBottom w:val="0"/>
      <w:divBdr>
        <w:top w:val="none" w:sz="0" w:space="0" w:color="auto"/>
        <w:left w:val="none" w:sz="0" w:space="0" w:color="auto"/>
        <w:bottom w:val="none" w:sz="0" w:space="0" w:color="auto"/>
        <w:right w:val="none" w:sz="0" w:space="0" w:color="auto"/>
      </w:divBdr>
    </w:div>
    <w:div w:id="836651763">
      <w:bodyDiv w:val="1"/>
      <w:marLeft w:val="0"/>
      <w:marRight w:val="0"/>
      <w:marTop w:val="0"/>
      <w:marBottom w:val="0"/>
      <w:divBdr>
        <w:top w:val="none" w:sz="0" w:space="0" w:color="auto"/>
        <w:left w:val="none" w:sz="0" w:space="0" w:color="auto"/>
        <w:bottom w:val="none" w:sz="0" w:space="0" w:color="auto"/>
        <w:right w:val="none" w:sz="0" w:space="0" w:color="auto"/>
      </w:divBdr>
    </w:div>
    <w:div w:id="837236797">
      <w:bodyDiv w:val="1"/>
      <w:marLeft w:val="0"/>
      <w:marRight w:val="0"/>
      <w:marTop w:val="0"/>
      <w:marBottom w:val="0"/>
      <w:divBdr>
        <w:top w:val="none" w:sz="0" w:space="0" w:color="auto"/>
        <w:left w:val="none" w:sz="0" w:space="0" w:color="auto"/>
        <w:bottom w:val="none" w:sz="0" w:space="0" w:color="auto"/>
        <w:right w:val="none" w:sz="0" w:space="0" w:color="auto"/>
      </w:divBdr>
    </w:div>
    <w:div w:id="848371791">
      <w:bodyDiv w:val="1"/>
      <w:marLeft w:val="0"/>
      <w:marRight w:val="0"/>
      <w:marTop w:val="0"/>
      <w:marBottom w:val="0"/>
      <w:divBdr>
        <w:top w:val="none" w:sz="0" w:space="0" w:color="auto"/>
        <w:left w:val="none" w:sz="0" w:space="0" w:color="auto"/>
        <w:bottom w:val="none" w:sz="0" w:space="0" w:color="auto"/>
        <w:right w:val="none" w:sz="0" w:space="0" w:color="auto"/>
      </w:divBdr>
    </w:div>
    <w:div w:id="850610042">
      <w:bodyDiv w:val="1"/>
      <w:marLeft w:val="0"/>
      <w:marRight w:val="0"/>
      <w:marTop w:val="0"/>
      <w:marBottom w:val="0"/>
      <w:divBdr>
        <w:top w:val="none" w:sz="0" w:space="0" w:color="auto"/>
        <w:left w:val="none" w:sz="0" w:space="0" w:color="auto"/>
        <w:bottom w:val="none" w:sz="0" w:space="0" w:color="auto"/>
        <w:right w:val="none" w:sz="0" w:space="0" w:color="auto"/>
      </w:divBdr>
    </w:div>
    <w:div w:id="853764341">
      <w:bodyDiv w:val="1"/>
      <w:marLeft w:val="0"/>
      <w:marRight w:val="0"/>
      <w:marTop w:val="0"/>
      <w:marBottom w:val="0"/>
      <w:divBdr>
        <w:top w:val="none" w:sz="0" w:space="0" w:color="auto"/>
        <w:left w:val="none" w:sz="0" w:space="0" w:color="auto"/>
        <w:bottom w:val="none" w:sz="0" w:space="0" w:color="auto"/>
        <w:right w:val="none" w:sz="0" w:space="0" w:color="auto"/>
      </w:divBdr>
    </w:div>
    <w:div w:id="858853747">
      <w:bodyDiv w:val="1"/>
      <w:marLeft w:val="0"/>
      <w:marRight w:val="0"/>
      <w:marTop w:val="0"/>
      <w:marBottom w:val="0"/>
      <w:divBdr>
        <w:top w:val="none" w:sz="0" w:space="0" w:color="auto"/>
        <w:left w:val="none" w:sz="0" w:space="0" w:color="auto"/>
        <w:bottom w:val="none" w:sz="0" w:space="0" w:color="auto"/>
        <w:right w:val="none" w:sz="0" w:space="0" w:color="auto"/>
      </w:divBdr>
    </w:div>
    <w:div w:id="864095520">
      <w:bodyDiv w:val="1"/>
      <w:marLeft w:val="0"/>
      <w:marRight w:val="0"/>
      <w:marTop w:val="0"/>
      <w:marBottom w:val="0"/>
      <w:divBdr>
        <w:top w:val="none" w:sz="0" w:space="0" w:color="auto"/>
        <w:left w:val="none" w:sz="0" w:space="0" w:color="auto"/>
        <w:bottom w:val="none" w:sz="0" w:space="0" w:color="auto"/>
        <w:right w:val="none" w:sz="0" w:space="0" w:color="auto"/>
      </w:divBdr>
    </w:div>
    <w:div w:id="866988027">
      <w:bodyDiv w:val="1"/>
      <w:marLeft w:val="0"/>
      <w:marRight w:val="0"/>
      <w:marTop w:val="0"/>
      <w:marBottom w:val="0"/>
      <w:divBdr>
        <w:top w:val="none" w:sz="0" w:space="0" w:color="auto"/>
        <w:left w:val="none" w:sz="0" w:space="0" w:color="auto"/>
        <w:bottom w:val="none" w:sz="0" w:space="0" w:color="auto"/>
        <w:right w:val="none" w:sz="0" w:space="0" w:color="auto"/>
      </w:divBdr>
    </w:div>
    <w:div w:id="870453731">
      <w:bodyDiv w:val="1"/>
      <w:marLeft w:val="0"/>
      <w:marRight w:val="0"/>
      <w:marTop w:val="0"/>
      <w:marBottom w:val="0"/>
      <w:divBdr>
        <w:top w:val="none" w:sz="0" w:space="0" w:color="auto"/>
        <w:left w:val="none" w:sz="0" w:space="0" w:color="auto"/>
        <w:bottom w:val="none" w:sz="0" w:space="0" w:color="auto"/>
        <w:right w:val="none" w:sz="0" w:space="0" w:color="auto"/>
      </w:divBdr>
    </w:div>
    <w:div w:id="878593199">
      <w:bodyDiv w:val="1"/>
      <w:marLeft w:val="0"/>
      <w:marRight w:val="0"/>
      <w:marTop w:val="0"/>
      <w:marBottom w:val="0"/>
      <w:divBdr>
        <w:top w:val="none" w:sz="0" w:space="0" w:color="auto"/>
        <w:left w:val="none" w:sz="0" w:space="0" w:color="auto"/>
        <w:bottom w:val="none" w:sz="0" w:space="0" w:color="auto"/>
        <w:right w:val="none" w:sz="0" w:space="0" w:color="auto"/>
      </w:divBdr>
    </w:div>
    <w:div w:id="883981764">
      <w:bodyDiv w:val="1"/>
      <w:marLeft w:val="0"/>
      <w:marRight w:val="0"/>
      <w:marTop w:val="0"/>
      <w:marBottom w:val="0"/>
      <w:divBdr>
        <w:top w:val="none" w:sz="0" w:space="0" w:color="auto"/>
        <w:left w:val="none" w:sz="0" w:space="0" w:color="auto"/>
        <w:bottom w:val="none" w:sz="0" w:space="0" w:color="auto"/>
        <w:right w:val="none" w:sz="0" w:space="0" w:color="auto"/>
      </w:divBdr>
    </w:div>
    <w:div w:id="905604281">
      <w:bodyDiv w:val="1"/>
      <w:marLeft w:val="0"/>
      <w:marRight w:val="0"/>
      <w:marTop w:val="0"/>
      <w:marBottom w:val="0"/>
      <w:divBdr>
        <w:top w:val="none" w:sz="0" w:space="0" w:color="auto"/>
        <w:left w:val="none" w:sz="0" w:space="0" w:color="auto"/>
        <w:bottom w:val="none" w:sz="0" w:space="0" w:color="auto"/>
        <w:right w:val="none" w:sz="0" w:space="0" w:color="auto"/>
      </w:divBdr>
    </w:div>
    <w:div w:id="908880714">
      <w:bodyDiv w:val="1"/>
      <w:marLeft w:val="0"/>
      <w:marRight w:val="0"/>
      <w:marTop w:val="0"/>
      <w:marBottom w:val="0"/>
      <w:divBdr>
        <w:top w:val="none" w:sz="0" w:space="0" w:color="auto"/>
        <w:left w:val="none" w:sz="0" w:space="0" w:color="auto"/>
        <w:bottom w:val="none" w:sz="0" w:space="0" w:color="auto"/>
        <w:right w:val="none" w:sz="0" w:space="0" w:color="auto"/>
      </w:divBdr>
    </w:div>
    <w:div w:id="914165612">
      <w:bodyDiv w:val="1"/>
      <w:marLeft w:val="0"/>
      <w:marRight w:val="0"/>
      <w:marTop w:val="0"/>
      <w:marBottom w:val="0"/>
      <w:divBdr>
        <w:top w:val="none" w:sz="0" w:space="0" w:color="auto"/>
        <w:left w:val="none" w:sz="0" w:space="0" w:color="auto"/>
        <w:bottom w:val="none" w:sz="0" w:space="0" w:color="auto"/>
        <w:right w:val="none" w:sz="0" w:space="0" w:color="auto"/>
      </w:divBdr>
    </w:div>
    <w:div w:id="918556576">
      <w:bodyDiv w:val="1"/>
      <w:marLeft w:val="0"/>
      <w:marRight w:val="0"/>
      <w:marTop w:val="0"/>
      <w:marBottom w:val="0"/>
      <w:divBdr>
        <w:top w:val="none" w:sz="0" w:space="0" w:color="auto"/>
        <w:left w:val="none" w:sz="0" w:space="0" w:color="auto"/>
        <w:bottom w:val="none" w:sz="0" w:space="0" w:color="auto"/>
        <w:right w:val="none" w:sz="0" w:space="0" w:color="auto"/>
      </w:divBdr>
    </w:div>
    <w:div w:id="925266646">
      <w:bodyDiv w:val="1"/>
      <w:marLeft w:val="0"/>
      <w:marRight w:val="0"/>
      <w:marTop w:val="0"/>
      <w:marBottom w:val="0"/>
      <w:divBdr>
        <w:top w:val="none" w:sz="0" w:space="0" w:color="auto"/>
        <w:left w:val="none" w:sz="0" w:space="0" w:color="auto"/>
        <w:bottom w:val="none" w:sz="0" w:space="0" w:color="auto"/>
        <w:right w:val="none" w:sz="0" w:space="0" w:color="auto"/>
      </w:divBdr>
    </w:div>
    <w:div w:id="926957708">
      <w:bodyDiv w:val="1"/>
      <w:marLeft w:val="0"/>
      <w:marRight w:val="0"/>
      <w:marTop w:val="0"/>
      <w:marBottom w:val="0"/>
      <w:divBdr>
        <w:top w:val="none" w:sz="0" w:space="0" w:color="auto"/>
        <w:left w:val="none" w:sz="0" w:space="0" w:color="auto"/>
        <w:bottom w:val="none" w:sz="0" w:space="0" w:color="auto"/>
        <w:right w:val="none" w:sz="0" w:space="0" w:color="auto"/>
      </w:divBdr>
    </w:div>
    <w:div w:id="928269828">
      <w:bodyDiv w:val="1"/>
      <w:marLeft w:val="0"/>
      <w:marRight w:val="0"/>
      <w:marTop w:val="0"/>
      <w:marBottom w:val="0"/>
      <w:divBdr>
        <w:top w:val="none" w:sz="0" w:space="0" w:color="auto"/>
        <w:left w:val="none" w:sz="0" w:space="0" w:color="auto"/>
        <w:bottom w:val="none" w:sz="0" w:space="0" w:color="auto"/>
        <w:right w:val="none" w:sz="0" w:space="0" w:color="auto"/>
      </w:divBdr>
    </w:div>
    <w:div w:id="932275158">
      <w:bodyDiv w:val="1"/>
      <w:marLeft w:val="0"/>
      <w:marRight w:val="0"/>
      <w:marTop w:val="0"/>
      <w:marBottom w:val="0"/>
      <w:divBdr>
        <w:top w:val="none" w:sz="0" w:space="0" w:color="auto"/>
        <w:left w:val="none" w:sz="0" w:space="0" w:color="auto"/>
        <w:bottom w:val="none" w:sz="0" w:space="0" w:color="auto"/>
        <w:right w:val="none" w:sz="0" w:space="0" w:color="auto"/>
      </w:divBdr>
    </w:div>
    <w:div w:id="936450544">
      <w:bodyDiv w:val="1"/>
      <w:marLeft w:val="0"/>
      <w:marRight w:val="0"/>
      <w:marTop w:val="0"/>
      <w:marBottom w:val="0"/>
      <w:divBdr>
        <w:top w:val="none" w:sz="0" w:space="0" w:color="auto"/>
        <w:left w:val="none" w:sz="0" w:space="0" w:color="auto"/>
        <w:bottom w:val="none" w:sz="0" w:space="0" w:color="auto"/>
        <w:right w:val="none" w:sz="0" w:space="0" w:color="auto"/>
      </w:divBdr>
    </w:div>
    <w:div w:id="951471138">
      <w:bodyDiv w:val="1"/>
      <w:marLeft w:val="0"/>
      <w:marRight w:val="0"/>
      <w:marTop w:val="0"/>
      <w:marBottom w:val="0"/>
      <w:divBdr>
        <w:top w:val="none" w:sz="0" w:space="0" w:color="auto"/>
        <w:left w:val="none" w:sz="0" w:space="0" w:color="auto"/>
        <w:bottom w:val="none" w:sz="0" w:space="0" w:color="auto"/>
        <w:right w:val="none" w:sz="0" w:space="0" w:color="auto"/>
      </w:divBdr>
    </w:div>
    <w:div w:id="973676279">
      <w:bodyDiv w:val="1"/>
      <w:marLeft w:val="0"/>
      <w:marRight w:val="0"/>
      <w:marTop w:val="0"/>
      <w:marBottom w:val="0"/>
      <w:divBdr>
        <w:top w:val="none" w:sz="0" w:space="0" w:color="auto"/>
        <w:left w:val="none" w:sz="0" w:space="0" w:color="auto"/>
        <w:bottom w:val="none" w:sz="0" w:space="0" w:color="auto"/>
        <w:right w:val="none" w:sz="0" w:space="0" w:color="auto"/>
      </w:divBdr>
    </w:div>
    <w:div w:id="977687391">
      <w:bodyDiv w:val="1"/>
      <w:marLeft w:val="0"/>
      <w:marRight w:val="0"/>
      <w:marTop w:val="0"/>
      <w:marBottom w:val="0"/>
      <w:divBdr>
        <w:top w:val="none" w:sz="0" w:space="0" w:color="auto"/>
        <w:left w:val="none" w:sz="0" w:space="0" w:color="auto"/>
        <w:bottom w:val="none" w:sz="0" w:space="0" w:color="auto"/>
        <w:right w:val="none" w:sz="0" w:space="0" w:color="auto"/>
      </w:divBdr>
    </w:div>
    <w:div w:id="981497685">
      <w:bodyDiv w:val="1"/>
      <w:marLeft w:val="0"/>
      <w:marRight w:val="0"/>
      <w:marTop w:val="0"/>
      <w:marBottom w:val="0"/>
      <w:divBdr>
        <w:top w:val="none" w:sz="0" w:space="0" w:color="auto"/>
        <w:left w:val="none" w:sz="0" w:space="0" w:color="auto"/>
        <w:bottom w:val="none" w:sz="0" w:space="0" w:color="auto"/>
        <w:right w:val="none" w:sz="0" w:space="0" w:color="auto"/>
      </w:divBdr>
    </w:div>
    <w:div w:id="986470281">
      <w:bodyDiv w:val="1"/>
      <w:marLeft w:val="0"/>
      <w:marRight w:val="0"/>
      <w:marTop w:val="0"/>
      <w:marBottom w:val="0"/>
      <w:divBdr>
        <w:top w:val="none" w:sz="0" w:space="0" w:color="auto"/>
        <w:left w:val="none" w:sz="0" w:space="0" w:color="auto"/>
        <w:bottom w:val="none" w:sz="0" w:space="0" w:color="auto"/>
        <w:right w:val="none" w:sz="0" w:space="0" w:color="auto"/>
      </w:divBdr>
    </w:div>
    <w:div w:id="1003119003">
      <w:bodyDiv w:val="1"/>
      <w:marLeft w:val="0"/>
      <w:marRight w:val="0"/>
      <w:marTop w:val="0"/>
      <w:marBottom w:val="0"/>
      <w:divBdr>
        <w:top w:val="none" w:sz="0" w:space="0" w:color="auto"/>
        <w:left w:val="none" w:sz="0" w:space="0" w:color="auto"/>
        <w:bottom w:val="none" w:sz="0" w:space="0" w:color="auto"/>
        <w:right w:val="none" w:sz="0" w:space="0" w:color="auto"/>
      </w:divBdr>
    </w:div>
    <w:div w:id="1004551715">
      <w:bodyDiv w:val="1"/>
      <w:marLeft w:val="0"/>
      <w:marRight w:val="0"/>
      <w:marTop w:val="0"/>
      <w:marBottom w:val="0"/>
      <w:divBdr>
        <w:top w:val="none" w:sz="0" w:space="0" w:color="auto"/>
        <w:left w:val="none" w:sz="0" w:space="0" w:color="auto"/>
        <w:bottom w:val="none" w:sz="0" w:space="0" w:color="auto"/>
        <w:right w:val="none" w:sz="0" w:space="0" w:color="auto"/>
      </w:divBdr>
    </w:div>
    <w:div w:id="1004670599">
      <w:bodyDiv w:val="1"/>
      <w:marLeft w:val="0"/>
      <w:marRight w:val="0"/>
      <w:marTop w:val="0"/>
      <w:marBottom w:val="0"/>
      <w:divBdr>
        <w:top w:val="none" w:sz="0" w:space="0" w:color="auto"/>
        <w:left w:val="none" w:sz="0" w:space="0" w:color="auto"/>
        <w:bottom w:val="none" w:sz="0" w:space="0" w:color="auto"/>
        <w:right w:val="none" w:sz="0" w:space="0" w:color="auto"/>
      </w:divBdr>
    </w:div>
    <w:div w:id="1007095399">
      <w:bodyDiv w:val="1"/>
      <w:marLeft w:val="0"/>
      <w:marRight w:val="0"/>
      <w:marTop w:val="0"/>
      <w:marBottom w:val="0"/>
      <w:divBdr>
        <w:top w:val="none" w:sz="0" w:space="0" w:color="auto"/>
        <w:left w:val="none" w:sz="0" w:space="0" w:color="auto"/>
        <w:bottom w:val="none" w:sz="0" w:space="0" w:color="auto"/>
        <w:right w:val="none" w:sz="0" w:space="0" w:color="auto"/>
      </w:divBdr>
    </w:div>
    <w:div w:id="1019814138">
      <w:bodyDiv w:val="1"/>
      <w:marLeft w:val="0"/>
      <w:marRight w:val="0"/>
      <w:marTop w:val="0"/>
      <w:marBottom w:val="0"/>
      <w:divBdr>
        <w:top w:val="none" w:sz="0" w:space="0" w:color="auto"/>
        <w:left w:val="none" w:sz="0" w:space="0" w:color="auto"/>
        <w:bottom w:val="none" w:sz="0" w:space="0" w:color="auto"/>
        <w:right w:val="none" w:sz="0" w:space="0" w:color="auto"/>
      </w:divBdr>
    </w:div>
    <w:div w:id="1022973419">
      <w:bodyDiv w:val="1"/>
      <w:marLeft w:val="0"/>
      <w:marRight w:val="0"/>
      <w:marTop w:val="0"/>
      <w:marBottom w:val="0"/>
      <w:divBdr>
        <w:top w:val="none" w:sz="0" w:space="0" w:color="auto"/>
        <w:left w:val="none" w:sz="0" w:space="0" w:color="auto"/>
        <w:bottom w:val="none" w:sz="0" w:space="0" w:color="auto"/>
        <w:right w:val="none" w:sz="0" w:space="0" w:color="auto"/>
      </w:divBdr>
    </w:div>
    <w:div w:id="1032922385">
      <w:bodyDiv w:val="1"/>
      <w:marLeft w:val="0"/>
      <w:marRight w:val="0"/>
      <w:marTop w:val="0"/>
      <w:marBottom w:val="0"/>
      <w:divBdr>
        <w:top w:val="none" w:sz="0" w:space="0" w:color="auto"/>
        <w:left w:val="none" w:sz="0" w:space="0" w:color="auto"/>
        <w:bottom w:val="none" w:sz="0" w:space="0" w:color="auto"/>
        <w:right w:val="none" w:sz="0" w:space="0" w:color="auto"/>
      </w:divBdr>
    </w:div>
    <w:div w:id="1044255710">
      <w:bodyDiv w:val="1"/>
      <w:marLeft w:val="0"/>
      <w:marRight w:val="0"/>
      <w:marTop w:val="0"/>
      <w:marBottom w:val="0"/>
      <w:divBdr>
        <w:top w:val="none" w:sz="0" w:space="0" w:color="auto"/>
        <w:left w:val="none" w:sz="0" w:space="0" w:color="auto"/>
        <w:bottom w:val="none" w:sz="0" w:space="0" w:color="auto"/>
        <w:right w:val="none" w:sz="0" w:space="0" w:color="auto"/>
      </w:divBdr>
    </w:div>
    <w:div w:id="1048188847">
      <w:bodyDiv w:val="1"/>
      <w:marLeft w:val="0"/>
      <w:marRight w:val="0"/>
      <w:marTop w:val="0"/>
      <w:marBottom w:val="0"/>
      <w:divBdr>
        <w:top w:val="none" w:sz="0" w:space="0" w:color="auto"/>
        <w:left w:val="none" w:sz="0" w:space="0" w:color="auto"/>
        <w:bottom w:val="none" w:sz="0" w:space="0" w:color="auto"/>
        <w:right w:val="none" w:sz="0" w:space="0" w:color="auto"/>
      </w:divBdr>
    </w:div>
    <w:div w:id="1054894862">
      <w:bodyDiv w:val="1"/>
      <w:marLeft w:val="0"/>
      <w:marRight w:val="0"/>
      <w:marTop w:val="0"/>
      <w:marBottom w:val="0"/>
      <w:divBdr>
        <w:top w:val="none" w:sz="0" w:space="0" w:color="auto"/>
        <w:left w:val="none" w:sz="0" w:space="0" w:color="auto"/>
        <w:bottom w:val="none" w:sz="0" w:space="0" w:color="auto"/>
        <w:right w:val="none" w:sz="0" w:space="0" w:color="auto"/>
      </w:divBdr>
    </w:div>
    <w:div w:id="1072047431">
      <w:bodyDiv w:val="1"/>
      <w:marLeft w:val="0"/>
      <w:marRight w:val="0"/>
      <w:marTop w:val="0"/>
      <w:marBottom w:val="0"/>
      <w:divBdr>
        <w:top w:val="none" w:sz="0" w:space="0" w:color="auto"/>
        <w:left w:val="none" w:sz="0" w:space="0" w:color="auto"/>
        <w:bottom w:val="none" w:sz="0" w:space="0" w:color="auto"/>
        <w:right w:val="none" w:sz="0" w:space="0" w:color="auto"/>
      </w:divBdr>
    </w:div>
    <w:div w:id="1082217063">
      <w:bodyDiv w:val="1"/>
      <w:marLeft w:val="0"/>
      <w:marRight w:val="0"/>
      <w:marTop w:val="0"/>
      <w:marBottom w:val="0"/>
      <w:divBdr>
        <w:top w:val="none" w:sz="0" w:space="0" w:color="auto"/>
        <w:left w:val="none" w:sz="0" w:space="0" w:color="auto"/>
        <w:bottom w:val="none" w:sz="0" w:space="0" w:color="auto"/>
        <w:right w:val="none" w:sz="0" w:space="0" w:color="auto"/>
      </w:divBdr>
    </w:div>
    <w:div w:id="1086535417">
      <w:bodyDiv w:val="1"/>
      <w:marLeft w:val="0"/>
      <w:marRight w:val="0"/>
      <w:marTop w:val="0"/>
      <w:marBottom w:val="0"/>
      <w:divBdr>
        <w:top w:val="none" w:sz="0" w:space="0" w:color="auto"/>
        <w:left w:val="none" w:sz="0" w:space="0" w:color="auto"/>
        <w:bottom w:val="none" w:sz="0" w:space="0" w:color="auto"/>
        <w:right w:val="none" w:sz="0" w:space="0" w:color="auto"/>
      </w:divBdr>
    </w:div>
    <w:div w:id="1092899652">
      <w:bodyDiv w:val="1"/>
      <w:marLeft w:val="0"/>
      <w:marRight w:val="0"/>
      <w:marTop w:val="0"/>
      <w:marBottom w:val="0"/>
      <w:divBdr>
        <w:top w:val="none" w:sz="0" w:space="0" w:color="auto"/>
        <w:left w:val="none" w:sz="0" w:space="0" w:color="auto"/>
        <w:bottom w:val="none" w:sz="0" w:space="0" w:color="auto"/>
        <w:right w:val="none" w:sz="0" w:space="0" w:color="auto"/>
      </w:divBdr>
    </w:div>
    <w:div w:id="1133013866">
      <w:bodyDiv w:val="1"/>
      <w:marLeft w:val="0"/>
      <w:marRight w:val="0"/>
      <w:marTop w:val="0"/>
      <w:marBottom w:val="0"/>
      <w:divBdr>
        <w:top w:val="none" w:sz="0" w:space="0" w:color="auto"/>
        <w:left w:val="none" w:sz="0" w:space="0" w:color="auto"/>
        <w:bottom w:val="none" w:sz="0" w:space="0" w:color="auto"/>
        <w:right w:val="none" w:sz="0" w:space="0" w:color="auto"/>
      </w:divBdr>
    </w:div>
    <w:div w:id="1145195642">
      <w:bodyDiv w:val="1"/>
      <w:marLeft w:val="0"/>
      <w:marRight w:val="0"/>
      <w:marTop w:val="0"/>
      <w:marBottom w:val="0"/>
      <w:divBdr>
        <w:top w:val="none" w:sz="0" w:space="0" w:color="auto"/>
        <w:left w:val="none" w:sz="0" w:space="0" w:color="auto"/>
        <w:bottom w:val="none" w:sz="0" w:space="0" w:color="auto"/>
        <w:right w:val="none" w:sz="0" w:space="0" w:color="auto"/>
      </w:divBdr>
    </w:div>
    <w:div w:id="1148548585">
      <w:bodyDiv w:val="1"/>
      <w:marLeft w:val="0"/>
      <w:marRight w:val="0"/>
      <w:marTop w:val="0"/>
      <w:marBottom w:val="0"/>
      <w:divBdr>
        <w:top w:val="none" w:sz="0" w:space="0" w:color="auto"/>
        <w:left w:val="none" w:sz="0" w:space="0" w:color="auto"/>
        <w:bottom w:val="none" w:sz="0" w:space="0" w:color="auto"/>
        <w:right w:val="none" w:sz="0" w:space="0" w:color="auto"/>
      </w:divBdr>
    </w:div>
    <w:div w:id="1153913168">
      <w:bodyDiv w:val="1"/>
      <w:marLeft w:val="0"/>
      <w:marRight w:val="0"/>
      <w:marTop w:val="0"/>
      <w:marBottom w:val="0"/>
      <w:divBdr>
        <w:top w:val="none" w:sz="0" w:space="0" w:color="auto"/>
        <w:left w:val="none" w:sz="0" w:space="0" w:color="auto"/>
        <w:bottom w:val="none" w:sz="0" w:space="0" w:color="auto"/>
        <w:right w:val="none" w:sz="0" w:space="0" w:color="auto"/>
      </w:divBdr>
    </w:div>
    <w:div w:id="1163356333">
      <w:bodyDiv w:val="1"/>
      <w:marLeft w:val="0"/>
      <w:marRight w:val="0"/>
      <w:marTop w:val="0"/>
      <w:marBottom w:val="0"/>
      <w:divBdr>
        <w:top w:val="none" w:sz="0" w:space="0" w:color="auto"/>
        <w:left w:val="none" w:sz="0" w:space="0" w:color="auto"/>
        <w:bottom w:val="none" w:sz="0" w:space="0" w:color="auto"/>
        <w:right w:val="none" w:sz="0" w:space="0" w:color="auto"/>
      </w:divBdr>
    </w:div>
    <w:div w:id="1182552179">
      <w:bodyDiv w:val="1"/>
      <w:marLeft w:val="0"/>
      <w:marRight w:val="0"/>
      <w:marTop w:val="0"/>
      <w:marBottom w:val="0"/>
      <w:divBdr>
        <w:top w:val="none" w:sz="0" w:space="0" w:color="auto"/>
        <w:left w:val="none" w:sz="0" w:space="0" w:color="auto"/>
        <w:bottom w:val="none" w:sz="0" w:space="0" w:color="auto"/>
        <w:right w:val="none" w:sz="0" w:space="0" w:color="auto"/>
      </w:divBdr>
    </w:div>
    <w:div w:id="1189372582">
      <w:bodyDiv w:val="1"/>
      <w:marLeft w:val="0"/>
      <w:marRight w:val="0"/>
      <w:marTop w:val="0"/>
      <w:marBottom w:val="0"/>
      <w:divBdr>
        <w:top w:val="none" w:sz="0" w:space="0" w:color="auto"/>
        <w:left w:val="none" w:sz="0" w:space="0" w:color="auto"/>
        <w:bottom w:val="none" w:sz="0" w:space="0" w:color="auto"/>
        <w:right w:val="none" w:sz="0" w:space="0" w:color="auto"/>
      </w:divBdr>
    </w:div>
    <w:div w:id="1237015201">
      <w:bodyDiv w:val="1"/>
      <w:marLeft w:val="0"/>
      <w:marRight w:val="0"/>
      <w:marTop w:val="0"/>
      <w:marBottom w:val="0"/>
      <w:divBdr>
        <w:top w:val="none" w:sz="0" w:space="0" w:color="auto"/>
        <w:left w:val="none" w:sz="0" w:space="0" w:color="auto"/>
        <w:bottom w:val="none" w:sz="0" w:space="0" w:color="auto"/>
        <w:right w:val="none" w:sz="0" w:space="0" w:color="auto"/>
      </w:divBdr>
    </w:div>
    <w:div w:id="1243493958">
      <w:bodyDiv w:val="1"/>
      <w:marLeft w:val="0"/>
      <w:marRight w:val="0"/>
      <w:marTop w:val="0"/>
      <w:marBottom w:val="0"/>
      <w:divBdr>
        <w:top w:val="none" w:sz="0" w:space="0" w:color="auto"/>
        <w:left w:val="none" w:sz="0" w:space="0" w:color="auto"/>
        <w:bottom w:val="none" w:sz="0" w:space="0" w:color="auto"/>
        <w:right w:val="none" w:sz="0" w:space="0" w:color="auto"/>
      </w:divBdr>
    </w:div>
    <w:div w:id="1245602670">
      <w:bodyDiv w:val="1"/>
      <w:marLeft w:val="0"/>
      <w:marRight w:val="0"/>
      <w:marTop w:val="0"/>
      <w:marBottom w:val="0"/>
      <w:divBdr>
        <w:top w:val="none" w:sz="0" w:space="0" w:color="auto"/>
        <w:left w:val="none" w:sz="0" w:space="0" w:color="auto"/>
        <w:bottom w:val="none" w:sz="0" w:space="0" w:color="auto"/>
        <w:right w:val="none" w:sz="0" w:space="0" w:color="auto"/>
      </w:divBdr>
    </w:div>
    <w:div w:id="1248421130">
      <w:bodyDiv w:val="1"/>
      <w:marLeft w:val="0"/>
      <w:marRight w:val="0"/>
      <w:marTop w:val="0"/>
      <w:marBottom w:val="0"/>
      <w:divBdr>
        <w:top w:val="none" w:sz="0" w:space="0" w:color="auto"/>
        <w:left w:val="none" w:sz="0" w:space="0" w:color="auto"/>
        <w:bottom w:val="none" w:sz="0" w:space="0" w:color="auto"/>
        <w:right w:val="none" w:sz="0" w:space="0" w:color="auto"/>
      </w:divBdr>
    </w:div>
    <w:div w:id="1248617122">
      <w:bodyDiv w:val="1"/>
      <w:marLeft w:val="0"/>
      <w:marRight w:val="0"/>
      <w:marTop w:val="0"/>
      <w:marBottom w:val="0"/>
      <w:divBdr>
        <w:top w:val="none" w:sz="0" w:space="0" w:color="auto"/>
        <w:left w:val="none" w:sz="0" w:space="0" w:color="auto"/>
        <w:bottom w:val="none" w:sz="0" w:space="0" w:color="auto"/>
        <w:right w:val="none" w:sz="0" w:space="0" w:color="auto"/>
      </w:divBdr>
    </w:div>
    <w:div w:id="1256018710">
      <w:bodyDiv w:val="1"/>
      <w:marLeft w:val="0"/>
      <w:marRight w:val="0"/>
      <w:marTop w:val="0"/>
      <w:marBottom w:val="0"/>
      <w:divBdr>
        <w:top w:val="none" w:sz="0" w:space="0" w:color="auto"/>
        <w:left w:val="none" w:sz="0" w:space="0" w:color="auto"/>
        <w:bottom w:val="none" w:sz="0" w:space="0" w:color="auto"/>
        <w:right w:val="none" w:sz="0" w:space="0" w:color="auto"/>
      </w:divBdr>
    </w:div>
    <w:div w:id="1266422631">
      <w:bodyDiv w:val="1"/>
      <w:marLeft w:val="0"/>
      <w:marRight w:val="0"/>
      <w:marTop w:val="0"/>
      <w:marBottom w:val="0"/>
      <w:divBdr>
        <w:top w:val="none" w:sz="0" w:space="0" w:color="auto"/>
        <w:left w:val="none" w:sz="0" w:space="0" w:color="auto"/>
        <w:bottom w:val="none" w:sz="0" w:space="0" w:color="auto"/>
        <w:right w:val="none" w:sz="0" w:space="0" w:color="auto"/>
      </w:divBdr>
    </w:div>
    <w:div w:id="1272514900">
      <w:bodyDiv w:val="1"/>
      <w:marLeft w:val="0"/>
      <w:marRight w:val="0"/>
      <w:marTop w:val="0"/>
      <w:marBottom w:val="0"/>
      <w:divBdr>
        <w:top w:val="none" w:sz="0" w:space="0" w:color="auto"/>
        <w:left w:val="none" w:sz="0" w:space="0" w:color="auto"/>
        <w:bottom w:val="none" w:sz="0" w:space="0" w:color="auto"/>
        <w:right w:val="none" w:sz="0" w:space="0" w:color="auto"/>
      </w:divBdr>
    </w:div>
    <w:div w:id="1278753968">
      <w:bodyDiv w:val="1"/>
      <w:marLeft w:val="0"/>
      <w:marRight w:val="0"/>
      <w:marTop w:val="0"/>
      <w:marBottom w:val="0"/>
      <w:divBdr>
        <w:top w:val="none" w:sz="0" w:space="0" w:color="auto"/>
        <w:left w:val="none" w:sz="0" w:space="0" w:color="auto"/>
        <w:bottom w:val="none" w:sz="0" w:space="0" w:color="auto"/>
        <w:right w:val="none" w:sz="0" w:space="0" w:color="auto"/>
      </w:divBdr>
    </w:div>
    <w:div w:id="1282615888">
      <w:bodyDiv w:val="1"/>
      <w:marLeft w:val="0"/>
      <w:marRight w:val="0"/>
      <w:marTop w:val="0"/>
      <w:marBottom w:val="0"/>
      <w:divBdr>
        <w:top w:val="none" w:sz="0" w:space="0" w:color="auto"/>
        <w:left w:val="none" w:sz="0" w:space="0" w:color="auto"/>
        <w:bottom w:val="none" w:sz="0" w:space="0" w:color="auto"/>
        <w:right w:val="none" w:sz="0" w:space="0" w:color="auto"/>
      </w:divBdr>
    </w:div>
    <w:div w:id="1293170458">
      <w:bodyDiv w:val="1"/>
      <w:marLeft w:val="0"/>
      <w:marRight w:val="0"/>
      <w:marTop w:val="0"/>
      <w:marBottom w:val="0"/>
      <w:divBdr>
        <w:top w:val="none" w:sz="0" w:space="0" w:color="auto"/>
        <w:left w:val="none" w:sz="0" w:space="0" w:color="auto"/>
        <w:bottom w:val="none" w:sz="0" w:space="0" w:color="auto"/>
        <w:right w:val="none" w:sz="0" w:space="0" w:color="auto"/>
      </w:divBdr>
    </w:div>
    <w:div w:id="1304122819">
      <w:bodyDiv w:val="1"/>
      <w:marLeft w:val="0"/>
      <w:marRight w:val="0"/>
      <w:marTop w:val="0"/>
      <w:marBottom w:val="0"/>
      <w:divBdr>
        <w:top w:val="none" w:sz="0" w:space="0" w:color="auto"/>
        <w:left w:val="none" w:sz="0" w:space="0" w:color="auto"/>
        <w:bottom w:val="none" w:sz="0" w:space="0" w:color="auto"/>
        <w:right w:val="none" w:sz="0" w:space="0" w:color="auto"/>
      </w:divBdr>
    </w:div>
    <w:div w:id="1306543040">
      <w:bodyDiv w:val="1"/>
      <w:marLeft w:val="0"/>
      <w:marRight w:val="0"/>
      <w:marTop w:val="0"/>
      <w:marBottom w:val="0"/>
      <w:divBdr>
        <w:top w:val="none" w:sz="0" w:space="0" w:color="auto"/>
        <w:left w:val="none" w:sz="0" w:space="0" w:color="auto"/>
        <w:bottom w:val="none" w:sz="0" w:space="0" w:color="auto"/>
        <w:right w:val="none" w:sz="0" w:space="0" w:color="auto"/>
      </w:divBdr>
    </w:div>
    <w:div w:id="1314797711">
      <w:bodyDiv w:val="1"/>
      <w:marLeft w:val="0"/>
      <w:marRight w:val="0"/>
      <w:marTop w:val="0"/>
      <w:marBottom w:val="0"/>
      <w:divBdr>
        <w:top w:val="none" w:sz="0" w:space="0" w:color="auto"/>
        <w:left w:val="none" w:sz="0" w:space="0" w:color="auto"/>
        <w:bottom w:val="none" w:sz="0" w:space="0" w:color="auto"/>
        <w:right w:val="none" w:sz="0" w:space="0" w:color="auto"/>
      </w:divBdr>
    </w:div>
    <w:div w:id="1327245371">
      <w:bodyDiv w:val="1"/>
      <w:marLeft w:val="0"/>
      <w:marRight w:val="0"/>
      <w:marTop w:val="0"/>
      <w:marBottom w:val="0"/>
      <w:divBdr>
        <w:top w:val="none" w:sz="0" w:space="0" w:color="auto"/>
        <w:left w:val="none" w:sz="0" w:space="0" w:color="auto"/>
        <w:bottom w:val="none" w:sz="0" w:space="0" w:color="auto"/>
        <w:right w:val="none" w:sz="0" w:space="0" w:color="auto"/>
      </w:divBdr>
    </w:div>
    <w:div w:id="1331368286">
      <w:bodyDiv w:val="1"/>
      <w:marLeft w:val="0"/>
      <w:marRight w:val="0"/>
      <w:marTop w:val="0"/>
      <w:marBottom w:val="0"/>
      <w:divBdr>
        <w:top w:val="none" w:sz="0" w:space="0" w:color="auto"/>
        <w:left w:val="none" w:sz="0" w:space="0" w:color="auto"/>
        <w:bottom w:val="none" w:sz="0" w:space="0" w:color="auto"/>
        <w:right w:val="none" w:sz="0" w:space="0" w:color="auto"/>
      </w:divBdr>
    </w:div>
    <w:div w:id="1344630158">
      <w:bodyDiv w:val="1"/>
      <w:marLeft w:val="0"/>
      <w:marRight w:val="0"/>
      <w:marTop w:val="0"/>
      <w:marBottom w:val="0"/>
      <w:divBdr>
        <w:top w:val="none" w:sz="0" w:space="0" w:color="auto"/>
        <w:left w:val="none" w:sz="0" w:space="0" w:color="auto"/>
        <w:bottom w:val="none" w:sz="0" w:space="0" w:color="auto"/>
        <w:right w:val="none" w:sz="0" w:space="0" w:color="auto"/>
      </w:divBdr>
    </w:div>
    <w:div w:id="1357121129">
      <w:bodyDiv w:val="1"/>
      <w:marLeft w:val="0"/>
      <w:marRight w:val="0"/>
      <w:marTop w:val="0"/>
      <w:marBottom w:val="0"/>
      <w:divBdr>
        <w:top w:val="none" w:sz="0" w:space="0" w:color="auto"/>
        <w:left w:val="none" w:sz="0" w:space="0" w:color="auto"/>
        <w:bottom w:val="none" w:sz="0" w:space="0" w:color="auto"/>
        <w:right w:val="none" w:sz="0" w:space="0" w:color="auto"/>
      </w:divBdr>
    </w:div>
    <w:div w:id="1371955594">
      <w:bodyDiv w:val="1"/>
      <w:marLeft w:val="0"/>
      <w:marRight w:val="0"/>
      <w:marTop w:val="0"/>
      <w:marBottom w:val="0"/>
      <w:divBdr>
        <w:top w:val="none" w:sz="0" w:space="0" w:color="auto"/>
        <w:left w:val="none" w:sz="0" w:space="0" w:color="auto"/>
        <w:bottom w:val="none" w:sz="0" w:space="0" w:color="auto"/>
        <w:right w:val="none" w:sz="0" w:space="0" w:color="auto"/>
      </w:divBdr>
    </w:div>
    <w:div w:id="1373578071">
      <w:bodyDiv w:val="1"/>
      <w:marLeft w:val="0"/>
      <w:marRight w:val="0"/>
      <w:marTop w:val="0"/>
      <w:marBottom w:val="0"/>
      <w:divBdr>
        <w:top w:val="none" w:sz="0" w:space="0" w:color="auto"/>
        <w:left w:val="none" w:sz="0" w:space="0" w:color="auto"/>
        <w:bottom w:val="none" w:sz="0" w:space="0" w:color="auto"/>
        <w:right w:val="none" w:sz="0" w:space="0" w:color="auto"/>
      </w:divBdr>
    </w:div>
    <w:div w:id="1398437185">
      <w:bodyDiv w:val="1"/>
      <w:marLeft w:val="0"/>
      <w:marRight w:val="0"/>
      <w:marTop w:val="0"/>
      <w:marBottom w:val="0"/>
      <w:divBdr>
        <w:top w:val="none" w:sz="0" w:space="0" w:color="auto"/>
        <w:left w:val="none" w:sz="0" w:space="0" w:color="auto"/>
        <w:bottom w:val="none" w:sz="0" w:space="0" w:color="auto"/>
        <w:right w:val="none" w:sz="0" w:space="0" w:color="auto"/>
      </w:divBdr>
    </w:div>
    <w:div w:id="1399863318">
      <w:bodyDiv w:val="1"/>
      <w:marLeft w:val="0"/>
      <w:marRight w:val="0"/>
      <w:marTop w:val="0"/>
      <w:marBottom w:val="0"/>
      <w:divBdr>
        <w:top w:val="none" w:sz="0" w:space="0" w:color="auto"/>
        <w:left w:val="none" w:sz="0" w:space="0" w:color="auto"/>
        <w:bottom w:val="none" w:sz="0" w:space="0" w:color="auto"/>
        <w:right w:val="none" w:sz="0" w:space="0" w:color="auto"/>
      </w:divBdr>
    </w:div>
    <w:div w:id="1404839192">
      <w:bodyDiv w:val="1"/>
      <w:marLeft w:val="0"/>
      <w:marRight w:val="0"/>
      <w:marTop w:val="0"/>
      <w:marBottom w:val="0"/>
      <w:divBdr>
        <w:top w:val="none" w:sz="0" w:space="0" w:color="auto"/>
        <w:left w:val="none" w:sz="0" w:space="0" w:color="auto"/>
        <w:bottom w:val="none" w:sz="0" w:space="0" w:color="auto"/>
        <w:right w:val="none" w:sz="0" w:space="0" w:color="auto"/>
      </w:divBdr>
    </w:div>
    <w:div w:id="1405639633">
      <w:bodyDiv w:val="1"/>
      <w:marLeft w:val="0"/>
      <w:marRight w:val="0"/>
      <w:marTop w:val="0"/>
      <w:marBottom w:val="0"/>
      <w:divBdr>
        <w:top w:val="none" w:sz="0" w:space="0" w:color="auto"/>
        <w:left w:val="none" w:sz="0" w:space="0" w:color="auto"/>
        <w:bottom w:val="none" w:sz="0" w:space="0" w:color="auto"/>
        <w:right w:val="none" w:sz="0" w:space="0" w:color="auto"/>
      </w:divBdr>
    </w:div>
    <w:div w:id="1411853123">
      <w:bodyDiv w:val="1"/>
      <w:marLeft w:val="0"/>
      <w:marRight w:val="0"/>
      <w:marTop w:val="0"/>
      <w:marBottom w:val="0"/>
      <w:divBdr>
        <w:top w:val="none" w:sz="0" w:space="0" w:color="auto"/>
        <w:left w:val="none" w:sz="0" w:space="0" w:color="auto"/>
        <w:bottom w:val="none" w:sz="0" w:space="0" w:color="auto"/>
        <w:right w:val="none" w:sz="0" w:space="0" w:color="auto"/>
      </w:divBdr>
    </w:div>
    <w:div w:id="1419209384">
      <w:bodyDiv w:val="1"/>
      <w:marLeft w:val="0"/>
      <w:marRight w:val="0"/>
      <w:marTop w:val="0"/>
      <w:marBottom w:val="0"/>
      <w:divBdr>
        <w:top w:val="none" w:sz="0" w:space="0" w:color="auto"/>
        <w:left w:val="none" w:sz="0" w:space="0" w:color="auto"/>
        <w:bottom w:val="none" w:sz="0" w:space="0" w:color="auto"/>
        <w:right w:val="none" w:sz="0" w:space="0" w:color="auto"/>
      </w:divBdr>
    </w:div>
    <w:div w:id="1432579323">
      <w:bodyDiv w:val="1"/>
      <w:marLeft w:val="0"/>
      <w:marRight w:val="0"/>
      <w:marTop w:val="0"/>
      <w:marBottom w:val="0"/>
      <w:divBdr>
        <w:top w:val="none" w:sz="0" w:space="0" w:color="auto"/>
        <w:left w:val="none" w:sz="0" w:space="0" w:color="auto"/>
        <w:bottom w:val="none" w:sz="0" w:space="0" w:color="auto"/>
        <w:right w:val="none" w:sz="0" w:space="0" w:color="auto"/>
      </w:divBdr>
    </w:div>
    <w:div w:id="1443769951">
      <w:bodyDiv w:val="1"/>
      <w:marLeft w:val="0"/>
      <w:marRight w:val="0"/>
      <w:marTop w:val="0"/>
      <w:marBottom w:val="0"/>
      <w:divBdr>
        <w:top w:val="none" w:sz="0" w:space="0" w:color="auto"/>
        <w:left w:val="none" w:sz="0" w:space="0" w:color="auto"/>
        <w:bottom w:val="none" w:sz="0" w:space="0" w:color="auto"/>
        <w:right w:val="none" w:sz="0" w:space="0" w:color="auto"/>
      </w:divBdr>
    </w:div>
    <w:div w:id="1450053336">
      <w:bodyDiv w:val="1"/>
      <w:marLeft w:val="0"/>
      <w:marRight w:val="0"/>
      <w:marTop w:val="0"/>
      <w:marBottom w:val="0"/>
      <w:divBdr>
        <w:top w:val="none" w:sz="0" w:space="0" w:color="auto"/>
        <w:left w:val="none" w:sz="0" w:space="0" w:color="auto"/>
        <w:bottom w:val="none" w:sz="0" w:space="0" w:color="auto"/>
        <w:right w:val="none" w:sz="0" w:space="0" w:color="auto"/>
      </w:divBdr>
    </w:div>
    <w:div w:id="1452015827">
      <w:bodyDiv w:val="1"/>
      <w:marLeft w:val="0"/>
      <w:marRight w:val="0"/>
      <w:marTop w:val="0"/>
      <w:marBottom w:val="0"/>
      <w:divBdr>
        <w:top w:val="none" w:sz="0" w:space="0" w:color="auto"/>
        <w:left w:val="none" w:sz="0" w:space="0" w:color="auto"/>
        <w:bottom w:val="none" w:sz="0" w:space="0" w:color="auto"/>
        <w:right w:val="none" w:sz="0" w:space="0" w:color="auto"/>
      </w:divBdr>
    </w:div>
    <w:div w:id="1457143196">
      <w:bodyDiv w:val="1"/>
      <w:marLeft w:val="0"/>
      <w:marRight w:val="0"/>
      <w:marTop w:val="0"/>
      <w:marBottom w:val="0"/>
      <w:divBdr>
        <w:top w:val="none" w:sz="0" w:space="0" w:color="auto"/>
        <w:left w:val="none" w:sz="0" w:space="0" w:color="auto"/>
        <w:bottom w:val="none" w:sz="0" w:space="0" w:color="auto"/>
        <w:right w:val="none" w:sz="0" w:space="0" w:color="auto"/>
      </w:divBdr>
    </w:div>
    <w:div w:id="1484195478">
      <w:bodyDiv w:val="1"/>
      <w:marLeft w:val="0"/>
      <w:marRight w:val="0"/>
      <w:marTop w:val="0"/>
      <w:marBottom w:val="0"/>
      <w:divBdr>
        <w:top w:val="none" w:sz="0" w:space="0" w:color="auto"/>
        <w:left w:val="none" w:sz="0" w:space="0" w:color="auto"/>
        <w:bottom w:val="none" w:sz="0" w:space="0" w:color="auto"/>
        <w:right w:val="none" w:sz="0" w:space="0" w:color="auto"/>
      </w:divBdr>
    </w:div>
    <w:div w:id="1491941623">
      <w:bodyDiv w:val="1"/>
      <w:marLeft w:val="0"/>
      <w:marRight w:val="0"/>
      <w:marTop w:val="0"/>
      <w:marBottom w:val="0"/>
      <w:divBdr>
        <w:top w:val="none" w:sz="0" w:space="0" w:color="auto"/>
        <w:left w:val="none" w:sz="0" w:space="0" w:color="auto"/>
        <w:bottom w:val="none" w:sz="0" w:space="0" w:color="auto"/>
        <w:right w:val="none" w:sz="0" w:space="0" w:color="auto"/>
      </w:divBdr>
    </w:div>
    <w:div w:id="1499537816">
      <w:bodyDiv w:val="1"/>
      <w:marLeft w:val="0"/>
      <w:marRight w:val="0"/>
      <w:marTop w:val="0"/>
      <w:marBottom w:val="0"/>
      <w:divBdr>
        <w:top w:val="none" w:sz="0" w:space="0" w:color="auto"/>
        <w:left w:val="none" w:sz="0" w:space="0" w:color="auto"/>
        <w:bottom w:val="none" w:sz="0" w:space="0" w:color="auto"/>
        <w:right w:val="none" w:sz="0" w:space="0" w:color="auto"/>
      </w:divBdr>
    </w:div>
    <w:div w:id="1503398231">
      <w:bodyDiv w:val="1"/>
      <w:marLeft w:val="0"/>
      <w:marRight w:val="0"/>
      <w:marTop w:val="0"/>
      <w:marBottom w:val="0"/>
      <w:divBdr>
        <w:top w:val="none" w:sz="0" w:space="0" w:color="auto"/>
        <w:left w:val="none" w:sz="0" w:space="0" w:color="auto"/>
        <w:bottom w:val="none" w:sz="0" w:space="0" w:color="auto"/>
        <w:right w:val="none" w:sz="0" w:space="0" w:color="auto"/>
      </w:divBdr>
    </w:div>
    <w:div w:id="1516774206">
      <w:bodyDiv w:val="1"/>
      <w:marLeft w:val="0"/>
      <w:marRight w:val="0"/>
      <w:marTop w:val="0"/>
      <w:marBottom w:val="0"/>
      <w:divBdr>
        <w:top w:val="none" w:sz="0" w:space="0" w:color="auto"/>
        <w:left w:val="none" w:sz="0" w:space="0" w:color="auto"/>
        <w:bottom w:val="none" w:sz="0" w:space="0" w:color="auto"/>
        <w:right w:val="none" w:sz="0" w:space="0" w:color="auto"/>
      </w:divBdr>
    </w:div>
    <w:div w:id="1523395704">
      <w:bodyDiv w:val="1"/>
      <w:marLeft w:val="0"/>
      <w:marRight w:val="0"/>
      <w:marTop w:val="0"/>
      <w:marBottom w:val="0"/>
      <w:divBdr>
        <w:top w:val="none" w:sz="0" w:space="0" w:color="auto"/>
        <w:left w:val="none" w:sz="0" w:space="0" w:color="auto"/>
        <w:bottom w:val="none" w:sz="0" w:space="0" w:color="auto"/>
        <w:right w:val="none" w:sz="0" w:space="0" w:color="auto"/>
      </w:divBdr>
    </w:div>
    <w:div w:id="1523978359">
      <w:bodyDiv w:val="1"/>
      <w:marLeft w:val="0"/>
      <w:marRight w:val="0"/>
      <w:marTop w:val="0"/>
      <w:marBottom w:val="0"/>
      <w:divBdr>
        <w:top w:val="none" w:sz="0" w:space="0" w:color="auto"/>
        <w:left w:val="none" w:sz="0" w:space="0" w:color="auto"/>
        <w:bottom w:val="none" w:sz="0" w:space="0" w:color="auto"/>
        <w:right w:val="none" w:sz="0" w:space="0" w:color="auto"/>
      </w:divBdr>
    </w:div>
    <w:div w:id="1524592201">
      <w:bodyDiv w:val="1"/>
      <w:marLeft w:val="0"/>
      <w:marRight w:val="0"/>
      <w:marTop w:val="0"/>
      <w:marBottom w:val="0"/>
      <w:divBdr>
        <w:top w:val="none" w:sz="0" w:space="0" w:color="auto"/>
        <w:left w:val="none" w:sz="0" w:space="0" w:color="auto"/>
        <w:bottom w:val="none" w:sz="0" w:space="0" w:color="auto"/>
        <w:right w:val="none" w:sz="0" w:space="0" w:color="auto"/>
      </w:divBdr>
    </w:div>
    <w:div w:id="1526676249">
      <w:bodyDiv w:val="1"/>
      <w:marLeft w:val="0"/>
      <w:marRight w:val="0"/>
      <w:marTop w:val="0"/>
      <w:marBottom w:val="0"/>
      <w:divBdr>
        <w:top w:val="none" w:sz="0" w:space="0" w:color="auto"/>
        <w:left w:val="none" w:sz="0" w:space="0" w:color="auto"/>
        <w:bottom w:val="none" w:sz="0" w:space="0" w:color="auto"/>
        <w:right w:val="none" w:sz="0" w:space="0" w:color="auto"/>
      </w:divBdr>
    </w:div>
    <w:div w:id="1528250928">
      <w:bodyDiv w:val="1"/>
      <w:marLeft w:val="0"/>
      <w:marRight w:val="0"/>
      <w:marTop w:val="0"/>
      <w:marBottom w:val="0"/>
      <w:divBdr>
        <w:top w:val="none" w:sz="0" w:space="0" w:color="auto"/>
        <w:left w:val="none" w:sz="0" w:space="0" w:color="auto"/>
        <w:bottom w:val="none" w:sz="0" w:space="0" w:color="auto"/>
        <w:right w:val="none" w:sz="0" w:space="0" w:color="auto"/>
      </w:divBdr>
    </w:div>
    <w:div w:id="1535844706">
      <w:bodyDiv w:val="1"/>
      <w:marLeft w:val="0"/>
      <w:marRight w:val="0"/>
      <w:marTop w:val="0"/>
      <w:marBottom w:val="0"/>
      <w:divBdr>
        <w:top w:val="none" w:sz="0" w:space="0" w:color="auto"/>
        <w:left w:val="none" w:sz="0" w:space="0" w:color="auto"/>
        <w:bottom w:val="none" w:sz="0" w:space="0" w:color="auto"/>
        <w:right w:val="none" w:sz="0" w:space="0" w:color="auto"/>
      </w:divBdr>
    </w:div>
    <w:div w:id="1586106125">
      <w:bodyDiv w:val="1"/>
      <w:marLeft w:val="0"/>
      <w:marRight w:val="0"/>
      <w:marTop w:val="0"/>
      <w:marBottom w:val="0"/>
      <w:divBdr>
        <w:top w:val="none" w:sz="0" w:space="0" w:color="auto"/>
        <w:left w:val="none" w:sz="0" w:space="0" w:color="auto"/>
        <w:bottom w:val="none" w:sz="0" w:space="0" w:color="auto"/>
        <w:right w:val="none" w:sz="0" w:space="0" w:color="auto"/>
      </w:divBdr>
    </w:div>
    <w:div w:id="1600673020">
      <w:bodyDiv w:val="1"/>
      <w:marLeft w:val="0"/>
      <w:marRight w:val="0"/>
      <w:marTop w:val="0"/>
      <w:marBottom w:val="0"/>
      <w:divBdr>
        <w:top w:val="none" w:sz="0" w:space="0" w:color="auto"/>
        <w:left w:val="none" w:sz="0" w:space="0" w:color="auto"/>
        <w:bottom w:val="none" w:sz="0" w:space="0" w:color="auto"/>
        <w:right w:val="none" w:sz="0" w:space="0" w:color="auto"/>
      </w:divBdr>
    </w:div>
    <w:div w:id="1604680255">
      <w:bodyDiv w:val="1"/>
      <w:marLeft w:val="0"/>
      <w:marRight w:val="0"/>
      <w:marTop w:val="0"/>
      <w:marBottom w:val="0"/>
      <w:divBdr>
        <w:top w:val="none" w:sz="0" w:space="0" w:color="auto"/>
        <w:left w:val="none" w:sz="0" w:space="0" w:color="auto"/>
        <w:bottom w:val="none" w:sz="0" w:space="0" w:color="auto"/>
        <w:right w:val="none" w:sz="0" w:space="0" w:color="auto"/>
      </w:divBdr>
    </w:div>
    <w:div w:id="1606227253">
      <w:bodyDiv w:val="1"/>
      <w:marLeft w:val="0"/>
      <w:marRight w:val="0"/>
      <w:marTop w:val="0"/>
      <w:marBottom w:val="0"/>
      <w:divBdr>
        <w:top w:val="none" w:sz="0" w:space="0" w:color="auto"/>
        <w:left w:val="none" w:sz="0" w:space="0" w:color="auto"/>
        <w:bottom w:val="none" w:sz="0" w:space="0" w:color="auto"/>
        <w:right w:val="none" w:sz="0" w:space="0" w:color="auto"/>
      </w:divBdr>
    </w:div>
    <w:div w:id="1612398920">
      <w:bodyDiv w:val="1"/>
      <w:marLeft w:val="0"/>
      <w:marRight w:val="0"/>
      <w:marTop w:val="0"/>
      <w:marBottom w:val="0"/>
      <w:divBdr>
        <w:top w:val="none" w:sz="0" w:space="0" w:color="auto"/>
        <w:left w:val="none" w:sz="0" w:space="0" w:color="auto"/>
        <w:bottom w:val="none" w:sz="0" w:space="0" w:color="auto"/>
        <w:right w:val="none" w:sz="0" w:space="0" w:color="auto"/>
      </w:divBdr>
    </w:div>
    <w:div w:id="1617325466">
      <w:bodyDiv w:val="1"/>
      <w:marLeft w:val="0"/>
      <w:marRight w:val="0"/>
      <w:marTop w:val="0"/>
      <w:marBottom w:val="0"/>
      <w:divBdr>
        <w:top w:val="none" w:sz="0" w:space="0" w:color="auto"/>
        <w:left w:val="none" w:sz="0" w:space="0" w:color="auto"/>
        <w:bottom w:val="none" w:sz="0" w:space="0" w:color="auto"/>
        <w:right w:val="none" w:sz="0" w:space="0" w:color="auto"/>
      </w:divBdr>
    </w:div>
    <w:div w:id="1619020211">
      <w:bodyDiv w:val="1"/>
      <w:marLeft w:val="0"/>
      <w:marRight w:val="0"/>
      <w:marTop w:val="0"/>
      <w:marBottom w:val="0"/>
      <w:divBdr>
        <w:top w:val="none" w:sz="0" w:space="0" w:color="auto"/>
        <w:left w:val="none" w:sz="0" w:space="0" w:color="auto"/>
        <w:bottom w:val="none" w:sz="0" w:space="0" w:color="auto"/>
        <w:right w:val="none" w:sz="0" w:space="0" w:color="auto"/>
      </w:divBdr>
    </w:div>
    <w:div w:id="1620379581">
      <w:bodyDiv w:val="1"/>
      <w:marLeft w:val="0"/>
      <w:marRight w:val="0"/>
      <w:marTop w:val="0"/>
      <w:marBottom w:val="0"/>
      <w:divBdr>
        <w:top w:val="none" w:sz="0" w:space="0" w:color="auto"/>
        <w:left w:val="none" w:sz="0" w:space="0" w:color="auto"/>
        <w:bottom w:val="none" w:sz="0" w:space="0" w:color="auto"/>
        <w:right w:val="none" w:sz="0" w:space="0" w:color="auto"/>
      </w:divBdr>
    </w:div>
    <w:div w:id="1656030246">
      <w:bodyDiv w:val="1"/>
      <w:marLeft w:val="0"/>
      <w:marRight w:val="0"/>
      <w:marTop w:val="0"/>
      <w:marBottom w:val="0"/>
      <w:divBdr>
        <w:top w:val="none" w:sz="0" w:space="0" w:color="auto"/>
        <w:left w:val="none" w:sz="0" w:space="0" w:color="auto"/>
        <w:bottom w:val="none" w:sz="0" w:space="0" w:color="auto"/>
        <w:right w:val="none" w:sz="0" w:space="0" w:color="auto"/>
      </w:divBdr>
    </w:div>
    <w:div w:id="1663121924">
      <w:bodyDiv w:val="1"/>
      <w:marLeft w:val="0"/>
      <w:marRight w:val="0"/>
      <w:marTop w:val="0"/>
      <w:marBottom w:val="0"/>
      <w:divBdr>
        <w:top w:val="none" w:sz="0" w:space="0" w:color="auto"/>
        <w:left w:val="none" w:sz="0" w:space="0" w:color="auto"/>
        <w:bottom w:val="none" w:sz="0" w:space="0" w:color="auto"/>
        <w:right w:val="none" w:sz="0" w:space="0" w:color="auto"/>
      </w:divBdr>
    </w:div>
    <w:div w:id="1706369312">
      <w:bodyDiv w:val="1"/>
      <w:marLeft w:val="0"/>
      <w:marRight w:val="0"/>
      <w:marTop w:val="0"/>
      <w:marBottom w:val="0"/>
      <w:divBdr>
        <w:top w:val="none" w:sz="0" w:space="0" w:color="auto"/>
        <w:left w:val="none" w:sz="0" w:space="0" w:color="auto"/>
        <w:bottom w:val="none" w:sz="0" w:space="0" w:color="auto"/>
        <w:right w:val="none" w:sz="0" w:space="0" w:color="auto"/>
      </w:divBdr>
    </w:div>
    <w:div w:id="1713385419">
      <w:bodyDiv w:val="1"/>
      <w:marLeft w:val="0"/>
      <w:marRight w:val="0"/>
      <w:marTop w:val="0"/>
      <w:marBottom w:val="0"/>
      <w:divBdr>
        <w:top w:val="none" w:sz="0" w:space="0" w:color="auto"/>
        <w:left w:val="none" w:sz="0" w:space="0" w:color="auto"/>
        <w:bottom w:val="none" w:sz="0" w:space="0" w:color="auto"/>
        <w:right w:val="none" w:sz="0" w:space="0" w:color="auto"/>
      </w:divBdr>
    </w:div>
    <w:div w:id="1713767481">
      <w:bodyDiv w:val="1"/>
      <w:marLeft w:val="0"/>
      <w:marRight w:val="0"/>
      <w:marTop w:val="0"/>
      <w:marBottom w:val="0"/>
      <w:divBdr>
        <w:top w:val="none" w:sz="0" w:space="0" w:color="auto"/>
        <w:left w:val="none" w:sz="0" w:space="0" w:color="auto"/>
        <w:bottom w:val="none" w:sz="0" w:space="0" w:color="auto"/>
        <w:right w:val="none" w:sz="0" w:space="0" w:color="auto"/>
      </w:divBdr>
    </w:div>
    <w:div w:id="1724283522">
      <w:bodyDiv w:val="1"/>
      <w:marLeft w:val="0"/>
      <w:marRight w:val="0"/>
      <w:marTop w:val="0"/>
      <w:marBottom w:val="0"/>
      <w:divBdr>
        <w:top w:val="none" w:sz="0" w:space="0" w:color="auto"/>
        <w:left w:val="none" w:sz="0" w:space="0" w:color="auto"/>
        <w:bottom w:val="none" w:sz="0" w:space="0" w:color="auto"/>
        <w:right w:val="none" w:sz="0" w:space="0" w:color="auto"/>
      </w:divBdr>
    </w:div>
    <w:div w:id="1729451841">
      <w:bodyDiv w:val="1"/>
      <w:marLeft w:val="0"/>
      <w:marRight w:val="0"/>
      <w:marTop w:val="0"/>
      <w:marBottom w:val="0"/>
      <w:divBdr>
        <w:top w:val="none" w:sz="0" w:space="0" w:color="auto"/>
        <w:left w:val="none" w:sz="0" w:space="0" w:color="auto"/>
        <w:bottom w:val="none" w:sz="0" w:space="0" w:color="auto"/>
        <w:right w:val="none" w:sz="0" w:space="0" w:color="auto"/>
      </w:divBdr>
    </w:div>
    <w:div w:id="1734084818">
      <w:bodyDiv w:val="1"/>
      <w:marLeft w:val="0"/>
      <w:marRight w:val="0"/>
      <w:marTop w:val="0"/>
      <w:marBottom w:val="0"/>
      <w:divBdr>
        <w:top w:val="none" w:sz="0" w:space="0" w:color="auto"/>
        <w:left w:val="none" w:sz="0" w:space="0" w:color="auto"/>
        <w:bottom w:val="none" w:sz="0" w:space="0" w:color="auto"/>
        <w:right w:val="none" w:sz="0" w:space="0" w:color="auto"/>
      </w:divBdr>
    </w:div>
    <w:div w:id="1738818099">
      <w:bodyDiv w:val="1"/>
      <w:marLeft w:val="0"/>
      <w:marRight w:val="0"/>
      <w:marTop w:val="0"/>
      <w:marBottom w:val="0"/>
      <w:divBdr>
        <w:top w:val="none" w:sz="0" w:space="0" w:color="auto"/>
        <w:left w:val="none" w:sz="0" w:space="0" w:color="auto"/>
        <w:bottom w:val="none" w:sz="0" w:space="0" w:color="auto"/>
        <w:right w:val="none" w:sz="0" w:space="0" w:color="auto"/>
      </w:divBdr>
    </w:div>
    <w:div w:id="1768769411">
      <w:bodyDiv w:val="1"/>
      <w:marLeft w:val="0"/>
      <w:marRight w:val="0"/>
      <w:marTop w:val="0"/>
      <w:marBottom w:val="0"/>
      <w:divBdr>
        <w:top w:val="none" w:sz="0" w:space="0" w:color="auto"/>
        <w:left w:val="none" w:sz="0" w:space="0" w:color="auto"/>
        <w:bottom w:val="none" w:sz="0" w:space="0" w:color="auto"/>
        <w:right w:val="none" w:sz="0" w:space="0" w:color="auto"/>
      </w:divBdr>
    </w:div>
    <w:div w:id="1805003318">
      <w:bodyDiv w:val="1"/>
      <w:marLeft w:val="0"/>
      <w:marRight w:val="0"/>
      <w:marTop w:val="0"/>
      <w:marBottom w:val="0"/>
      <w:divBdr>
        <w:top w:val="none" w:sz="0" w:space="0" w:color="auto"/>
        <w:left w:val="none" w:sz="0" w:space="0" w:color="auto"/>
        <w:bottom w:val="none" w:sz="0" w:space="0" w:color="auto"/>
        <w:right w:val="none" w:sz="0" w:space="0" w:color="auto"/>
      </w:divBdr>
    </w:div>
    <w:div w:id="1808356646">
      <w:bodyDiv w:val="1"/>
      <w:marLeft w:val="0"/>
      <w:marRight w:val="0"/>
      <w:marTop w:val="0"/>
      <w:marBottom w:val="0"/>
      <w:divBdr>
        <w:top w:val="none" w:sz="0" w:space="0" w:color="auto"/>
        <w:left w:val="none" w:sz="0" w:space="0" w:color="auto"/>
        <w:bottom w:val="none" w:sz="0" w:space="0" w:color="auto"/>
        <w:right w:val="none" w:sz="0" w:space="0" w:color="auto"/>
      </w:divBdr>
    </w:div>
    <w:div w:id="1824735504">
      <w:bodyDiv w:val="1"/>
      <w:marLeft w:val="0"/>
      <w:marRight w:val="0"/>
      <w:marTop w:val="0"/>
      <w:marBottom w:val="0"/>
      <w:divBdr>
        <w:top w:val="none" w:sz="0" w:space="0" w:color="auto"/>
        <w:left w:val="none" w:sz="0" w:space="0" w:color="auto"/>
        <w:bottom w:val="none" w:sz="0" w:space="0" w:color="auto"/>
        <w:right w:val="none" w:sz="0" w:space="0" w:color="auto"/>
      </w:divBdr>
    </w:div>
    <w:div w:id="1837303127">
      <w:bodyDiv w:val="1"/>
      <w:marLeft w:val="0"/>
      <w:marRight w:val="0"/>
      <w:marTop w:val="0"/>
      <w:marBottom w:val="0"/>
      <w:divBdr>
        <w:top w:val="none" w:sz="0" w:space="0" w:color="auto"/>
        <w:left w:val="none" w:sz="0" w:space="0" w:color="auto"/>
        <w:bottom w:val="none" w:sz="0" w:space="0" w:color="auto"/>
        <w:right w:val="none" w:sz="0" w:space="0" w:color="auto"/>
      </w:divBdr>
    </w:div>
    <w:div w:id="1838230912">
      <w:bodyDiv w:val="1"/>
      <w:marLeft w:val="0"/>
      <w:marRight w:val="0"/>
      <w:marTop w:val="0"/>
      <w:marBottom w:val="0"/>
      <w:divBdr>
        <w:top w:val="none" w:sz="0" w:space="0" w:color="auto"/>
        <w:left w:val="none" w:sz="0" w:space="0" w:color="auto"/>
        <w:bottom w:val="none" w:sz="0" w:space="0" w:color="auto"/>
        <w:right w:val="none" w:sz="0" w:space="0" w:color="auto"/>
      </w:divBdr>
    </w:div>
    <w:div w:id="1839031213">
      <w:bodyDiv w:val="1"/>
      <w:marLeft w:val="0"/>
      <w:marRight w:val="0"/>
      <w:marTop w:val="0"/>
      <w:marBottom w:val="0"/>
      <w:divBdr>
        <w:top w:val="none" w:sz="0" w:space="0" w:color="auto"/>
        <w:left w:val="none" w:sz="0" w:space="0" w:color="auto"/>
        <w:bottom w:val="none" w:sz="0" w:space="0" w:color="auto"/>
        <w:right w:val="none" w:sz="0" w:space="0" w:color="auto"/>
      </w:divBdr>
    </w:div>
    <w:div w:id="1847209555">
      <w:bodyDiv w:val="1"/>
      <w:marLeft w:val="0"/>
      <w:marRight w:val="0"/>
      <w:marTop w:val="0"/>
      <w:marBottom w:val="0"/>
      <w:divBdr>
        <w:top w:val="none" w:sz="0" w:space="0" w:color="auto"/>
        <w:left w:val="none" w:sz="0" w:space="0" w:color="auto"/>
        <w:bottom w:val="none" w:sz="0" w:space="0" w:color="auto"/>
        <w:right w:val="none" w:sz="0" w:space="0" w:color="auto"/>
      </w:divBdr>
    </w:div>
    <w:div w:id="1851487631">
      <w:bodyDiv w:val="1"/>
      <w:marLeft w:val="0"/>
      <w:marRight w:val="0"/>
      <w:marTop w:val="0"/>
      <w:marBottom w:val="0"/>
      <w:divBdr>
        <w:top w:val="none" w:sz="0" w:space="0" w:color="auto"/>
        <w:left w:val="none" w:sz="0" w:space="0" w:color="auto"/>
        <w:bottom w:val="none" w:sz="0" w:space="0" w:color="auto"/>
        <w:right w:val="none" w:sz="0" w:space="0" w:color="auto"/>
      </w:divBdr>
    </w:div>
    <w:div w:id="1864899880">
      <w:bodyDiv w:val="1"/>
      <w:marLeft w:val="0"/>
      <w:marRight w:val="0"/>
      <w:marTop w:val="0"/>
      <w:marBottom w:val="0"/>
      <w:divBdr>
        <w:top w:val="none" w:sz="0" w:space="0" w:color="auto"/>
        <w:left w:val="none" w:sz="0" w:space="0" w:color="auto"/>
        <w:bottom w:val="none" w:sz="0" w:space="0" w:color="auto"/>
        <w:right w:val="none" w:sz="0" w:space="0" w:color="auto"/>
      </w:divBdr>
    </w:div>
    <w:div w:id="1868442672">
      <w:bodyDiv w:val="1"/>
      <w:marLeft w:val="0"/>
      <w:marRight w:val="0"/>
      <w:marTop w:val="0"/>
      <w:marBottom w:val="0"/>
      <w:divBdr>
        <w:top w:val="none" w:sz="0" w:space="0" w:color="auto"/>
        <w:left w:val="none" w:sz="0" w:space="0" w:color="auto"/>
        <w:bottom w:val="none" w:sz="0" w:space="0" w:color="auto"/>
        <w:right w:val="none" w:sz="0" w:space="0" w:color="auto"/>
      </w:divBdr>
    </w:div>
    <w:div w:id="1874490831">
      <w:bodyDiv w:val="1"/>
      <w:marLeft w:val="0"/>
      <w:marRight w:val="0"/>
      <w:marTop w:val="0"/>
      <w:marBottom w:val="0"/>
      <w:divBdr>
        <w:top w:val="none" w:sz="0" w:space="0" w:color="auto"/>
        <w:left w:val="none" w:sz="0" w:space="0" w:color="auto"/>
        <w:bottom w:val="none" w:sz="0" w:space="0" w:color="auto"/>
        <w:right w:val="none" w:sz="0" w:space="0" w:color="auto"/>
      </w:divBdr>
    </w:div>
    <w:div w:id="1886405749">
      <w:bodyDiv w:val="1"/>
      <w:marLeft w:val="0"/>
      <w:marRight w:val="0"/>
      <w:marTop w:val="0"/>
      <w:marBottom w:val="0"/>
      <w:divBdr>
        <w:top w:val="none" w:sz="0" w:space="0" w:color="auto"/>
        <w:left w:val="none" w:sz="0" w:space="0" w:color="auto"/>
        <w:bottom w:val="none" w:sz="0" w:space="0" w:color="auto"/>
        <w:right w:val="none" w:sz="0" w:space="0" w:color="auto"/>
      </w:divBdr>
    </w:div>
    <w:div w:id="1892615551">
      <w:bodyDiv w:val="1"/>
      <w:marLeft w:val="0"/>
      <w:marRight w:val="0"/>
      <w:marTop w:val="0"/>
      <w:marBottom w:val="0"/>
      <w:divBdr>
        <w:top w:val="none" w:sz="0" w:space="0" w:color="auto"/>
        <w:left w:val="none" w:sz="0" w:space="0" w:color="auto"/>
        <w:bottom w:val="none" w:sz="0" w:space="0" w:color="auto"/>
        <w:right w:val="none" w:sz="0" w:space="0" w:color="auto"/>
      </w:divBdr>
    </w:div>
    <w:div w:id="1900239027">
      <w:bodyDiv w:val="1"/>
      <w:marLeft w:val="0"/>
      <w:marRight w:val="0"/>
      <w:marTop w:val="0"/>
      <w:marBottom w:val="0"/>
      <w:divBdr>
        <w:top w:val="none" w:sz="0" w:space="0" w:color="auto"/>
        <w:left w:val="none" w:sz="0" w:space="0" w:color="auto"/>
        <w:bottom w:val="none" w:sz="0" w:space="0" w:color="auto"/>
        <w:right w:val="none" w:sz="0" w:space="0" w:color="auto"/>
      </w:divBdr>
    </w:div>
    <w:div w:id="1915123965">
      <w:bodyDiv w:val="1"/>
      <w:marLeft w:val="0"/>
      <w:marRight w:val="0"/>
      <w:marTop w:val="0"/>
      <w:marBottom w:val="0"/>
      <w:divBdr>
        <w:top w:val="none" w:sz="0" w:space="0" w:color="auto"/>
        <w:left w:val="none" w:sz="0" w:space="0" w:color="auto"/>
        <w:bottom w:val="none" w:sz="0" w:space="0" w:color="auto"/>
        <w:right w:val="none" w:sz="0" w:space="0" w:color="auto"/>
      </w:divBdr>
    </w:div>
    <w:div w:id="1922786370">
      <w:bodyDiv w:val="1"/>
      <w:marLeft w:val="0"/>
      <w:marRight w:val="0"/>
      <w:marTop w:val="0"/>
      <w:marBottom w:val="0"/>
      <w:divBdr>
        <w:top w:val="none" w:sz="0" w:space="0" w:color="auto"/>
        <w:left w:val="none" w:sz="0" w:space="0" w:color="auto"/>
        <w:bottom w:val="none" w:sz="0" w:space="0" w:color="auto"/>
        <w:right w:val="none" w:sz="0" w:space="0" w:color="auto"/>
      </w:divBdr>
    </w:div>
    <w:div w:id="1925331807">
      <w:bodyDiv w:val="1"/>
      <w:marLeft w:val="0"/>
      <w:marRight w:val="0"/>
      <w:marTop w:val="0"/>
      <w:marBottom w:val="0"/>
      <w:divBdr>
        <w:top w:val="none" w:sz="0" w:space="0" w:color="auto"/>
        <w:left w:val="none" w:sz="0" w:space="0" w:color="auto"/>
        <w:bottom w:val="none" w:sz="0" w:space="0" w:color="auto"/>
        <w:right w:val="none" w:sz="0" w:space="0" w:color="auto"/>
      </w:divBdr>
    </w:div>
    <w:div w:id="1932078005">
      <w:bodyDiv w:val="1"/>
      <w:marLeft w:val="0"/>
      <w:marRight w:val="0"/>
      <w:marTop w:val="0"/>
      <w:marBottom w:val="0"/>
      <w:divBdr>
        <w:top w:val="none" w:sz="0" w:space="0" w:color="auto"/>
        <w:left w:val="none" w:sz="0" w:space="0" w:color="auto"/>
        <w:bottom w:val="none" w:sz="0" w:space="0" w:color="auto"/>
        <w:right w:val="none" w:sz="0" w:space="0" w:color="auto"/>
      </w:divBdr>
    </w:div>
    <w:div w:id="1937014736">
      <w:bodyDiv w:val="1"/>
      <w:marLeft w:val="0"/>
      <w:marRight w:val="0"/>
      <w:marTop w:val="0"/>
      <w:marBottom w:val="0"/>
      <w:divBdr>
        <w:top w:val="none" w:sz="0" w:space="0" w:color="auto"/>
        <w:left w:val="none" w:sz="0" w:space="0" w:color="auto"/>
        <w:bottom w:val="none" w:sz="0" w:space="0" w:color="auto"/>
        <w:right w:val="none" w:sz="0" w:space="0" w:color="auto"/>
      </w:divBdr>
    </w:div>
    <w:div w:id="1953394056">
      <w:bodyDiv w:val="1"/>
      <w:marLeft w:val="0"/>
      <w:marRight w:val="0"/>
      <w:marTop w:val="0"/>
      <w:marBottom w:val="0"/>
      <w:divBdr>
        <w:top w:val="none" w:sz="0" w:space="0" w:color="auto"/>
        <w:left w:val="none" w:sz="0" w:space="0" w:color="auto"/>
        <w:bottom w:val="none" w:sz="0" w:space="0" w:color="auto"/>
        <w:right w:val="none" w:sz="0" w:space="0" w:color="auto"/>
      </w:divBdr>
    </w:div>
    <w:div w:id="1972857973">
      <w:bodyDiv w:val="1"/>
      <w:marLeft w:val="0"/>
      <w:marRight w:val="0"/>
      <w:marTop w:val="0"/>
      <w:marBottom w:val="0"/>
      <w:divBdr>
        <w:top w:val="none" w:sz="0" w:space="0" w:color="auto"/>
        <w:left w:val="none" w:sz="0" w:space="0" w:color="auto"/>
        <w:bottom w:val="none" w:sz="0" w:space="0" w:color="auto"/>
        <w:right w:val="none" w:sz="0" w:space="0" w:color="auto"/>
      </w:divBdr>
    </w:div>
    <w:div w:id="1979144853">
      <w:bodyDiv w:val="1"/>
      <w:marLeft w:val="0"/>
      <w:marRight w:val="0"/>
      <w:marTop w:val="0"/>
      <w:marBottom w:val="0"/>
      <w:divBdr>
        <w:top w:val="none" w:sz="0" w:space="0" w:color="auto"/>
        <w:left w:val="none" w:sz="0" w:space="0" w:color="auto"/>
        <w:bottom w:val="none" w:sz="0" w:space="0" w:color="auto"/>
        <w:right w:val="none" w:sz="0" w:space="0" w:color="auto"/>
      </w:divBdr>
    </w:div>
    <w:div w:id="1996958466">
      <w:bodyDiv w:val="1"/>
      <w:marLeft w:val="0"/>
      <w:marRight w:val="0"/>
      <w:marTop w:val="0"/>
      <w:marBottom w:val="0"/>
      <w:divBdr>
        <w:top w:val="none" w:sz="0" w:space="0" w:color="auto"/>
        <w:left w:val="none" w:sz="0" w:space="0" w:color="auto"/>
        <w:bottom w:val="none" w:sz="0" w:space="0" w:color="auto"/>
        <w:right w:val="none" w:sz="0" w:space="0" w:color="auto"/>
      </w:divBdr>
    </w:div>
    <w:div w:id="2000765856">
      <w:bodyDiv w:val="1"/>
      <w:marLeft w:val="0"/>
      <w:marRight w:val="0"/>
      <w:marTop w:val="0"/>
      <w:marBottom w:val="0"/>
      <w:divBdr>
        <w:top w:val="none" w:sz="0" w:space="0" w:color="auto"/>
        <w:left w:val="none" w:sz="0" w:space="0" w:color="auto"/>
        <w:bottom w:val="none" w:sz="0" w:space="0" w:color="auto"/>
        <w:right w:val="none" w:sz="0" w:space="0" w:color="auto"/>
      </w:divBdr>
    </w:div>
    <w:div w:id="2013407635">
      <w:bodyDiv w:val="1"/>
      <w:marLeft w:val="0"/>
      <w:marRight w:val="0"/>
      <w:marTop w:val="0"/>
      <w:marBottom w:val="0"/>
      <w:divBdr>
        <w:top w:val="none" w:sz="0" w:space="0" w:color="auto"/>
        <w:left w:val="none" w:sz="0" w:space="0" w:color="auto"/>
        <w:bottom w:val="none" w:sz="0" w:space="0" w:color="auto"/>
        <w:right w:val="none" w:sz="0" w:space="0" w:color="auto"/>
      </w:divBdr>
    </w:div>
    <w:div w:id="2021348246">
      <w:bodyDiv w:val="1"/>
      <w:marLeft w:val="0"/>
      <w:marRight w:val="0"/>
      <w:marTop w:val="0"/>
      <w:marBottom w:val="0"/>
      <w:divBdr>
        <w:top w:val="none" w:sz="0" w:space="0" w:color="auto"/>
        <w:left w:val="none" w:sz="0" w:space="0" w:color="auto"/>
        <w:bottom w:val="none" w:sz="0" w:space="0" w:color="auto"/>
        <w:right w:val="none" w:sz="0" w:space="0" w:color="auto"/>
      </w:divBdr>
    </w:div>
    <w:div w:id="2039963559">
      <w:bodyDiv w:val="1"/>
      <w:marLeft w:val="0"/>
      <w:marRight w:val="0"/>
      <w:marTop w:val="0"/>
      <w:marBottom w:val="0"/>
      <w:divBdr>
        <w:top w:val="none" w:sz="0" w:space="0" w:color="auto"/>
        <w:left w:val="none" w:sz="0" w:space="0" w:color="auto"/>
        <w:bottom w:val="none" w:sz="0" w:space="0" w:color="auto"/>
        <w:right w:val="none" w:sz="0" w:space="0" w:color="auto"/>
      </w:divBdr>
    </w:div>
    <w:div w:id="2047831078">
      <w:bodyDiv w:val="1"/>
      <w:marLeft w:val="0"/>
      <w:marRight w:val="0"/>
      <w:marTop w:val="0"/>
      <w:marBottom w:val="0"/>
      <w:divBdr>
        <w:top w:val="none" w:sz="0" w:space="0" w:color="auto"/>
        <w:left w:val="none" w:sz="0" w:space="0" w:color="auto"/>
        <w:bottom w:val="none" w:sz="0" w:space="0" w:color="auto"/>
        <w:right w:val="none" w:sz="0" w:space="0" w:color="auto"/>
      </w:divBdr>
    </w:div>
    <w:div w:id="2111928792">
      <w:bodyDiv w:val="1"/>
      <w:marLeft w:val="0"/>
      <w:marRight w:val="0"/>
      <w:marTop w:val="0"/>
      <w:marBottom w:val="0"/>
      <w:divBdr>
        <w:top w:val="none" w:sz="0" w:space="0" w:color="auto"/>
        <w:left w:val="none" w:sz="0" w:space="0" w:color="auto"/>
        <w:bottom w:val="none" w:sz="0" w:space="0" w:color="auto"/>
        <w:right w:val="none" w:sz="0" w:space="0" w:color="auto"/>
      </w:divBdr>
    </w:div>
    <w:div w:id="2113281055">
      <w:bodyDiv w:val="1"/>
      <w:marLeft w:val="0"/>
      <w:marRight w:val="0"/>
      <w:marTop w:val="0"/>
      <w:marBottom w:val="0"/>
      <w:divBdr>
        <w:top w:val="none" w:sz="0" w:space="0" w:color="auto"/>
        <w:left w:val="none" w:sz="0" w:space="0" w:color="auto"/>
        <w:bottom w:val="none" w:sz="0" w:space="0" w:color="auto"/>
        <w:right w:val="none" w:sz="0" w:space="0" w:color="auto"/>
      </w:divBdr>
    </w:div>
    <w:div w:id="2123183805">
      <w:bodyDiv w:val="1"/>
      <w:marLeft w:val="0"/>
      <w:marRight w:val="0"/>
      <w:marTop w:val="0"/>
      <w:marBottom w:val="0"/>
      <w:divBdr>
        <w:top w:val="none" w:sz="0" w:space="0" w:color="auto"/>
        <w:left w:val="none" w:sz="0" w:space="0" w:color="auto"/>
        <w:bottom w:val="none" w:sz="0" w:space="0" w:color="auto"/>
        <w:right w:val="none" w:sz="0" w:space="0" w:color="auto"/>
      </w:divBdr>
    </w:div>
    <w:div w:id="2123986547">
      <w:bodyDiv w:val="1"/>
      <w:marLeft w:val="0"/>
      <w:marRight w:val="0"/>
      <w:marTop w:val="0"/>
      <w:marBottom w:val="0"/>
      <w:divBdr>
        <w:top w:val="none" w:sz="0" w:space="0" w:color="auto"/>
        <w:left w:val="none" w:sz="0" w:space="0" w:color="auto"/>
        <w:bottom w:val="none" w:sz="0" w:space="0" w:color="auto"/>
        <w:right w:val="none" w:sz="0" w:space="0" w:color="auto"/>
      </w:divBdr>
    </w:div>
    <w:div w:id="2125345629">
      <w:bodyDiv w:val="1"/>
      <w:marLeft w:val="0"/>
      <w:marRight w:val="0"/>
      <w:marTop w:val="0"/>
      <w:marBottom w:val="0"/>
      <w:divBdr>
        <w:top w:val="none" w:sz="0" w:space="0" w:color="auto"/>
        <w:left w:val="none" w:sz="0" w:space="0" w:color="auto"/>
        <w:bottom w:val="none" w:sz="0" w:space="0" w:color="auto"/>
        <w:right w:val="none" w:sz="0" w:space="0" w:color="auto"/>
      </w:divBdr>
    </w:div>
    <w:div w:id="2129733492">
      <w:bodyDiv w:val="1"/>
      <w:marLeft w:val="0"/>
      <w:marRight w:val="0"/>
      <w:marTop w:val="0"/>
      <w:marBottom w:val="0"/>
      <w:divBdr>
        <w:top w:val="none" w:sz="0" w:space="0" w:color="auto"/>
        <w:left w:val="none" w:sz="0" w:space="0" w:color="auto"/>
        <w:bottom w:val="none" w:sz="0" w:space="0" w:color="auto"/>
        <w:right w:val="none" w:sz="0" w:space="0" w:color="auto"/>
      </w:divBdr>
    </w:div>
    <w:div w:id="21302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3046</TotalTime>
  <Pages>26</Pages>
  <Words>11721</Words>
  <Characters>66810</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dc:creator>
  <cp:keywords/>
  <dc:description/>
  <cp:lastModifiedBy>durga</cp:lastModifiedBy>
  <cp:revision>679</cp:revision>
  <dcterms:created xsi:type="dcterms:W3CDTF">2013-03-29T06:53:00Z</dcterms:created>
  <dcterms:modified xsi:type="dcterms:W3CDTF">2013-04-11T14:33:00Z</dcterms:modified>
</cp:coreProperties>
</file>