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9C" w:rsidRDefault="00D27B9C" w:rsidP="00D27B9C">
      <w:pPr>
        <w:pStyle w:val="Header"/>
        <w:jc w:val="center"/>
        <w:rPr>
          <w:rFonts w:ascii="Book Antiqua" w:hAnsi="Book Antiqua"/>
          <w:b/>
        </w:rPr>
      </w:pPr>
      <w:r w:rsidRPr="0057111E">
        <w:rPr>
          <w:rFonts w:ascii="Book Antiqua" w:hAnsi="Book Antiqua"/>
          <w:b/>
        </w:rPr>
        <w:t>REVISED SCHEDULE VI</w:t>
      </w:r>
      <w:r>
        <w:rPr>
          <w:rFonts w:ascii="Book Antiqua" w:hAnsi="Book Antiqua"/>
          <w:b/>
        </w:rPr>
        <w:t xml:space="preserve"> MATERIAL</w:t>
      </w:r>
    </w:p>
    <w:p w:rsidR="00D27B9C" w:rsidRDefault="00D27B9C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D3013" w:rsidRP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Applicability:</w:t>
      </w: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It is applicable t</w:t>
      </w:r>
      <w:r w:rsidRPr="00DD3013">
        <w:rPr>
          <w:rFonts w:ascii="Book Antiqua" w:hAnsi="Book Antiqua"/>
        </w:rPr>
        <w:t>o all Companies registered under the Companies Act (excluding banking, insurance and electricity companies)</w:t>
      </w:r>
    </w:p>
    <w:p w:rsidR="00DD3013" w:rsidRPr="00734149" w:rsidRDefault="00DD3013" w:rsidP="00D331E1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DD3013" w:rsidRP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Effective Date of Application:</w:t>
      </w:r>
    </w:p>
    <w:p w:rsidR="00DD3013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As per notification no S.O. 447(E), dated 28-2-2011 issued by MCA, Revised Schedule VI shall be applicable for the year commencing on or after 01/04/2011.</w:t>
      </w:r>
    </w:p>
    <w:p w:rsidR="00D331E1" w:rsidRPr="00734149" w:rsidRDefault="00D331E1" w:rsidP="00D331E1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In case of mismatch between the requirements of Act / ASs and Revised Schedule VI, requirements of the Act / ASs will prevail</w:t>
      </w: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</w:rPr>
      </w:pP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Structure of Revised Schedule VI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General Instructions (both Balance Sheet and Statement of Profit and Loss)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Part I – Form of Balance Sheet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General Instructions for Preparation of Balance Sheet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Part II – Form of Statement of Profit and Loss</w:t>
      </w:r>
    </w:p>
    <w:p w:rsidR="00DD3013" w:rsidRPr="00DD3013" w:rsidRDefault="00DD3013" w:rsidP="00D331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D3013">
        <w:rPr>
          <w:rFonts w:ascii="Book Antiqua" w:hAnsi="Book Antiqua"/>
        </w:rPr>
        <w:t>General Instructions for Preparation of Statement of Profit and Loss</w:t>
      </w: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D3013" w:rsidRDefault="00DD3013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Rounding off</w:t>
      </w:r>
      <w:r>
        <w:rPr>
          <w:rFonts w:ascii="Book Antiqua" w:hAnsi="Book Antiqua"/>
          <w:b/>
        </w:rPr>
        <w:t xml:space="preserve"> conditions</w:t>
      </w:r>
    </w:p>
    <w:p w:rsidR="00DD3013" w:rsidRPr="00734149" w:rsidRDefault="00DD3013" w:rsidP="00D331E1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tbl>
      <w:tblPr>
        <w:tblW w:w="9998" w:type="dxa"/>
        <w:tblCellMar>
          <w:left w:w="0" w:type="dxa"/>
          <w:right w:w="0" w:type="dxa"/>
        </w:tblCellMar>
        <w:tblLook w:val="04A0"/>
      </w:tblPr>
      <w:tblGrid>
        <w:gridCol w:w="1969"/>
        <w:gridCol w:w="8029"/>
      </w:tblGrid>
      <w:tr w:rsidR="00DD3013" w:rsidRPr="00DD3013" w:rsidTr="00734149">
        <w:trPr>
          <w:trHeight w:val="216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Turnover </w:t>
            </w:r>
          </w:p>
        </w:tc>
        <w:tc>
          <w:tcPr>
            <w:tcW w:w="80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Rounding off </w:t>
            </w:r>
          </w:p>
        </w:tc>
      </w:tr>
      <w:tr w:rsidR="00DD3013" w:rsidRPr="00DD3013" w:rsidTr="00734149">
        <w:trPr>
          <w:trHeight w:val="196"/>
        </w:trPr>
        <w:tc>
          <w:tcPr>
            <w:tcW w:w="1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&lt; </w:t>
            </w:r>
            <w:r w:rsidRPr="00DD3013">
              <w:rPr>
                <w:rFonts w:ascii="Rupee Foradian" w:eastAsia="Times New Roman" w:hAnsi="Rupee Foradian" w:cs="Arial"/>
                <w:b/>
                <w:bCs/>
                <w:color w:val="000000"/>
                <w:kern w:val="24"/>
              </w:rPr>
              <w:t>`</w:t>
            </w:r>
            <w:r w:rsidRPr="00DD3013">
              <w:rPr>
                <w:rFonts w:ascii="Rupee Foradian" w:eastAsia="Times New Roman" w:hAnsi="Rupee Foradian" w:cs="Arial"/>
                <w:color w:val="000000"/>
                <w:kern w:val="24"/>
              </w:rPr>
              <w:t xml:space="preserve"> </w:t>
            </w: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>100 crores</w:t>
            </w:r>
          </w:p>
        </w:tc>
        <w:tc>
          <w:tcPr>
            <w:tcW w:w="80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>To the nearest hundreds, thousands, lakhs or millions, or decimals thereof.</w:t>
            </w:r>
          </w:p>
        </w:tc>
      </w:tr>
      <w:tr w:rsidR="00DD3013" w:rsidRPr="00DD3013" w:rsidTr="00734149">
        <w:trPr>
          <w:trHeight w:val="428"/>
        </w:trPr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</w:rPr>
              <w:t xml:space="preserve">&gt; = </w:t>
            </w:r>
            <w:r w:rsidRPr="00DD3013">
              <w:rPr>
                <w:rFonts w:ascii="Rupee Foradian" w:eastAsia="Times New Roman" w:hAnsi="Rupee Foradian" w:cs="Arial"/>
                <w:b/>
                <w:bCs/>
                <w:color w:val="000000"/>
                <w:kern w:val="24"/>
              </w:rPr>
              <w:t>`</w:t>
            </w: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 xml:space="preserve"> 100 crores</w:t>
            </w:r>
          </w:p>
        </w:tc>
        <w:tc>
          <w:tcPr>
            <w:tcW w:w="80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D3013" w:rsidRPr="00DD3013" w:rsidRDefault="00DD3013" w:rsidP="00734149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</w:rPr>
            </w:pPr>
            <w:r w:rsidRPr="00DD3013">
              <w:rPr>
                <w:rFonts w:ascii="Book Antiqua" w:eastAsia="Times New Roman" w:hAnsi="Book Antiqua" w:cs="Arial"/>
                <w:color w:val="000000"/>
                <w:kern w:val="24"/>
              </w:rPr>
              <w:t>To the nearest, lakhs, millions or crores, or decimals thereof.</w:t>
            </w:r>
          </w:p>
        </w:tc>
      </w:tr>
    </w:tbl>
    <w:p w:rsidR="00734149" w:rsidRDefault="00734149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D3013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Overview of Changes – Balance Sheet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Any debit balance in the statement of profit and loss will be disclosed under the head “Reserves and surplus”.</w:t>
      </w:r>
    </w:p>
    <w:p w:rsid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“Sundry debtors” replaced with “trade receivables”.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 xml:space="preserve">“Sundry </w:t>
      </w:r>
      <w:r>
        <w:rPr>
          <w:rFonts w:ascii="Book Antiqua" w:hAnsi="Book Antiqua"/>
        </w:rPr>
        <w:t>creditors</w:t>
      </w:r>
      <w:r w:rsidRPr="00E02D64">
        <w:rPr>
          <w:rFonts w:ascii="Book Antiqua" w:hAnsi="Book Antiqua"/>
        </w:rPr>
        <w:t xml:space="preserve">” replaced with “trade </w:t>
      </w:r>
      <w:r>
        <w:rPr>
          <w:rFonts w:ascii="Book Antiqua" w:hAnsi="Book Antiqua"/>
        </w:rPr>
        <w:t>payables</w:t>
      </w:r>
      <w:r w:rsidRPr="00E02D64">
        <w:rPr>
          <w:rFonts w:ascii="Book Antiqua" w:hAnsi="Book Antiqua"/>
        </w:rPr>
        <w:t>”.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 xml:space="preserve">Separate disclosure of trade receivables outstanding for period &gt; 6 months from the </w:t>
      </w:r>
      <w:r w:rsidRPr="00E02D64">
        <w:rPr>
          <w:rFonts w:ascii="Book Antiqua" w:hAnsi="Book Antiqua"/>
          <w:b/>
          <w:i/>
          <w:u w:val="single"/>
        </w:rPr>
        <w:t>date the bill / invoice is due for receipt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“Capital advances” to be presented under “Loans and advances”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Other commitments to be disclosed along with Capital commitments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Disclosure of all defaults in repayment of loans and interest to be specified in each case</w:t>
      </w:r>
    </w:p>
    <w:p w:rsidR="00E02D64" w:rsidRPr="00E02D64" w:rsidRDefault="00E02D64" w:rsidP="00D331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Specific disclosures for share application money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Overview of Changes Statement of Profit and Loss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 xml:space="preserve">Name changed to “Statement of Profit and Loss” as against “Profit and Loss Account” 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Format specified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Appropriations to form part of “Reserves and surplus”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Change in principle for recognition of dividend from subsidiaries</w:t>
      </w:r>
    </w:p>
    <w:p w:rsidR="00E02D64" w:rsidRPr="00E02D64" w:rsidRDefault="00E02D64" w:rsidP="00D33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b/>
          <w:i/>
        </w:rPr>
      </w:pPr>
      <w:r w:rsidRPr="00E02D64">
        <w:rPr>
          <w:rFonts w:ascii="Book Antiqua" w:hAnsi="Book Antiqua"/>
          <w:b/>
          <w:i/>
        </w:rPr>
        <w:t>Certain disclosure requirements removed like: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Disclosure of managerial remuneration and computation of net profit for calculation of commission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lastRenderedPageBreak/>
        <w:t>Disclosure of licensed capacity, installed capacity and actual production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Disclosure of investments purchased and sold during the year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Balances pertaining to companies under same management</w:t>
      </w:r>
    </w:p>
    <w:p w:rsidR="00E02D64" w:rsidRPr="00E02D64" w:rsidRDefault="00E02D64" w:rsidP="00D331E1">
      <w:pPr>
        <w:pStyle w:val="ListParagraph"/>
        <w:numPr>
          <w:ilvl w:val="0"/>
          <w:numId w:val="5"/>
        </w:numPr>
        <w:spacing w:after="0" w:line="240" w:lineRule="auto"/>
        <w:ind w:left="1080" w:hanging="270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Part IV of the old schedule VI.</w:t>
      </w:r>
    </w:p>
    <w:p w:rsidR="00734149" w:rsidRDefault="00734149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Current Asset: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An asset shall be classified as “Current” if it satisfie</w:t>
      </w:r>
      <w:r>
        <w:rPr>
          <w:rFonts w:ascii="Book Antiqua" w:hAnsi="Book Antiqua"/>
        </w:rPr>
        <w:t>s any of the following criteria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expected to be realised in or is intended for sale or consumption in the company’s normal operating cycle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held primarily for trading purpose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expected to be realized within twelve months after the reporting date or</w:t>
      </w:r>
    </w:p>
    <w:p w:rsidR="00E02D64" w:rsidRPr="00E02D64" w:rsidRDefault="00E02D64" w:rsidP="00D331E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cash or cash equivalent unless it is restricted from being exchanged or used to settle a liability for at least twelve months after the reporting date.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Non-current Asset: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Assets other than current are classified as “Non-current”.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Current liability: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Liability which satisfies any of the following criteria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Expected to be settled in the company’s normal operating cycle;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Held primarily for traded purpose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Due to be settled within twelve months after the reporting date;</w:t>
      </w:r>
    </w:p>
    <w:p w:rsidR="00E02D64" w:rsidRPr="00E02D64" w:rsidRDefault="00E02D64" w:rsidP="00D331E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The company does not have an unconditional right to defer settlement of the liability for at least twelve months after the reporting date.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Non-current</w:t>
      </w:r>
      <w:r w:rsidR="00734149">
        <w:rPr>
          <w:rFonts w:ascii="Book Antiqua" w:hAnsi="Book Antiqua"/>
          <w:b/>
        </w:rPr>
        <w:t xml:space="preserve"> </w:t>
      </w:r>
      <w:r w:rsidR="00734149" w:rsidRPr="00E02D64">
        <w:rPr>
          <w:rFonts w:ascii="Book Antiqua" w:hAnsi="Book Antiqua"/>
          <w:b/>
        </w:rPr>
        <w:t>liability</w:t>
      </w:r>
      <w:r w:rsidRPr="00E02D64">
        <w:rPr>
          <w:rFonts w:ascii="Book Antiqua" w:hAnsi="Book Antiqua"/>
          <w:b/>
        </w:rPr>
        <w:t>: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Liabilities other than current are classified as “Non-current”.</w:t>
      </w:r>
    </w:p>
    <w:p w:rsid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E02D64">
        <w:rPr>
          <w:rFonts w:ascii="Book Antiqua" w:hAnsi="Book Antiqua"/>
          <w:b/>
        </w:rPr>
        <w:t>Operating Cycle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An operating cycle is the time between the acquisition of assets for processing and their realization in cash or cash equivalents.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Where the normal operating cycle cannot be identified, it is assumed to have a duration of 12 months.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Operating cycle may be longer than 12 months (wine manufacturing)</w:t>
      </w:r>
    </w:p>
    <w:p w:rsidR="00E02D64" w:rsidRPr="00E02D64" w:rsidRDefault="00E02D64" w:rsidP="00D331E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Book Antiqua" w:hAnsi="Book Antiqua"/>
        </w:rPr>
      </w:pPr>
      <w:r w:rsidRPr="00E02D64">
        <w:rPr>
          <w:rFonts w:ascii="Book Antiqua" w:hAnsi="Book Antiqua"/>
        </w:rPr>
        <w:t>Where a company is engaged in multiple businesses, operating cycle could be different for each line of business</w:t>
      </w:r>
    </w:p>
    <w:p w:rsidR="00E02D64" w:rsidRPr="00E02D64" w:rsidRDefault="00E02D64" w:rsidP="00D331E1">
      <w:pPr>
        <w:spacing w:after="0" w:line="240" w:lineRule="auto"/>
        <w:jc w:val="both"/>
        <w:rPr>
          <w:rFonts w:ascii="Book Antiqua" w:hAnsi="Book Antiqua"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734149" w:rsidRDefault="00734149" w:rsidP="00734149">
      <w:pPr>
        <w:spacing w:after="0" w:line="240" w:lineRule="auto"/>
        <w:jc w:val="center"/>
        <w:rPr>
          <w:rFonts w:ascii="Book Antiqua" w:hAnsi="Book Antiqua"/>
          <w:b/>
        </w:rPr>
      </w:pPr>
    </w:p>
    <w:p w:rsidR="003C7371" w:rsidRPr="00DD3013" w:rsidRDefault="00AA1AE8" w:rsidP="00734149">
      <w:pPr>
        <w:spacing w:after="0" w:line="240" w:lineRule="auto"/>
        <w:jc w:val="center"/>
        <w:rPr>
          <w:rFonts w:ascii="Book Antiqua" w:hAnsi="Book Antiqua"/>
          <w:b/>
        </w:rPr>
      </w:pPr>
      <w:r w:rsidRPr="00DD3013">
        <w:rPr>
          <w:rFonts w:ascii="Book Antiqua" w:hAnsi="Book Antiqua"/>
          <w:b/>
        </w:rPr>
        <w:t>Format of Balance sheet</w:t>
      </w:r>
    </w:p>
    <w:tbl>
      <w:tblPr>
        <w:tblStyle w:val="TableGrid"/>
        <w:tblW w:w="0" w:type="auto"/>
        <w:tblLook w:val="04A0"/>
      </w:tblPr>
      <w:tblGrid>
        <w:gridCol w:w="5868"/>
        <w:gridCol w:w="1080"/>
        <w:gridCol w:w="1530"/>
        <w:gridCol w:w="1620"/>
      </w:tblGrid>
      <w:tr w:rsidR="00AA1AE8" w:rsidTr="00310A3C">
        <w:tc>
          <w:tcPr>
            <w:tcW w:w="5868" w:type="dxa"/>
            <w:tcBorders>
              <w:bottom w:val="single" w:sz="4" w:space="0" w:color="000000" w:themeColor="text1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Particulars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AA1AE8" w:rsidRPr="00AA1AE8" w:rsidRDefault="00AA1AE8" w:rsidP="00D331E1">
            <w:pPr>
              <w:jc w:val="both"/>
              <w:rPr>
                <w:rFonts w:ascii="Book Antiqua" w:hAnsi="Book Antiqua"/>
              </w:rPr>
            </w:pPr>
            <w:r w:rsidRPr="00AA1AE8">
              <w:rPr>
                <w:rFonts w:ascii="Book Antiqua" w:hAnsi="Book Antiqua"/>
              </w:rPr>
              <w:t>Note</w:t>
            </w:r>
          </w:p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  <w:r w:rsidRPr="00AA1AE8">
              <w:rPr>
                <w:rFonts w:ascii="Book Antiqua" w:hAnsi="Book Antiqua"/>
              </w:rPr>
              <w:t>No.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</w:tcPr>
          <w:p w:rsidR="00AA1AE8" w:rsidRDefault="00864C48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At the end of </w:t>
            </w:r>
            <w:r w:rsidR="006B04A9">
              <w:rPr>
                <w:rFonts w:ascii="Book Antiqua" w:hAnsi="Book Antiqua"/>
              </w:rPr>
              <w:t xml:space="preserve">Current year 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</w:tcPr>
          <w:p w:rsidR="00AA1AE8" w:rsidRDefault="00864C48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At the end of </w:t>
            </w:r>
            <w:r w:rsidR="006B04A9">
              <w:rPr>
                <w:rFonts w:ascii="Book Antiqua" w:hAnsi="Book Antiqua"/>
              </w:rPr>
              <w:t>Last year figures</w:t>
            </w:r>
          </w:p>
        </w:tc>
      </w:tr>
      <w:tr w:rsidR="00AA1AE8" w:rsidTr="00310A3C">
        <w:tc>
          <w:tcPr>
            <w:tcW w:w="5868" w:type="dxa"/>
            <w:tcBorders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I. EQUITY AND LIABILITIES</w:t>
            </w:r>
          </w:p>
        </w:tc>
        <w:tc>
          <w:tcPr>
            <w:tcW w:w="1080" w:type="dxa"/>
            <w:tcBorders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(1) Shareholders’ funds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Share capital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Reserves and surplus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Money received against share</w:t>
            </w:r>
            <w:r>
              <w:rPr>
                <w:rFonts w:ascii="Book Antiqua" w:hAnsi="Book Antiqua"/>
              </w:rPr>
              <w:t xml:space="preserve"> </w:t>
            </w:r>
            <w:r w:rsidRPr="006B04A9">
              <w:rPr>
                <w:rFonts w:ascii="Book Antiqua" w:hAnsi="Book Antiqua"/>
              </w:rPr>
              <w:t>warrants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(2) Share application money pending allotment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AA1AE8" w:rsidTr="00310A3C">
        <w:tc>
          <w:tcPr>
            <w:tcW w:w="5868" w:type="dxa"/>
            <w:tcBorders>
              <w:top w:val="nil"/>
              <w:bottom w:val="nil"/>
            </w:tcBorders>
          </w:tcPr>
          <w:p w:rsidR="00AA1AE8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(3) Non-current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AA1AE8" w:rsidRDefault="00AA1AE8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(a)Long-term borrowings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Deferred tax liabilities (Net)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Other Long term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Long-term provisions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(4) Current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Short-term borrowings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Trade payables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Other current liabilities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310A3C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Short-term provisions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single" w:sz="4" w:space="0" w:color="000000" w:themeColor="text1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TOTAL</w:t>
            </w:r>
          </w:p>
        </w:tc>
        <w:tc>
          <w:tcPr>
            <w:tcW w:w="108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bottom w:val="nil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II. ASSETS</w:t>
            </w:r>
          </w:p>
        </w:tc>
        <w:tc>
          <w:tcPr>
            <w:tcW w:w="108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310A3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310A3C">
              <w:rPr>
                <w:rFonts w:ascii="Book Antiqua" w:hAnsi="Book Antiqua"/>
                <w:b/>
              </w:rPr>
              <w:t>(1) Non-current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Fixed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(i) Tangible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(ii) Intangible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(iii) Capital work-in-progress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(iv)Intangible assets under</w:t>
            </w:r>
            <w:r>
              <w:rPr>
                <w:rFonts w:ascii="Book Antiqua" w:hAnsi="Book Antiqua"/>
              </w:rPr>
              <w:t xml:space="preserve"> </w:t>
            </w:r>
            <w:r w:rsidRPr="006B04A9">
              <w:rPr>
                <w:rFonts w:ascii="Book Antiqua" w:hAnsi="Book Antiqua"/>
              </w:rPr>
              <w:t>development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Non-current investments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Deferred tax assets (net)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Long-term loans and advances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(e) Other non-current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DD3013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DD3013">
              <w:rPr>
                <w:rFonts w:ascii="Book Antiqua" w:hAnsi="Book Antiqua"/>
                <w:b/>
              </w:rPr>
              <w:t>(2) Current assets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(a) Current investments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(b) Inventories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(c) Trade receivables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(d) Cash and cash equivalents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  <w:bottom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(e) Short-term loans and advances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DD3013">
        <w:tc>
          <w:tcPr>
            <w:tcW w:w="5868" w:type="dxa"/>
            <w:tcBorders>
              <w:top w:val="nil"/>
            </w:tcBorders>
          </w:tcPr>
          <w:p w:rsidR="006B04A9" w:rsidRPr="006B04A9" w:rsidRDefault="006B04A9" w:rsidP="00D331E1">
            <w:pPr>
              <w:jc w:val="both"/>
              <w:rPr>
                <w:rFonts w:ascii="Book Antiqua" w:hAnsi="Book Antiqua"/>
              </w:rPr>
            </w:pPr>
            <w:r w:rsidRPr="006B04A9">
              <w:rPr>
                <w:rFonts w:ascii="Book Antiqua" w:hAnsi="Book Antiqua"/>
              </w:rPr>
              <w:t>(f) Other current assets</w:t>
            </w:r>
          </w:p>
        </w:tc>
        <w:tc>
          <w:tcPr>
            <w:tcW w:w="108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6B04A9" w:rsidTr="00AA1AE8">
        <w:tc>
          <w:tcPr>
            <w:tcW w:w="5868" w:type="dxa"/>
          </w:tcPr>
          <w:p w:rsidR="006B04A9" w:rsidRPr="00DD3013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DD3013">
              <w:rPr>
                <w:rFonts w:ascii="Book Antiqua" w:hAnsi="Book Antiqua"/>
                <w:b/>
              </w:rPr>
              <w:t>Total</w:t>
            </w:r>
          </w:p>
        </w:tc>
        <w:tc>
          <w:tcPr>
            <w:tcW w:w="108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</w:tbl>
    <w:p w:rsidR="00AA1AE8" w:rsidRDefault="00AA1AE8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6B04A9" w:rsidRDefault="006B04A9" w:rsidP="00734149">
      <w:pPr>
        <w:spacing w:after="0" w:line="240" w:lineRule="auto"/>
        <w:jc w:val="center"/>
        <w:rPr>
          <w:rFonts w:ascii="Book Antiqua" w:hAnsi="Book Antiqua"/>
          <w:b/>
        </w:rPr>
      </w:pPr>
      <w:r w:rsidRPr="006B04A9">
        <w:rPr>
          <w:rFonts w:ascii="Book Antiqua" w:hAnsi="Book Antiqua"/>
          <w:b/>
        </w:rPr>
        <w:t>Statement of profit and loss</w:t>
      </w:r>
    </w:p>
    <w:tbl>
      <w:tblPr>
        <w:tblStyle w:val="TableGrid"/>
        <w:tblW w:w="0" w:type="auto"/>
        <w:tblLook w:val="04A0"/>
      </w:tblPr>
      <w:tblGrid>
        <w:gridCol w:w="7308"/>
        <w:gridCol w:w="720"/>
        <w:gridCol w:w="1080"/>
        <w:gridCol w:w="990"/>
      </w:tblGrid>
      <w:tr w:rsidR="00263573" w:rsidTr="00263573">
        <w:tc>
          <w:tcPr>
            <w:tcW w:w="7308" w:type="dxa"/>
          </w:tcPr>
          <w:p w:rsidR="006B04A9" w:rsidRPr="0011568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Particulars</w:t>
            </w:r>
          </w:p>
        </w:tc>
        <w:tc>
          <w:tcPr>
            <w:tcW w:w="720" w:type="dxa"/>
          </w:tcPr>
          <w:p w:rsidR="006B04A9" w:rsidRPr="0011568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Note</w:t>
            </w:r>
          </w:p>
          <w:p w:rsidR="006B04A9" w:rsidRPr="0011568C" w:rsidRDefault="006B04A9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No.</w:t>
            </w:r>
          </w:p>
        </w:tc>
        <w:tc>
          <w:tcPr>
            <w:tcW w:w="1080" w:type="dxa"/>
          </w:tcPr>
          <w:p w:rsidR="006B04A9" w:rsidRPr="0011568C" w:rsidRDefault="00864C48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 xml:space="preserve">For the </w:t>
            </w:r>
            <w:r w:rsidR="006B04A9" w:rsidRPr="0011568C">
              <w:rPr>
                <w:rFonts w:ascii="Book Antiqua" w:hAnsi="Book Antiqua"/>
                <w:b/>
              </w:rPr>
              <w:t xml:space="preserve">Current year </w:t>
            </w:r>
          </w:p>
        </w:tc>
        <w:tc>
          <w:tcPr>
            <w:tcW w:w="990" w:type="dxa"/>
          </w:tcPr>
          <w:p w:rsidR="006B04A9" w:rsidRPr="0011568C" w:rsidRDefault="00864C48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 xml:space="preserve">For the </w:t>
            </w:r>
            <w:r w:rsidR="006B04A9" w:rsidRPr="0011568C">
              <w:rPr>
                <w:rFonts w:ascii="Book Antiqua" w:hAnsi="Book Antiqua"/>
                <w:b/>
              </w:rPr>
              <w:t>Last year</w:t>
            </w:r>
          </w:p>
        </w:tc>
      </w:tr>
      <w:tr w:rsidR="00263573" w:rsidTr="00263573">
        <w:tc>
          <w:tcPr>
            <w:tcW w:w="7308" w:type="dxa"/>
          </w:tcPr>
          <w:p w:rsid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>I. Revenue from operations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>II. Other income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bottom w:val="single" w:sz="4" w:space="0" w:color="000000" w:themeColor="text1"/>
            </w:tcBorders>
          </w:tcPr>
          <w:p w:rsidR="006B04A9" w:rsidRPr="00864C48" w:rsidRDefault="0011568C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III. Total Revenue (I + II)</w:t>
            </w: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bottom w:val="nil"/>
            </w:tcBorders>
          </w:tcPr>
          <w:p w:rsidR="006B04A9" w:rsidRPr="00864C48" w:rsidRDefault="0011568C" w:rsidP="00D331E1">
            <w:pPr>
              <w:jc w:val="both"/>
              <w:rPr>
                <w:rFonts w:ascii="Book Antiqua" w:hAnsi="Book Antiqua"/>
                <w:b/>
              </w:rPr>
            </w:pPr>
            <w:r w:rsidRPr="0011568C">
              <w:rPr>
                <w:rFonts w:ascii="Book Antiqua" w:hAnsi="Book Antiqua"/>
                <w:b/>
              </w:rPr>
              <w:t>IV. Expenses:</w:t>
            </w:r>
          </w:p>
        </w:tc>
        <w:tc>
          <w:tcPr>
            <w:tcW w:w="72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Cost of materials consumed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Purchases of Stock-in-Trade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Changes in inventories of</w:t>
            </w:r>
            <w:r>
              <w:rPr>
                <w:rFonts w:ascii="Book Antiqua" w:hAnsi="Book Antiqua"/>
              </w:rPr>
              <w:t xml:space="preserve"> </w:t>
            </w:r>
            <w:r w:rsidRPr="00864C48">
              <w:rPr>
                <w:rFonts w:ascii="Book Antiqua" w:hAnsi="Book Antiqua"/>
              </w:rPr>
              <w:t>finished goods</w:t>
            </w:r>
            <w:r w:rsidR="00263573">
              <w:rPr>
                <w:rFonts w:ascii="Book Antiqua" w:hAnsi="Book Antiqua"/>
              </w:rPr>
              <w:t xml:space="preserve">, WIP </w:t>
            </w:r>
            <w:r w:rsidRPr="00864C48">
              <w:rPr>
                <w:rFonts w:ascii="Book Antiqua" w:hAnsi="Book Antiqua"/>
              </w:rPr>
              <w:t>and Stock-in-Trade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Employee benefits expense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Finance costs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Depreciation and</w:t>
            </w:r>
            <w:r>
              <w:rPr>
                <w:rFonts w:ascii="Book Antiqua" w:hAnsi="Book Antiqua"/>
              </w:rPr>
              <w:t xml:space="preserve"> </w:t>
            </w:r>
            <w:r w:rsidRPr="00864C48">
              <w:rPr>
                <w:rFonts w:ascii="Book Antiqua" w:hAnsi="Book Antiqua"/>
              </w:rPr>
              <w:t>amortization expense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  <w:bottom w:val="single" w:sz="4" w:space="0" w:color="000000" w:themeColor="text1"/>
            </w:tcBorders>
          </w:tcPr>
          <w:p w:rsidR="006B04A9" w:rsidRPr="006B04A9" w:rsidRDefault="00864C48" w:rsidP="00D331E1">
            <w:pPr>
              <w:ind w:left="180"/>
              <w:jc w:val="both"/>
              <w:rPr>
                <w:rFonts w:ascii="Book Antiqua" w:hAnsi="Book Antiqua"/>
              </w:rPr>
            </w:pPr>
            <w:r w:rsidRPr="00864C48">
              <w:rPr>
                <w:rFonts w:ascii="Book Antiqua" w:hAnsi="Book Antiqua"/>
              </w:rPr>
              <w:t>Other expenses</w:t>
            </w:r>
          </w:p>
        </w:tc>
        <w:tc>
          <w:tcPr>
            <w:tcW w:w="720" w:type="dxa"/>
            <w:tcBorders>
              <w:top w:val="nil"/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single" w:sz="4" w:space="0" w:color="000000" w:themeColor="text1"/>
            </w:tcBorders>
          </w:tcPr>
          <w:p w:rsidR="006B04A9" w:rsidRPr="00263573" w:rsidRDefault="00864C48" w:rsidP="00D331E1">
            <w:pPr>
              <w:jc w:val="both"/>
              <w:rPr>
                <w:rFonts w:ascii="Book Antiqua" w:hAnsi="Book Antiqua"/>
                <w:b/>
              </w:rPr>
            </w:pPr>
            <w:r w:rsidRPr="00263573">
              <w:rPr>
                <w:rFonts w:ascii="Book Antiqua" w:hAnsi="Book Antiqua"/>
                <w:b/>
              </w:rPr>
              <w:t>Total expenses</w:t>
            </w:r>
          </w:p>
        </w:tc>
        <w:tc>
          <w:tcPr>
            <w:tcW w:w="720" w:type="dxa"/>
            <w:tcBorders>
              <w:top w:val="single" w:sz="4" w:space="0" w:color="000000" w:themeColor="text1"/>
            </w:tcBorders>
          </w:tcPr>
          <w:p w:rsidR="006B04A9" w:rsidRPr="00263573" w:rsidRDefault="006B04A9" w:rsidP="00D331E1">
            <w:pPr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:rsidR="006B04A9" w:rsidRPr="00263573" w:rsidRDefault="00263573" w:rsidP="00D331E1">
            <w:pPr>
              <w:jc w:val="both"/>
              <w:rPr>
                <w:rFonts w:ascii="Book Antiqua" w:hAnsi="Book Antiqua"/>
                <w:b/>
              </w:rPr>
            </w:pPr>
            <w:r w:rsidRPr="00263573">
              <w:rPr>
                <w:rFonts w:ascii="Book Antiqua" w:hAnsi="Book Antiqua"/>
                <w:b/>
              </w:rPr>
              <w:t>XXX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:rsidR="006B04A9" w:rsidRPr="00263573" w:rsidRDefault="00263573" w:rsidP="00D331E1">
            <w:pPr>
              <w:jc w:val="both"/>
              <w:rPr>
                <w:rFonts w:ascii="Book Antiqua" w:hAnsi="Book Antiqua"/>
                <w:b/>
              </w:rPr>
            </w:pPr>
            <w:r w:rsidRPr="00263573">
              <w:rPr>
                <w:rFonts w:ascii="Book Antiqua" w:hAnsi="Book Antiqua"/>
                <w:b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 xml:space="preserve">V. Profit before </w:t>
            </w:r>
            <w:r w:rsidRPr="007A6A38">
              <w:rPr>
                <w:rFonts w:ascii="Book Antiqua" w:hAnsi="Book Antiqua"/>
                <w:b/>
              </w:rPr>
              <w:t>exceptional</w:t>
            </w:r>
            <w:r w:rsidRPr="0011568C">
              <w:rPr>
                <w:rFonts w:ascii="Book Antiqua" w:hAnsi="Book Antiqua"/>
              </w:rPr>
              <w:t xml:space="preserve"> and</w:t>
            </w:r>
            <w:r>
              <w:rPr>
                <w:rFonts w:ascii="Book Antiqua" w:hAnsi="Book Antiqua"/>
              </w:rPr>
              <w:t xml:space="preserve"> </w:t>
            </w:r>
            <w:r w:rsidRPr="007A6A38">
              <w:rPr>
                <w:rFonts w:ascii="Book Antiqua" w:hAnsi="Book Antiqua"/>
                <w:b/>
              </w:rPr>
              <w:t>extraordinary items</w:t>
            </w:r>
            <w:r w:rsidRPr="0011568C">
              <w:rPr>
                <w:rFonts w:ascii="Book Antiqua" w:hAnsi="Book Antiqua"/>
              </w:rPr>
              <w:t xml:space="preserve"> and </w:t>
            </w:r>
            <w:r w:rsidRPr="007A6A38">
              <w:rPr>
                <w:rFonts w:ascii="Book Antiqua" w:hAnsi="Book Antiqua"/>
                <w:b/>
              </w:rPr>
              <w:t>tax</w:t>
            </w:r>
            <w:r>
              <w:rPr>
                <w:rFonts w:ascii="Book Antiqua" w:hAnsi="Book Antiqua"/>
              </w:rPr>
              <w:t xml:space="preserve"> </w:t>
            </w:r>
            <w:r w:rsidRPr="0011568C">
              <w:rPr>
                <w:rFonts w:ascii="Book Antiqua" w:hAnsi="Book Antiqua"/>
              </w:rPr>
              <w:t>(III-IV)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VI. </w:t>
            </w:r>
            <w:r w:rsidR="00864C48" w:rsidRPr="00864C48">
              <w:rPr>
                <w:rFonts w:ascii="Book Antiqua" w:hAnsi="Book Antiqua"/>
              </w:rPr>
              <w:t>Exceptional items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VII. </w:t>
            </w:r>
            <w:r w:rsidR="00864C48" w:rsidRPr="00864C48">
              <w:rPr>
                <w:rFonts w:ascii="Book Antiqua" w:hAnsi="Book Antiqua"/>
              </w:rPr>
              <w:t>Profit before extraordinary</w:t>
            </w:r>
            <w:r w:rsidR="00864C48">
              <w:rPr>
                <w:rFonts w:ascii="Book Antiqua" w:hAnsi="Book Antiqua"/>
              </w:rPr>
              <w:t xml:space="preserve"> </w:t>
            </w:r>
            <w:r w:rsidR="00864C48" w:rsidRPr="00864C48">
              <w:rPr>
                <w:rFonts w:ascii="Book Antiqua" w:hAnsi="Book Antiqua"/>
              </w:rPr>
              <w:t>items and tax</w:t>
            </w:r>
            <w:r>
              <w:rPr>
                <w:rFonts w:ascii="Book Antiqua" w:hAnsi="Book Antiqua"/>
              </w:rPr>
              <w:t xml:space="preserve"> </w:t>
            </w:r>
            <w:r w:rsidRPr="0011568C">
              <w:rPr>
                <w:rFonts w:ascii="Book Antiqua" w:hAnsi="Book Antiqua"/>
              </w:rPr>
              <w:t>(V - VI)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11568C" w:rsidP="00D331E1">
            <w:pPr>
              <w:jc w:val="both"/>
              <w:rPr>
                <w:rFonts w:ascii="Book Antiqua" w:hAnsi="Book Antiqua"/>
              </w:rPr>
            </w:pPr>
            <w:r w:rsidRPr="0011568C">
              <w:rPr>
                <w:rFonts w:ascii="Book Antiqua" w:hAnsi="Book Antiqua"/>
              </w:rPr>
              <w:t>VIII. Extraordinary Items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bottom w:val="single" w:sz="4" w:space="0" w:color="000000" w:themeColor="text1"/>
            </w:tcBorders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IX. Profit before tax (VII- VIII)</w:t>
            </w:r>
          </w:p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bottom w:val="nil"/>
            </w:tcBorders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</w:t>
            </w:r>
            <w:r w:rsidR="00263573">
              <w:rPr>
                <w:rFonts w:ascii="Book Antiqua" w:hAnsi="Book Antiqua"/>
              </w:rPr>
              <w:t xml:space="preserve">. </w:t>
            </w:r>
            <w:r w:rsidRPr="00023149">
              <w:rPr>
                <w:rFonts w:ascii="Book Antiqua" w:hAnsi="Book Antiqua"/>
              </w:rPr>
              <w:t>Tax expense:</w:t>
            </w:r>
          </w:p>
        </w:tc>
        <w:tc>
          <w:tcPr>
            <w:tcW w:w="72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</w:tr>
      <w:tr w:rsidR="00263573" w:rsidTr="00263573">
        <w:tc>
          <w:tcPr>
            <w:tcW w:w="7308" w:type="dxa"/>
            <w:tcBorders>
              <w:top w:val="nil"/>
              <w:bottom w:val="nil"/>
            </w:tcBorders>
          </w:tcPr>
          <w:p w:rsidR="006B04A9" w:rsidRPr="00023149" w:rsidRDefault="00864C48" w:rsidP="00D331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Current tax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  <w:tcBorders>
              <w:top w:val="nil"/>
            </w:tcBorders>
          </w:tcPr>
          <w:p w:rsidR="006B04A9" w:rsidRPr="00023149" w:rsidRDefault="00864C48" w:rsidP="00D331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Deferred tax</w:t>
            </w:r>
          </w:p>
        </w:tc>
        <w:tc>
          <w:tcPr>
            <w:tcW w:w="720" w:type="dxa"/>
            <w:tcBorders>
              <w:top w:val="nil"/>
            </w:tcBorders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  <w:tcBorders>
              <w:top w:val="nil"/>
            </w:tcBorders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XI. Profit (Loss) for the period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from continuing operations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(VII-VIII)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XII Profit/(loss) from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discontinuing operations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XIII. Tax expense of discontinuing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operations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XIV. Profit/(loss) from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Discontinuing operations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(after tax) (XII-XIII)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  <w:tr w:rsidR="00263573" w:rsidTr="00263573">
        <w:tc>
          <w:tcPr>
            <w:tcW w:w="7308" w:type="dxa"/>
          </w:tcPr>
          <w:p w:rsidR="006B04A9" w:rsidRPr="006B04A9" w:rsidRDefault="00023149" w:rsidP="00D331E1">
            <w:pPr>
              <w:jc w:val="both"/>
              <w:rPr>
                <w:rFonts w:ascii="Book Antiqua" w:hAnsi="Book Antiqua"/>
              </w:rPr>
            </w:pPr>
            <w:r w:rsidRPr="00023149">
              <w:rPr>
                <w:rFonts w:ascii="Book Antiqua" w:hAnsi="Book Antiqua"/>
              </w:rPr>
              <w:t>XV. Profit (Loss) for the period</w:t>
            </w:r>
            <w:r>
              <w:rPr>
                <w:rFonts w:ascii="Book Antiqua" w:hAnsi="Book Antiqua"/>
              </w:rPr>
              <w:t xml:space="preserve"> </w:t>
            </w:r>
            <w:r w:rsidRPr="00023149">
              <w:rPr>
                <w:rFonts w:ascii="Book Antiqua" w:hAnsi="Book Antiqua"/>
              </w:rPr>
              <w:t>(XI + XIV)</w:t>
            </w:r>
          </w:p>
        </w:tc>
        <w:tc>
          <w:tcPr>
            <w:tcW w:w="720" w:type="dxa"/>
          </w:tcPr>
          <w:p w:rsidR="006B04A9" w:rsidRDefault="006B04A9" w:rsidP="00D331E1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08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  <w:tc>
          <w:tcPr>
            <w:tcW w:w="990" w:type="dxa"/>
          </w:tcPr>
          <w:p w:rsidR="006B04A9" w:rsidRDefault="00263573" w:rsidP="00D331E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XXX</w:t>
            </w:r>
          </w:p>
        </w:tc>
      </w:tr>
    </w:tbl>
    <w:p w:rsidR="006B04A9" w:rsidRDefault="006B04A9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Default="00D331E1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:rsidR="00E02D64" w:rsidRDefault="00734149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lastRenderedPageBreak/>
        <w:t>SUB HEADS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Reserves and Surplus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Capital Reserves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Capital Redemption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Securities Premium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Debenture Redemption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Revaluation Reserve</w:t>
      </w:r>
    </w:p>
    <w:p w:rsidR="00D331E1" w:rsidRP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Other Reserves</w:t>
      </w:r>
    </w:p>
    <w:p w:rsidR="00D331E1" w:rsidRDefault="00D331E1" w:rsidP="00D331E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Surplus i.e. balance in Statement of Profit and Loss disclosing allocations and appropriations such as dividend, bonus shares and transfer to/from reserves, etc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</w:p>
    <w:p w:rsidR="00D331E1" w:rsidRDefault="00D331E1" w:rsidP="00734149">
      <w:pPr>
        <w:shd w:val="clear" w:color="auto" w:fill="E7E7E7" w:themeFill="background1" w:themeFillShade="F2"/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NON-CURRENT LIABILITIES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Long-term borrowings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(a) </w:t>
      </w:r>
      <w:r w:rsidRPr="00D331E1">
        <w:rPr>
          <w:rFonts w:ascii="Book Antiqua" w:hAnsi="Book Antiqua"/>
        </w:rPr>
        <w:t>Bonds/debentures;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(b) Term loans;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banks;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other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(c) Deferred payment liabilities;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(d) Deposits;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(e) Loans and advances from related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(f) Long term maturities of finance lease obligations;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(g) Other loans and advances (specify nature).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Other Long-term liabilities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a) Trade payables; and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b) Others.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Long-Term Provisions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a) P</w:t>
      </w:r>
      <w:r w:rsidRPr="00D331E1">
        <w:rPr>
          <w:rFonts w:ascii="Book Antiqua" w:hAnsi="Book Antiqua"/>
        </w:rPr>
        <w:t xml:space="preserve">rovision for employee benefits 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b) </w:t>
      </w:r>
      <w:r w:rsidRPr="00D331E1">
        <w:rPr>
          <w:rFonts w:ascii="Book Antiqua" w:hAnsi="Book Antiqua"/>
        </w:rPr>
        <w:t>others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</w:p>
    <w:p w:rsidR="00D331E1" w:rsidRDefault="00D331E1" w:rsidP="00734149">
      <w:pPr>
        <w:shd w:val="clear" w:color="auto" w:fill="E7E7E7" w:themeFill="background1" w:themeFillShade="F2"/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CURRENT LIABILITIES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D331E1">
        <w:rPr>
          <w:rFonts w:ascii="Book Antiqua" w:hAnsi="Book Antiqua"/>
          <w:b/>
        </w:rPr>
        <w:t>Short-term borrowings;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(a) Loans repayable on demand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banks;</w:t>
      </w:r>
    </w:p>
    <w:p w:rsidR="00D331E1" w:rsidRPr="00D331E1" w:rsidRDefault="00D331E1" w:rsidP="00D331E1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• from other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(b) Loans and advances from related parties;</w:t>
      </w:r>
    </w:p>
    <w:p w:rsidR="00D331E1" w:rsidRP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(c) Deposits;</w:t>
      </w:r>
    </w:p>
    <w:p w:rsidR="00D331E1" w:rsidRDefault="00D331E1" w:rsidP="00D331E1">
      <w:pPr>
        <w:spacing w:after="0" w:line="240" w:lineRule="auto"/>
        <w:jc w:val="both"/>
        <w:rPr>
          <w:rFonts w:ascii="Book Antiqua" w:hAnsi="Book Antiqua"/>
        </w:rPr>
      </w:pPr>
      <w:r w:rsidRPr="00D331E1">
        <w:rPr>
          <w:rFonts w:ascii="Book Antiqua" w:hAnsi="Book Antiqua"/>
        </w:rPr>
        <w:t>(d) Other loans and advances (specify nature).</w:t>
      </w:r>
    </w:p>
    <w:p w:rsidR="001F5BFC" w:rsidRDefault="001F5BFC" w:rsidP="00D331E1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D331E1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Other current liabilities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Current maturities of long-term debt;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Current maturities of finance lease obligations;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Interest accrued but not due on borrowings;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Interest accrued and due on borrowings;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Income received in advance;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lastRenderedPageBreak/>
        <w:t>(f) Unpaid dividends;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Application money received for allotment of securities and due for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refund and interest accrued thereon;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(h) Unpaid matured deposits and interest accrued thereon;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(i) Unpaid matured debentures and interest accrued thereon;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(j) Other payables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Short-term provisions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Provision for employee benefits;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734149" w:rsidRPr="00734149" w:rsidRDefault="00734149" w:rsidP="00734149">
      <w:pPr>
        <w:shd w:val="clear" w:color="auto" w:fill="CFCFCF" w:themeFill="background1" w:themeFillShade="D9"/>
        <w:spacing w:after="0" w:line="240" w:lineRule="auto"/>
        <w:jc w:val="both"/>
        <w:rPr>
          <w:rFonts w:ascii="Book Antiqua" w:hAnsi="Book Antiqua"/>
          <w:b/>
        </w:rPr>
      </w:pPr>
      <w:r w:rsidRPr="00734149">
        <w:rPr>
          <w:rFonts w:ascii="Book Antiqua" w:hAnsi="Book Antiqua"/>
          <w:b/>
        </w:rPr>
        <w:t>NON CURRENT ASSETS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FIXED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Tangible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Land;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Buildings;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Plant and Equipment;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Furniture and Fixtures;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Vehicles;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Office equipment;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Intangible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Goodwill;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Brands /trademarks;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Computer software;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Mastheads and publishing titles;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Mining rights;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Copyrights, and patents and other intellectual property rights,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services and operating rights;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Recipes, formulae, models, designs and prototypes;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(h) Licenses and franchise;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Non-current investments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Investment property;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Investments in Equity Instruments;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Investments in preference shares;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Investments in Government or trust securities;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Investments in debentures or bonds;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Investments in Mutual Funds;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Investments in partnership firms;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(h) Other non-current investments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Long-term loans &amp; advances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Capital Advances;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Security Deposits;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lastRenderedPageBreak/>
        <w:t>(c) Loans and advances to related parties (giving details thereof);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Other loans and advances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Other non-current assets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(i) Long term Trade Receivables (including trade receivables on deferred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credit terms);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(ii) Others (specify nature)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Current investments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Investments in Equity Instruments;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Investment in Preference Shares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Investments in government or trust securities;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Investments in debentures or bonds;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Investments in Mutual Funds;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Investments in partnership firms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Other investments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Inventories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Raw materials;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Work-in-progress;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Finished goods;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Stock-in-trade (in respect of goods acquired for trading);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(e) Stores and spares;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(f) Loose tools;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(g)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Cash and cash equivalents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Balances with banks;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Cheques, drafts on hand;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Cash on hand;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Short-term loans &amp; Advances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Loans and advances to related parties (giving details thereof);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Others (specify nature).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REVENUE FROM OPERATIONS: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revenue from: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(a) Sale of products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Sale of services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Other operating revenues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Less: Excise duty</w:t>
      </w:r>
    </w:p>
    <w:p w:rsidR="001F5BFC" w:rsidRPr="00D27B9C" w:rsidRDefault="001F5BFC" w:rsidP="001F5BFC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Other income: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Interest Income (in case of a company other than a finance company);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Dividend Income;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Net gain / loss on sale of investments;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(d) Other non-operating income (net of expenses directly attributable to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such income).</w:t>
      </w:r>
    </w:p>
    <w:p w:rsidR="001F5BFC" w:rsidRPr="00D27B9C" w:rsidRDefault="001F5BFC" w:rsidP="001F5BFC">
      <w:pPr>
        <w:spacing w:after="0" w:line="240" w:lineRule="auto"/>
        <w:jc w:val="both"/>
        <w:rPr>
          <w:rFonts w:ascii="Book Antiqua" w:hAnsi="Book Antiqua"/>
          <w:sz w:val="8"/>
          <w:szCs w:val="8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lastRenderedPageBreak/>
        <w:t>Employee benefits expense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Salaries and wages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Contribution to provident and other funds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Expense on Employee Stock Option Scheme (ESOP) and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Employee Stock Purchase Plan (ESPP)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Staff welfare expense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Finance costs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(A)</w:t>
      </w:r>
      <w:r w:rsidRPr="001F5BFC">
        <w:rPr>
          <w:rFonts w:ascii="Book Antiqua" w:hAnsi="Book Antiqua"/>
        </w:rPr>
        <w:t>Interest expense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(B) Other borrowing costs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(C) Applicable net gain/loss on foreign currency transactions and</w:t>
      </w:r>
      <w:r>
        <w:rPr>
          <w:rFonts w:ascii="Book Antiqua" w:hAnsi="Book Antiqua"/>
        </w:rPr>
        <w:t xml:space="preserve"> </w:t>
      </w:r>
      <w:r w:rsidRPr="001F5BFC">
        <w:rPr>
          <w:rFonts w:ascii="Book Antiqua" w:hAnsi="Book Antiqua"/>
        </w:rPr>
        <w:t>translation</w:t>
      </w: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p w:rsidR="001F5BFC" w:rsidRDefault="001F5BFC" w:rsidP="001F5BFC">
      <w:pPr>
        <w:spacing w:after="0" w:line="240" w:lineRule="auto"/>
        <w:jc w:val="both"/>
        <w:rPr>
          <w:rFonts w:ascii="Book Antiqua" w:hAnsi="Book Antiqua"/>
          <w:b/>
        </w:rPr>
      </w:pPr>
      <w:r w:rsidRPr="001F5BFC">
        <w:rPr>
          <w:rFonts w:ascii="Book Antiqua" w:hAnsi="Book Antiqua"/>
          <w:b/>
        </w:rPr>
        <w:t>Other Expenses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Consumption of stores and spare parts;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Power and fuel;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Rent;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Repairs to buildings;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Repairs to machinery;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Insurance;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Rates and taxes, excluding taxes on income;</w:t>
      </w:r>
    </w:p>
    <w:p w:rsidR="001F5BFC" w:rsidRPr="001F5BFC" w:rsidRDefault="001F5BFC" w:rsidP="001F5BF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</w:rPr>
      </w:pPr>
      <w:r w:rsidRPr="001F5BFC">
        <w:rPr>
          <w:rFonts w:ascii="Book Antiqua" w:hAnsi="Book Antiqua"/>
        </w:rPr>
        <w:t>Miscellaneous expenses.</w:t>
      </w:r>
    </w:p>
    <w:p w:rsidR="001F5BFC" w:rsidRPr="001F5BFC" w:rsidRDefault="001F5BFC" w:rsidP="001F5BFC">
      <w:pPr>
        <w:spacing w:after="0" w:line="240" w:lineRule="auto"/>
        <w:jc w:val="both"/>
        <w:rPr>
          <w:rFonts w:ascii="Book Antiqua" w:hAnsi="Book Antiqua"/>
        </w:rPr>
      </w:pPr>
    </w:p>
    <w:sectPr w:rsidR="001F5BFC" w:rsidRPr="001F5BFC" w:rsidSect="00E02D6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D2B" w:rsidRDefault="00CD3D2B" w:rsidP="00E02D64">
      <w:pPr>
        <w:spacing w:after="0" w:line="240" w:lineRule="auto"/>
      </w:pPr>
      <w:r>
        <w:separator/>
      </w:r>
    </w:p>
  </w:endnote>
  <w:endnote w:type="continuationSeparator" w:id="1">
    <w:p w:rsidR="00CD3D2B" w:rsidRDefault="00CD3D2B" w:rsidP="00E0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upee Foradian">
    <w:altName w:val="Trebuchet MS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5157"/>
      <w:docPartObj>
        <w:docPartGallery w:val="Page Numbers (Bottom of Page)"/>
        <w:docPartUnique/>
      </w:docPartObj>
    </w:sdtPr>
    <w:sdtContent>
      <w:p w:rsidR="00734149" w:rsidRDefault="00734149">
        <w:pPr>
          <w:pStyle w:val="Footer"/>
          <w:jc w:val="right"/>
        </w:pPr>
        <w:r>
          <w:t xml:space="preserve">Page | </w:t>
        </w:r>
        <w:fldSimple w:instr=" PAGE   \* MERGEFORMAT ">
          <w:r w:rsidR="00DB16CF">
            <w:rPr>
              <w:noProof/>
            </w:rPr>
            <w:t>7</w:t>
          </w:r>
        </w:fldSimple>
        <w:r>
          <w:t xml:space="preserve"> </w:t>
        </w:r>
      </w:p>
    </w:sdtContent>
  </w:sdt>
  <w:p w:rsidR="00734149" w:rsidRDefault="007341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D2B" w:rsidRDefault="00CD3D2B" w:rsidP="00E02D64">
      <w:pPr>
        <w:spacing w:after="0" w:line="240" w:lineRule="auto"/>
      </w:pPr>
      <w:r>
        <w:separator/>
      </w:r>
    </w:p>
  </w:footnote>
  <w:footnote w:type="continuationSeparator" w:id="1">
    <w:p w:rsidR="00CD3D2B" w:rsidRDefault="00CD3D2B" w:rsidP="00E02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EB" w:rsidRDefault="00AE58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4422" o:spid="_x0000_s4098" type="#_x0000_t136" style="position:absolute;margin-left:0;margin-top:0;width:566.25pt;height:154.4pt;rotation:315;z-index:-251654144;mso-position-horizontal:center;mso-position-horizontal-relative:margin;mso-position-vertical:center;mso-position-vertical-relative:margin" o:allowincell="f" fillcolor="#7f7f7f" stroked="f">
          <v:fill opacity=".5"/>
          <v:textpath style="font-family:&quot;Calibri&quot;;font-size:1pt" string="SHAKYAMUNI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11E" w:rsidRPr="00DB16CF" w:rsidRDefault="00DB16CF" w:rsidP="00DB16CF">
    <w:pPr>
      <w:pStyle w:val="Header"/>
      <w:rPr>
        <w:sz w:val="24"/>
        <w:szCs w:val="24"/>
      </w:rPr>
    </w:pPr>
    <w:r>
      <w:rPr>
        <w:sz w:val="72"/>
        <w:szCs w:val="72"/>
      </w:rPr>
      <w:t xml:space="preserve">DEVYASH PATEL       </w:t>
    </w:r>
    <w:hyperlink r:id="rId1" w:history="1">
      <w:r w:rsidRPr="00933BC4">
        <w:rPr>
          <w:rStyle w:val="Hyperlink"/>
          <w:sz w:val="24"/>
          <w:szCs w:val="24"/>
        </w:rPr>
        <w:t>devyashca@yahoo.in</w:t>
      </w:r>
    </w:hyperlink>
    <w:r>
      <w:rPr>
        <w:sz w:val="24"/>
        <w:szCs w:val="24"/>
      </w:rPr>
      <w:t xml:space="preserve">   www.facebook.com/devyashpatel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EB" w:rsidRDefault="00AE58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4421" o:spid="_x0000_s4097" type="#_x0000_t136" style="position:absolute;margin-left:0;margin-top:0;width:566.25pt;height:154.4pt;rotation:315;z-index:-251656192;mso-position-horizontal:center;mso-position-horizontal-relative:margin;mso-position-vertical:center;mso-position-vertical-relative:margin" o:allowincell="f" fillcolor="#7f7f7f" stroked="f">
          <v:fill opacity=".5"/>
          <v:textpath style="font-family:&quot;Calibri&quot;;font-size:1pt" string="SHAKYAMUNI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EFD"/>
    <w:multiLevelType w:val="hybridMultilevel"/>
    <w:tmpl w:val="90E0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A2871"/>
    <w:multiLevelType w:val="hybridMultilevel"/>
    <w:tmpl w:val="5088E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6E01"/>
    <w:multiLevelType w:val="hybridMultilevel"/>
    <w:tmpl w:val="B9B01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2913"/>
    <w:multiLevelType w:val="hybridMultilevel"/>
    <w:tmpl w:val="BA76CA54"/>
    <w:lvl w:ilvl="0" w:tplc="C694C1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116BF"/>
    <w:multiLevelType w:val="hybridMultilevel"/>
    <w:tmpl w:val="A09ACE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140E4"/>
    <w:multiLevelType w:val="hybridMultilevel"/>
    <w:tmpl w:val="6EF41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956A42"/>
    <w:multiLevelType w:val="hybridMultilevel"/>
    <w:tmpl w:val="448A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21E43"/>
    <w:multiLevelType w:val="hybridMultilevel"/>
    <w:tmpl w:val="4FEED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774A6"/>
    <w:multiLevelType w:val="hybridMultilevel"/>
    <w:tmpl w:val="8F2887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7E7CA6"/>
    <w:multiLevelType w:val="hybridMultilevel"/>
    <w:tmpl w:val="6B06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A1AE8"/>
    <w:rsid w:val="00023149"/>
    <w:rsid w:val="000E3A09"/>
    <w:rsid w:val="0011568C"/>
    <w:rsid w:val="001F5BFC"/>
    <w:rsid w:val="00263573"/>
    <w:rsid w:val="00310A3C"/>
    <w:rsid w:val="003C7371"/>
    <w:rsid w:val="0057111E"/>
    <w:rsid w:val="006B04A9"/>
    <w:rsid w:val="00734149"/>
    <w:rsid w:val="007A6A38"/>
    <w:rsid w:val="00821BEB"/>
    <w:rsid w:val="00864C48"/>
    <w:rsid w:val="009970BF"/>
    <w:rsid w:val="00AA1AE8"/>
    <w:rsid w:val="00AE58CA"/>
    <w:rsid w:val="00CD3D2B"/>
    <w:rsid w:val="00D174BF"/>
    <w:rsid w:val="00D27B9C"/>
    <w:rsid w:val="00D331E1"/>
    <w:rsid w:val="00DB16CF"/>
    <w:rsid w:val="00DD3013"/>
    <w:rsid w:val="00DF2CD3"/>
    <w:rsid w:val="00E0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1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01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D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0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2D64"/>
  </w:style>
  <w:style w:type="paragraph" w:styleId="Footer">
    <w:name w:val="footer"/>
    <w:basedOn w:val="Normal"/>
    <w:link w:val="FooterChar"/>
    <w:uiPriority w:val="99"/>
    <w:unhideWhenUsed/>
    <w:rsid w:val="00E0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D64"/>
  </w:style>
  <w:style w:type="character" w:styleId="Hyperlink">
    <w:name w:val="Hyperlink"/>
    <w:basedOn w:val="DefaultParagraphFont"/>
    <w:uiPriority w:val="99"/>
    <w:unhideWhenUsed/>
    <w:rsid w:val="00DB16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vyashca@yaho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55CE-8874-4589-B95B-D4D04090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Naveenab</dc:creator>
  <cp:keywords/>
  <dc:description/>
  <cp:lastModifiedBy>Devyash Patel (C.A)</cp:lastModifiedBy>
  <cp:revision>9</cp:revision>
  <dcterms:created xsi:type="dcterms:W3CDTF">2012-06-23T07:23:00Z</dcterms:created>
  <dcterms:modified xsi:type="dcterms:W3CDTF">2012-09-23T18:25:00Z</dcterms:modified>
</cp:coreProperties>
</file>