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color w:val="7F7F7F" w:themeColor="text1" w:themeTint="80"/>
          <w:sz w:val="32"/>
          <w:szCs w:val="32"/>
        </w:rPr>
        <w:id w:val="1460952"/>
        <w:docPartObj>
          <w:docPartGallery w:val="Cover Pages"/>
          <w:docPartUnique/>
        </w:docPartObj>
      </w:sdtPr>
      <w:sdtEndPr>
        <w:rPr>
          <w:color w:val="auto"/>
          <w:sz w:val="22"/>
          <w:szCs w:val="22"/>
        </w:rPr>
      </w:sdtEndPr>
      <w:sdtContent>
        <w:p w:rsidR="001A2159" w:rsidRDefault="004715AF" w:rsidP="00F21B1F">
          <w:pPr>
            <w:ind w:left="-450"/>
            <w:jc w:val="both"/>
            <w:rPr>
              <w:color w:val="7F7F7F" w:themeColor="text1" w:themeTint="80"/>
              <w:sz w:val="32"/>
              <w:szCs w:val="32"/>
            </w:rPr>
          </w:pPr>
          <w:r>
            <w:rPr>
              <w:noProof/>
              <w:color w:val="7F7F7F" w:themeColor="text1" w:themeTint="80"/>
              <w:sz w:val="32"/>
              <w:szCs w:val="32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-546264</wp:posOffset>
                </wp:positionH>
                <wp:positionV relativeFrom="paragraph">
                  <wp:posOffset>-332509</wp:posOffset>
                </wp:positionV>
                <wp:extent cx="6994566" cy="6614556"/>
                <wp:effectExtent l="19050" t="0" r="0" b="0"/>
                <wp:wrapNone/>
                <wp:docPr id="26" name="Picture 22" descr="images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s (2).jpg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94566" cy="661455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D16249" w:rsidRDefault="00D42B9C" w:rsidP="00F21B1F">
          <w:pPr>
            <w:ind w:left="-450"/>
            <w:jc w:val="both"/>
            <w:rPr>
              <w:color w:val="7F7F7F" w:themeColor="text1" w:themeTint="80"/>
              <w:sz w:val="32"/>
              <w:szCs w:val="32"/>
            </w:rPr>
          </w:pPr>
          <w:r w:rsidRPr="00D42B9C">
            <w:rPr>
              <w:noProof/>
              <w:color w:val="C4BC96" w:themeColor="background2" w:themeShade="BF"/>
              <w:sz w:val="32"/>
              <w:szCs w:val="32"/>
              <w:lang w:eastAsia="zh-TW"/>
            </w:rPr>
            <w:pict>
              <v:group id="_x0000_s1026" style="position:absolute;left:0;text-align:left;margin-left:0;margin-top:12.4pt;width:612pt;height:11in;z-index:-251656192;mso-width-percent:1000;mso-height-percent:1000;mso-position-horizontal-relative:page;mso-position-vertical-relative:page;mso-width-percent:1000;mso-height-percent:1000" coordsize="12240,15840" o:allowincell="f">
                <v:rect id="_x0000_s1027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    <v:rect id="_x0000_s1028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12]" stroked="f"/>
                <w10:wrap anchorx="page" anchory="page"/>
              </v:group>
            </w:pict>
          </w:r>
        </w:p>
        <w:tbl>
          <w:tblPr>
            <w:tblpPr w:leftFromText="187" w:rightFromText="187" w:horzAnchor="margin" w:tblpXSpec="center" w:tblpYSpec="bottom"/>
            <w:tblOverlap w:val="never"/>
            <w:tblW w:w="0" w:type="auto"/>
            <w:tblLook w:val="04A0"/>
          </w:tblPr>
          <w:tblGrid>
            <w:gridCol w:w="9576"/>
          </w:tblGrid>
          <w:tr w:rsidR="00D16249">
            <w:tc>
              <w:tcPr>
                <w:tcW w:w="9576" w:type="dxa"/>
              </w:tcPr>
              <w:p w:rsidR="001532E2" w:rsidRPr="00177DB1" w:rsidRDefault="00312214" w:rsidP="00375CED">
                <w:pPr>
                  <w:pStyle w:val="Heading2"/>
                  <w:rPr>
                    <w:smallCaps/>
                  </w:rPr>
                </w:pPr>
                <w:r w:rsidRPr="00177DB1">
                  <w:rPr>
                    <w:smallCaps/>
                  </w:rPr>
                  <w:t xml:space="preserve">Prepared </w:t>
                </w:r>
                <w:r w:rsidR="00375CED" w:rsidRPr="00177DB1">
                  <w:rPr>
                    <w:smallCaps/>
                  </w:rPr>
                  <w:t>By</w:t>
                </w:r>
                <w:r w:rsidR="001532E2" w:rsidRPr="00177DB1">
                  <w:rPr>
                    <w:smallCaps/>
                  </w:rPr>
                  <w:t>: Abhishek Jain</w:t>
                </w:r>
              </w:p>
            </w:tc>
          </w:tr>
        </w:tbl>
        <w:p w:rsidR="00D16249" w:rsidRDefault="00D16249" w:rsidP="00D03B0C">
          <w:pPr>
            <w:jc w:val="both"/>
            <w:rPr>
              <w:color w:val="7F7F7F" w:themeColor="text1" w:themeTint="80"/>
              <w:sz w:val="32"/>
              <w:szCs w:val="32"/>
            </w:rPr>
          </w:pPr>
        </w:p>
        <w:p w:rsidR="00BC614F" w:rsidRPr="00F454FA" w:rsidRDefault="00D42B9C" w:rsidP="00F454FA">
          <w:pPr>
            <w:tabs>
              <w:tab w:val="left" w:pos="7673"/>
            </w:tabs>
            <w:ind w:left="3600" w:hanging="3600"/>
            <w:jc w:val="both"/>
            <w:rPr>
              <w:rFonts w:asciiTheme="majorHAnsi" w:eastAsiaTheme="majorEastAsia" w:hAnsiTheme="majorHAnsi" w:cstheme="majorBidi"/>
              <w:color w:val="17365D" w:themeColor="text2" w:themeShade="BF"/>
              <w:spacing w:val="5"/>
              <w:kern w:val="28"/>
              <w:sz w:val="52"/>
              <w:szCs w:val="52"/>
            </w:rPr>
            <w:sectPr w:rsidR="00BC614F" w:rsidRPr="00F454FA" w:rsidSect="00D16249">
              <w:footerReference w:type="default" r:id="rId10"/>
              <w:headerReference w:type="first" r:id="rId11"/>
              <w:pgSz w:w="12240" w:h="15840"/>
              <w:pgMar w:top="1440" w:right="1080" w:bottom="1440" w:left="1440" w:header="720" w:footer="720" w:gutter="0"/>
              <w:cols w:space="720"/>
              <w:titlePg/>
              <w:docGrid w:linePitch="360"/>
            </w:sectPr>
          </w:pPr>
          <w:r w:rsidRPr="00D42B9C">
            <w:rPr>
              <w:noProof/>
              <w:color w:val="C4BC96" w:themeColor="background2" w:themeShade="BF"/>
              <w:sz w:val="32"/>
              <w:szCs w:val="32"/>
              <w:lang w:eastAsia="zh-TW"/>
            </w:rPr>
            <w:pict>
              <v:rect id="_x0000_s1029" style="position:absolute;left:0;text-align:left;margin-left:30.6pt;margin-top:562.6pt;width:550.75pt;height:55.9pt;z-index:251659263;mso-width-percent:900;mso-position-horizontal-relative:page;mso-position-vertical-relative:page;mso-width-percent:900" o:allowincell="f" fillcolor="#a5a5a5 [2092]" stroked="f">
                <v:fill opacity="58982f"/>
                <v:textbox style="mso-next-textbox:#_x0000_s1029;mso-fit-shape-to-text:t" inset="18pt,0,18pt,0">
                  <w:txbxContent>
                    <w:tbl>
                      <w:tblPr>
                        <w:tblW w:w="5000" w:type="pct"/>
                        <w:tblCellMar>
                          <w:left w:w="360" w:type="dxa"/>
                          <w:right w:w="360" w:type="dxa"/>
                        </w:tblCellMar>
                        <w:tblLook w:val="04A0"/>
                      </w:tblPr>
                      <w:tblGrid>
                        <w:gridCol w:w="2201"/>
                        <w:gridCol w:w="8805"/>
                      </w:tblGrid>
                      <w:tr w:rsidR="00355880" w:rsidTr="002111F5">
                        <w:trPr>
                          <w:trHeight w:val="1080"/>
                        </w:trPr>
                        <w:tc>
                          <w:tcPr>
                            <w:tcW w:w="1000" w:type="pct"/>
                            <w:shd w:val="clear" w:color="auto" w:fill="000000" w:themeFill="text1"/>
                            <w:vAlign w:val="center"/>
                          </w:tcPr>
                          <w:p w:rsidR="00D16249" w:rsidRPr="004B725F" w:rsidRDefault="00D16249">
                            <w:pPr>
                              <w:pStyle w:val="NoSpacing"/>
                              <w:rPr>
                                <w:rFonts w:ascii="Gabriola" w:hAnsi="Gabriola"/>
                                <w:smallCaps/>
                                <w:sz w:val="40"/>
                                <w:szCs w:val="40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Style w:val="Heading1Char"/>
                              <w:sz w:val="40"/>
                              <w:szCs w:val="40"/>
                            </w:rPr>
                            <w:alias w:val="Title"/>
                            <w:id w:val="5309766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tc>
                              <w:tcPr>
                                <w:tcW w:w="4000" w:type="pct"/>
                                <w:shd w:val="clear" w:color="auto" w:fill="auto"/>
                                <w:vAlign w:val="center"/>
                              </w:tcPr>
                              <w:p w:rsidR="00D16249" w:rsidRDefault="008D141A" w:rsidP="008D141A">
                                <w:pPr>
                                  <w:pStyle w:val="NoSpacing"/>
                                  <w:rPr>
                                    <w:smallCap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 w:rsidRPr="00DD08E6">
                                  <w:rPr>
                                    <w:rStyle w:val="Heading1Char"/>
                                    <w:sz w:val="40"/>
                                    <w:szCs w:val="40"/>
                                  </w:rPr>
                                  <w:t>The Revised Sch</w:t>
                                </w:r>
                                <w:r w:rsidR="00C2503D" w:rsidRPr="00DD08E6">
                                  <w:rPr>
                                    <w:rStyle w:val="Heading1Char"/>
                                    <w:sz w:val="40"/>
                                    <w:szCs w:val="40"/>
                                  </w:rPr>
                                  <w:t>e</w:t>
                                </w:r>
                                <w:r w:rsidRPr="00DD08E6">
                                  <w:rPr>
                                    <w:rStyle w:val="Heading1Char"/>
                                    <w:sz w:val="40"/>
                                    <w:szCs w:val="40"/>
                                  </w:rPr>
                                  <w:t>dule VI:AN Overview &amp; Comparative Study</w:t>
                                </w:r>
                              </w:p>
                            </w:tc>
                          </w:sdtContent>
                        </w:sdt>
                      </w:tr>
                    </w:tbl>
                    <w:p w:rsidR="00D16249" w:rsidRDefault="00D16249">
                      <w:pPr>
                        <w:pStyle w:val="NoSpacing"/>
                        <w:spacing w:line="14" w:lineRule="exact"/>
                      </w:pPr>
                    </w:p>
                  </w:txbxContent>
                </v:textbox>
                <w10:wrap anchorx="page" anchory="page"/>
              </v:rect>
            </w:pict>
          </w:r>
          <w:r w:rsidR="00D16249">
            <w:br w:type="page"/>
          </w:r>
          <w:r w:rsidR="00D43D7B">
            <w:lastRenderedPageBreak/>
            <w:tab/>
          </w:r>
          <w:r w:rsidR="00F474CD">
            <w:tab/>
          </w:r>
        </w:p>
      </w:sdtContent>
    </w:sdt>
    <w:p w:rsidR="00EF5063" w:rsidRPr="006E4815" w:rsidRDefault="00EF5063" w:rsidP="00184871">
      <w:pPr>
        <w:pStyle w:val="Title"/>
        <w:tabs>
          <w:tab w:val="left" w:pos="360"/>
          <w:tab w:val="left" w:pos="9630"/>
        </w:tabs>
        <w:rPr>
          <w:sz w:val="50"/>
          <w:szCs w:val="50"/>
        </w:rPr>
      </w:pPr>
      <w:r w:rsidRPr="006E4815">
        <w:rPr>
          <w:sz w:val="50"/>
          <w:szCs w:val="50"/>
        </w:rPr>
        <w:lastRenderedPageBreak/>
        <w:t>DISCLOSURE</w:t>
      </w:r>
      <w:r w:rsidR="003C0462" w:rsidRPr="006E4815">
        <w:rPr>
          <w:sz w:val="50"/>
          <w:szCs w:val="50"/>
        </w:rPr>
        <w:t xml:space="preserve"> </w:t>
      </w:r>
      <w:r w:rsidRPr="006E4815">
        <w:rPr>
          <w:sz w:val="50"/>
          <w:szCs w:val="50"/>
        </w:rPr>
        <w:t>REQUIREMENTS</w:t>
      </w:r>
      <w:r w:rsidR="002A2E35">
        <w:rPr>
          <w:sz w:val="50"/>
          <w:szCs w:val="50"/>
        </w:rPr>
        <w:t xml:space="preserve"> UNDER REVISED SCHEDULE VI</w:t>
      </w:r>
      <w:r w:rsidRPr="006E4815">
        <w:rPr>
          <w:sz w:val="50"/>
          <w:szCs w:val="50"/>
        </w:rPr>
        <w:t>:</w:t>
      </w:r>
      <w:r w:rsidR="009245EC" w:rsidRPr="006E4815">
        <w:rPr>
          <w:sz w:val="50"/>
          <w:szCs w:val="50"/>
        </w:rPr>
        <w:t xml:space="preserve"> </w:t>
      </w:r>
      <w:r w:rsidRPr="006E4815">
        <w:rPr>
          <w:sz w:val="50"/>
          <w:szCs w:val="50"/>
        </w:rPr>
        <w:t>AN</w:t>
      </w:r>
      <w:r w:rsidR="009245EC" w:rsidRPr="006E4815">
        <w:rPr>
          <w:sz w:val="50"/>
          <w:szCs w:val="50"/>
        </w:rPr>
        <w:t xml:space="preserve"> </w:t>
      </w:r>
      <w:r w:rsidR="004F0358" w:rsidRPr="006E4815">
        <w:rPr>
          <w:sz w:val="50"/>
          <w:szCs w:val="50"/>
        </w:rPr>
        <w:t>OVERVIEW</w:t>
      </w:r>
    </w:p>
    <w:p w:rsidR="0022480C" w:rsidRDefault="0022480C" w:rsidP="00D03B0C">
      <w:pPr>
        <w:widowControl w:val="0"/>
        <w:tabs>
          <w:tab w:val="left" w:pos="360"/>
          <w:tab w:val="left" w:pos="9630"/>
        </w:tabs>
        <w:autoSpaceDE w:val="0"/>
        <w:autoSpaceDN w:val="0"/>
        <w:adjustRightInd w:val="0"/>
        <w:spacing w:before="32" w:line="264" w:lineRule="exact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C85725" w:rsidRDefault="004B0413" w:rsidP="00D03B0C">
      <w:pPr>
        <w:widowControl w:val="0"/>
        <w:tabs>
          <w:tab w:val="left" w:pos="360"/>
          <w:tab w:val="left" w:pos="9630"/>
        </w:tabs>
        <w:autoSpaceDE w:val="0"/>
        <w:autoSpaceDN w:val="0"/>
        <w:adjustRightInd w:val="0"/>
        <w:spacing w:before="32" w:line="264" w:lineRule="exact"/>
        <w:jc w:val="both"/>
        <w:rPr>
          <w:rStyle w:val="SubtleEmphasis"/>
          <w:color w:val="000000" w:themeColor="text1"/>
        </w:rPr>
      </w:pPr>
      <w:r>
        <w:rPr>
          <w:rStyle w:val="SubtleEmphasis"/>
          <w:color w:val="000000" w:themeColor="text1"/>
        </w:rPr>
        <w:t>The Ministry of Corporate Affairs (MCA) has issued Revised Schedule VI which lays down a new format for preparation &amp; presentation of Financial Statements by Indian Companies for the Financial Year commencing on or after 1</w:t>
      </w:r>
      <w:r w:rsidRPr="004B0413">
        <w:rPr>
          <w:rStyle w:val="SubtleEmphasis"/>
          <w:color w:val="000000" w:themeColor="text1"/>
          <w:vertAlign w:val="superscript"/>
        </w:rPr>
        <w:t>st</w:t>
      </w:r>
      <w:r>
        <w:rPr>
          <w:rStyle w:val="SubtleEmphasis"/>
          <w:color w:val="000000" w:themeColor="text1"/>
        </w:rPr>
        <w:t xml:space="preserve"> April 2011. </w:t>
      </w:r>
      <w:r w:rsidR="00CF6D8E" w:rsidRPr="004F00E9">
        <w:rPr>
          <w:rStyle w:val="SubtleEmphasis"/>
          <w:color w:val="000000" w:themeColor="text1"/>
        </w:rPr>
        <w:t xml:space="preserve">The revised Schedule VI </w:t>
      </w:r>
      <w:r w:rsidR="00000560" w:rsidRPr="004F00E9">
        <w:rPr>
          <w:rStyle w:val="SubtleEmphasis"/>
          <w:color w:val="000000" w:themeColor="text1"/>
        </w:rPr>
        <w:t xml:space="preserve">introduces many new concepts and disclosure requirements and also </w:t>
      </w:r>
      <w:r w:rsidR="00000560" w:rsidRPr="004F00E9">
        <w:rPr>
          <w:rStyle w:val="SubtleEmphasis"/>
          <w:color w:val="000000" w:themeColor="text1"/>
        </w:rPr>
        <w:br/>
        <w:t>does away with several statutor</w:t>
      </w:r>
      <w:r w:rsidR="0068735B">
        <w:rPr>
          <w:rStyle w:val="SubtleEmphasis"/>
          <w:color w:val="000000" w:themeColor="text1"/>
        </w:rPr>
        <w:t>y disclosure requirements. The p</w:t>
      </w:r>
      <w:r w:rsidR="00000560" w:rsidRPr="004F00E9">
        <w:rPr>
          <w:rStyle w:val="SubtleEmphasis"/>
          <w:color w:val="000000" w:themeColor="text1"/>
        </w:rPr>
        <w:t>racti</w:t>
      </w:r>
      <w:r w:rsidR="0068735B">
        <w:rPr>
          <w:rStyle w:val="SubtleEmphasis"/>
          <w:color w:val="000000" w:themeColor="text1"/>
        </w:rPr>
        <w:t xml:space="preserve">cal application of the revised </w:t>
      </w:r>
      <w:r w:rsidR="00000560" w:rsidRPr="004F00E9">
        <w:rPr>
          <w:rStyle w:val="SubtleEmphasis"/>
          <w:color w:val="000000" w:themeColor="text1"/>
        </w:rPr>
        <w:t xml:space="preserve">schedule throws up a number of questions, the answers to which </w:t>
      </w:r>
      <w:r w:rsidR="0068735B">
        <w:rPr>
          <w:rStyle w:val="SubtleEmphasis"/>
          <w:color w:val="000000" w:themeColor="text1"/>
        </w:rPr>
        <w:t xml:space="preserve">may not be straight-forward or </w:t>
      </w:r>
      <w:r w:rsidR="00000560" w:rsidRPr="004F00E9">
        <w:rPr>
          <w:rStyle w:val="SubtleEmphasis"/>
          <w:color w:val="000000" w:themeColor="text1"/>
        </w:rPr>
        <w:t xml:space="preserve">need additional guidance from the MCA or the Institute of Chartered Accountants of India </w:t>
      </w:r>
      <w:r w:rsidR="00000560" w:rsidRPr="004F00E9">
        <w:rPr>
          <w:rStyle w:val="SubtleEmphasis"/>
          <w:color w:val="000000" w:themeColor="text1"/>
        </w:rPr>
        <w:br/>
        <w:t xml:space="preserve">(ICAI).  In this document, </w:t>
      </w:r>
      <w:r w:rsidR="00E30A7E" w:rsidRPr="004F00E9">
        <w:rPr>
          <w:rStyle w:val="SubtleEmphasis"/>
          <w:color w:val="000000" w:themeColor="text1"/>
        </w:rPr>
        <w:t>I</w:t>
      </w:r>
      <w:r w:rsidR="007A2609">
        <w:rPr>
          <w:rStyle w:val="SubtleEmphasis"/>
          <w:color w:val="000000" w:themeColor="text1"/>
        </w:rPr>
        <w:t>’ve tried to</w:t>
      </w:r>
      <w:r w:rsidR="00000560" w:rsidRPr="004F00E9">
        <w:rPr>
          <w:rStyle w:val="SubtleEmphasis"/>
          <w:color w:val="000000" w:themeColor="text1"/>
        </w:rPr>
        <w:t xml:space="preserve"> set out an overview of the key changes and implications, critical issue</w:t>
      </w:r>
      <w:r w:rsidR="00C527F8" w:rsidRPr="004F00E9">
        <w:rPr>
          <w:rStyle w:val="SubtleEmphasis"/>
          <w:color w:val="000000" w:themeColor="text1"/>
        </w:rPr>
        <w:t>s and my</w:t>
      </w:r>
      <w:r w:rsidR="00931C0F" w:rsidRPr="004F00E9">
        <w:rPr>
          <w:rStyle w:val="SubtleEmphasis"/>
          <w:color w:val="000000" w:themeColor="text1"/>
        </w:rPr>
        <w:t xml:space="preserve"> perspectives thereon.</w:t>
      </w:r>
    </w:p>
    <w:p w:rsidR="004F2C02" w:rsidRPr="00C85725" w:rsidRDefault="004F2C02" w:rsidP="00D03B0C">
      <w:pPr>
        <w:widowControl w:val="0"/>
        <w:tabs>
          <w:tab w:val="left" w:pos="360"/>
          <w:tab w:val="left" w:pos="9630"/>
        </w:tabs>
        <w:autoSpaceDE w:val="0"/>
        <w:autoSpaceDN w:val="0"/>
        <w:adjustRightInd w:val="0"/>
        <w:spacing w:before="32" w:line="264" w:lineRule="exact"/>
        <w:jc w:val="both"/>
        <w:rPr>
          <w:i/>
          <w:iCs/>
          <w:color w:val="000000" w:themeColor="text1"/>
        </w:rPr>
      </w:pPr>
    </w:p>
    <w:p w:rsidR="0022480C" w:rsidRPr="004F00E9" w:rsidRDefault="00000889" w:rsidP="00D03B0C">
      <w:pPr>
        <w:pStyle w:val="Heading2"/>
        <w:jc w:val="both"/>
      </w:pPr>
      <w:r>
        <w:t>Disclosure</w:t>
      </w:r>
      <w:r w:rsidR="004F1CE8">
        <w:t xml:space="preserve"> Requirement </w:t>
      </w:r>
      <w:r w:rsidR="0022480C" w:rsidRPr="004F00E9">
        <w:t>Related to Balance S</w:t>
      </w:r>
      <w:r w:rsidR="003F3DCA">
        <w:t>heet</w:t>
      </w:r>
    </w:p>
    <w:p w:rsidR="00DD181E" w:rsidRPr="004F00E9" w:rsidRDefault="00DD181E" w:rsidP="00D03B0C">
      <w:pPr>
        <w:widowControl w:val="0"/>
        <w:tabs>
          <w:tab w:val="left" w:pos="360"/>
          <w:tab w:val="left" w:pos="2128"/>
          <w:tab w:val="left" w:pos="9630"/>
        </w:tabs>
        <w:autoSpaceDE w:val="0"/>
        <w:autoSpaceDN w:val="0"/>
        <w:adjustRightInd w:val="0"/>
        <w:spacing w:before="252" w:line="270" w:lineRule="exact"/>
        <w:jc w:val="both"/>
        <w:rPr>
          <w:rFonts w:ascii="Times New Roman" w:hAnsi="Times New Roman" w:cs="Times New Roman"/>
          <w:color w:val="000000" w:themeColor="text1"/>
          <w:spacing w:val="-3"/>
          <w:sz w:val="23"/>
          <w:szCs w:val="23"/>
        </w:rPr>
      </w:pPr>
      <w:r w:rsidRPr="004F00E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1. The revised Schedule VI prescribes a </w:t>
      </w:r>
      <w:r w:rsidRPr="00343AB7">
        <w:rPr>
          <w:rFonts w:ascii="Times New Roman" w:hAnsi="Times New Roman" w:cs="Times New Roman"/>
          <w:b/>
          <w:i/>
          <w:color w:val="000000" w:themeColor="text1"/>
          <w:sz w:val="23"/>
          <w:szCs w:val="23"/>
        </w:rPr>
        <w:t>vertical format for presentation</w:t>
      </w:r>
      <w:r w:rsidRPr="004F00E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of balance sheet. </w:t>
      </w:r>
      <w:r w:rsidRPr="004F00E9">
        <w:rPr>
          <w:rFonts w:ascii="Times New Roman" w:hAnsi="Times New Roman" w:cs="Times New Roman"/>
          <w:color w:val="000000" w:themeColor="text1"/>
          <w:sz w:val="23"/>
          <w:szCs w:val="23"/>
        </w:rPr>
        <w:br/>
      </w:r>
      <w:r w:rsidRPr="004F00E9">
        <w:rPr>
          <w:rFonts w:ascii="Times New Roman" w:hAnsi="Times New Roman" w:cs="Times New Roman"/>
          <w:color w:val="000000" w:themeColor="text1"/>
          <w:w w:val="103"/>
          <w:sz w:val="23"/>
          <w:szCs w:val="23"/>
        </w:rPr>
        <w:t>Thus,</w:t>
      </w:r>
      <w:r w:rsidR="00BF4546" w:rsidRPr="004F00E9">
        <w:rPr>
          <w:rFonts w:ascii="Times New Roman" w:hAnsi="Times New Roman" w:cs="Times New Roman"/>
          <w:color w:val="000000" w:themeColor="text1"/>
          <w:w w:val="103"/>
          <w:sz w:val="23"/>
          <w:szCs w:val="23"/>
        </w:rPr>
        <w:t xml:space="preserve"> </w:t>
      </w:r>
      <w:r w:rsidRPr="004F00E9">
        <w:rPr>
          <w:rFonts w:ascii="Times New Roman" w:hAnsi="Times New Roman" w:cs="Times New Roman"/>
          <w:color w:val="000000" w:themeColor="text1"/>
          <w:w w:val="103"/>
          <w:sz w:val="23"/>
          <w:szCs w:val="23"/>
        </w:rPr>
        <w:t>a company will not have option to use horizontal format for presentation of financial</w:t>
      </w:r>
      <w:r w:rsidR="00BF4546" w:rsidRPr="004F00E9">
        <w:rPr>
          <w:rFonts w:ascii="Times New Roman" w:hAnsi="Times New Roman" w:cs="Times New Roman"/>
          <w:color w:val="000000" w:themeColor="text1"/>
          <w:w w:val="103"/>
          <w:sz w:val="23"/>
          <w:szCs w:val="23"/>
        </w:rPr>
        <w:t xml:space="preserve"> </w:t>
      </w:r>
      <w:r w:rsidR="00691592">
        <w:rPr>
          <w:rFonts w:ascii="Times New Roman" w:hAnsi="Times New Roman" w:cs="Times New Roman"/>
          <w:color w:val="000000" w:themeColor="text1"/>
          <w:spacing w:val="-3"/>
          <w:sz w:val="23"/>
          <w:szCs w:val="23"/>
        </w:rPr>
        <w:t>statements.</w:t>
      </w:r>
    </w:p>
    <w:p w:rsidR="00DD181E" w:rsidRPr="004F00E9" w:rsidRDefault="00DD181E" w:rsidP="00D03B0C">
      <w:pPr>
        <w:widowControl w:val="0"/>
        <w:tabs>
          <w:tab w:val="left" w:pos="360"/>
          <w:tab w:val="left" w:pos="450"/>
          <w:tab w:val="left" w:pos="9630"/>
        </w:tabs>
        <w:autoSpaceDE w:val="0"/>
        <w:autoSpaceDN w:val="0"/>
        <w:adjustRightInd w:val="0"/>
        <w:spacing w:before="270" w:line="270" w:lineRule="exact"/>
        <w:jc w:val="both"/>
        <w:rPr>
          <w:rFonts w:ascii="Times New Roman" w:hAnsi="Times New Roman" w:cs="Times New Roman"/>
          <w:color w:val="000000" w:themeColor="text1"/>
          <w:spacing w:val="-5"/>
          <w:sz w:val="23"/>
          <w:szCs w:val="23"/>
        </w:rPr>
      </w:pPr>
      <w:r w:rsidRPr="004F00E9">
        <w:rPr>
          <w:rFonts w:ascii="Times New Roman" w:hAnsi="Times New Roman" w:cs="Times New Roman"/>
          <w:color w:val="000000" w:themeColor="text1"/>
          <w:spacing w:val="-2"/>
          <w:sz w:val="23"/>
          <w:szCs w:val="23"/>
        </w:rPr>
        <w:t xml:space="preserve">2. </w:t>
      </w:r>
      <w:r w:rsidRPr="002E6308">
        <w:rPr>
          <w:rFonts w:ascii="Times New Roman" w:hAnsi="Times New Roman" w:cs="Times New Roman"/>
          <w:b/>
          <w:i/>
          <w:color w:val="000000" w:themeColor="text1"/>
          <w:spacing w:val="-2"/>
          <w:sz w:val="23"/>
          <w:szCs w:val="23"/>
        </w:rPr>
        <w:t>Current and non-current classification</w:t>
      </w:r>
      <w:r w:rsidRPr="004F00E9">
        <w:rPr>
          <w:rFonts w:ascii="Times New Roman" w:hAnsi="Times New Roman" w:cs="Times New Roman"/>
          <w:color w:val="000000" w:themeColor="text1"/>
          <w:spacing w:val="-2"/>
          <w:sz w:val="23"/>
          <w:szCs w:val="23"/>
        </w:rPr>
        <w:t xml:space="preserve"> has been introduced for presentation of assets and </w:t>
      </w:r>
      <w:r w:rsidRPr="004F00E9">
        <w:rPr>
          <w:rFonts w:ascii="Times New Roman" w:hAnsi="Times New Roman" w:cs="Times New Roman"/>
          <w:color w:val="000000" w:themeColor="text1"/>
          <w:spacing w:val="-2"/>
          <w:sz w:val="23"/>
          <w:szCs w:val="23"/>
        </w:rPr>
        <w:lastRenderedPageBreak/>
        <w:t xml:space="preserve">liabilities in the balance sheet which is more in line with the concepts used under Ind-AS/ IFRS. </w:t>
      </w:r>
      <w:r w:rsidRPr="004F00E9">
        <w:rPr>
          <w:rFonts w:ascii="Times New Roman" w:hAnsi="Times New Roman" w:cs="Times New Roman"/>
          <w:color w:val="000000" w:themeColor="text1"/>
          <w:w w:val="102"/>
          <w:sz w:val="23"/>
          <w:szCs w:val="23"/>
        </w:rPr>
        <w:t xml:space="preserve">The application of this classification will require assets and liabilities to be broken into their </w:t>
      </w:r>
      <w:r w:rsidRPr="004F00E9">
        <w:rPr>
          <w:rFonts w:ascii="Times New Roman" w:hAnsi="Times New Roman" w:cs="Times New Roman"/>
          <w:color w:val="000000" w:themeColor="text1"/>
          <w:spacing w:val="-2"/>
          <w:sz w:val="23"/>
          <w:szCs w:val="23"/>
        </w:rPr>
        <w:t xml:space="preserve">current and </w:t>
      </w:r>
      <w:r w:rsidR="006B0DED" w:rsidRPr="004F00E9">
        <w:rPr>
          <w:rFonts w:ascii="Times New Roman" w:hAnsi="Times New Roman" w:cs="Times New Roman"/>
          <w:color w:val="000000" w:themeColor="text1"/>
          <w:spacing w:val="-2"/>
          <w:sz w:val="23"/>
          <w:szCs w:val="23"/>
        </w:rPr>
        <w:t>noncurrent</w:t>
      </w:r>
      <w:r w:rsidRPr="004F00E9">
        <w:rPr>
          <w:rFonts w:ascii="Times New Roman" w:hAnsi="Times New Roman" w:cs="Times New Roman"/>
          <w:color w:val="000000" w:themeColor="text1"/>
          <w:spacing w:val="-2"/>
          <w:sz w:val="23"/>
          <w:szCs w:val="23"/>
        </w:rPr>
        <w:t xml:space="preserve"> portions.</w:t>
      </w:r>
    </w:p>
    <w:p w:rsidR="00403A00" w:rsidRPr="004F00E9" w:rsidRDefault="00DD181E" w:rsidP="00D03B0C">
      <w:pPr>
        <w:tabs>
          <w:tab w:val="left" w:pos="360"/>
          <w:tab w:val="left" w:pos="450"/>
          <w:tab w:val="left" w:pos="9630"/>
        </w:tabs>
        <w:jc w:val="both"/>
        <w:rPr>
          <w:rFonts w:ascii="Times New Roman" w:hAnsi="Times New Roman" w:cs="Times New Roman"/>
          <w:color w:val="000000" w:themeColor="text1"/>
          <w:spacing w:val="-5"/>
          <w:sz w:val="23"/>
          <w:szCs w:val="23"/>
        </w:rPr>
      </w:pPr>
      <w:r w:rsidRPr="004F00E9">
        <w:rPr>
          <w:rFonts w:ascii="Times New Roman" w:hAnsi="Times New Roman" w:cs="Times New Roman"/>
          <w:color w:val="000000" w:themeColor="text1"/>
          <w:spacing w:val="-4"/>
          <w:sz w:val="23"/>
          <w:szCs w:val="23"/>
        </w:rPr>
        <w:t>3.</w:t>
      </w:r>
      <w:r w:rsidR="00F9606C" w:rsidRPr="004F00E9">
        <w:rPr>
          <w:rFonts w:ascii="Times New Roman" w:hAnsi="Times New Roman" w:cs="Times New Roman"/>
          <w:color w:val="000000" w:themeColor="text1"/>
          <w:spacing w:val="-4"/>
          <w:sz w:val="23"/>
          <w:szCs w:val="23"/>
        </w:rPr>
        <w:t xml:space="preserve"> </w:t>
      </w:r>
      <w:r w:rsidRPr="004F00E9">
        <w:rPr>
          <w:rFonts w:ascii="Times New Roman" w:hAnsi="Times New Roman" w:cs="Times New Roman"/>
          <w:color w:val="000000" w:themeColor="text1"/>
          <w:spacing w:val="-4"/>
          <w:sz w:val="23"/>
          <w:szCs w:val="23"/>
        </w:rPr>
        <w:t xml:space="preserve">Number of shares held by each </w:t>
      </w:r>
      <w:r w:rsidRPr="00E37F30">
        <w:rPr>
          <w:rFonts w:ascii="Times New Roman" w:hAnsi="Times New Roman" w:cs="Times New Roman"/>
          <w:b/>
          <w:i/>
          <w:color w:val="000000" w:themeColor="text1"/>
          <w:spacing w:val="-4"/>
          <w:sz w:val="23"/>
          <w:szCs w:val="23"/>
        </w:rPr>
        <w:t>shareholder holding more than 5% shares</w:t>
      </w:r>
      <w:r w:rsidRPr="004F00E9">
        <w:rPr>
          <w:rFonts w:ascii="Times New Roman" w:hAnsi="Times New Roman" w:cs="Times New Roman"/>
          <w:color w:val="000000" w:themeColor="text1"/>
          <w:spacing w:val="-4"/>
          <w:sz w:val="23"/>
          <w:szCs w:val="23"/>
        </w:rPr>
        <w:t xml:space="preserve"> now needs to be </w:t>
      </w:r>
      <w:r w:rsidRPr="004F00E9">
        <w:rPr>
          <w:rFonts w:ascii="Times New Roman" w:hAnsi="Times New Roman" w:cs="Times New Roman"/>
          <w:color w:val="000000" w:themeColor="text1"/>
          <w:spacing w:val="-1"/>
          <w:sz w:val="23"/>
          <w:szCs w:val="23"/>
        </w:rPr>
        <w:t xml:space="preserve">disclosed. In the absence of any specific indication of the date of holding, we believe that such </w:t>
      </w:r>
      <w:r w:rsidRPr="004F00E9">
        <w:rPr>
          <w:rFonts w:ascii="Times New Roman" w:hAnsi="Times New Roman" w:cs="Times New Roman"/>
          <w:color w:val="000000" w:themeColor="text1"/>
          <w:spacing w:val="-5"/>
          <w:sz w:val="23"/>
          <w:szCs w:val="23"/>
        </w:rPr>
        <w:t>information will be based on shares held as on the balance sheet date.</w:t>
      </w:r>
    </w:p>
    <w:p w:rsidR="00F9606C" w:rsidRPr="004F00E9" w:rsidRDefault="00F9606C" w:rsidP="00D03B0C">
      <w:pPr>
        <w:widowControl w:val="0"/>
        <w:tabs>
          <w:tab w:val="left" w:pos="360"/>
          <w:tab w:val="left" w:pos="450"/>
          <w:tab w:val="left" w:pos="9630"/>
        </w:tabs>
        <w:autoSpaceDE w:val="0"/>
        <w:autoSpaceDN w:val="0"/>
        <w:adjustRightInd w:val="0"/>
        <w:spacing w:before="21" w:line="264" w:lineRule="exact"/>
        <w:jc w:val="both"/>
        <w:rPr>
          <w:color w:val="000000" w:themeColor="text1"/>
          <w:spacing w:val="-2"/>
          <w:sz w:val="23"/>
          <w:szCs w:val="23"/>
        </w:rPr>
      </w:pPr>
      <w:r w:rsidRPr="004F00E9">
        <w:rPr>
          <w:color w:val="000000" w:themeColor="text1"/>
          <w:spacing w:val="-2"/>
          <w:sz w:val="23"/>
          <w:szCs w:val="23"/>
        </w:rPr>
        <w:t xml:space="preserve">4. Details pertaining to aggregate number and class of shares allotted for consideration other </w:t>
      </w:r>
      <w:r w:rsidRPr="004F00E9">
        <w:rPr>
          <w:color w:val="000000" w:themeColor="text1"/>
          <w:w w:val="106"/>
          <w:sz w:val="23"/>
          <w:szCs w:val="23"/>
        </w:rPr>
        <w:t xml:space="preserve">than cash, bonus shares and shares bought back will be disclosed only if such an event has </w:t>
      </w:r>
      <w:r w:rsidRPr="004F00E9">
        <w:rPr>
          <w:color w:val="000000" w:themeColor="text1"/>
          <w:spacing w:val="-2"/>
          <w:sz w:val="23"/>
          <w:szCs w:val="23"/>
        </w:rPr>
        <w:t xml:space="preserve">occurred during a period of 5 years immediately preceding the balance sheet date. </w:t>
      </w:r>
    </w:p>
    <w:p w:rsidR="00B61BC6" w:rsidRPr="004F00E9" w:rsidRDefault="00786BDE" w:rsidP="00D03B0C">
      <w:pPr>
        <w:widowControl w:val="0"/>
        <w:tabs>
          <w:tab w:val="left" w:pos="360"/>
          <w:tab w:val="left" w:pos="9630"/>
        </w:tabs>
        <w:autoSpaceDE w:val="0"/>
        <w:autoSpaceDN w:val="0"/>
        <w:adjustRightInd w:val="0"/>
        <w:spacing w:before="244" w:line="270" w:lineRule="exact"/>
        <w:jc w:val="both"/>
        <w:rPr>
          <w:color w:val="000000" w:themeColor="text1"/>
          <w:spacing w:val="-3"/>
          <w:sz w:val="23"/>
          <w:szCs w:val="23"/>
        </w:rPr>
      </w:pPr>
      <w:r w:rsidRPr="004F00E9">
        <w:rPr>
          <w:color w:val="000000" w:themeColor="text1"/>
          <w:spacing w:val="-2"/>
          <w:sz w:val="23"/>
          <w:szCs w:val="23"/>
        </w:rPr>
        <w:t>5</w:t>
      </w:r>
      <w:r w:rsidR="00B61BC6" w:rsidRPr="004F00E9">
        <w:rPr>
          <w:color w:val="000000" w:themeColor="text1"/>
          <w:spacing w:val="-2"/>
          <w:sz w:val="23"/>
          <w:szCs w:val="23"/>
        </w:rPr>
        <w:t xml:space="preserve">. Any </w:t>
      </w:r>
      <w:r w:rsidR="00B61BC6" w:rsidRPr="002E6308">
        <w:rPr>
          <w:rFonts w:ascii="Times New Roman" w:hAnsi="Times New Roman" w:cs="Times New Roman"/>
          <w:b/>
          <w:i/>
          <w:color w:val="000000" w:themeColor="text1"/>
          <w:spacing w:val="-2"/>
          <w:sz w:val="23"/>
          <w:szCs w:val="23"/>
        </w:rPr>
        <w:t>debit balance in P&amp;L</w:t>
      </w:r>
      <w:r w:rsidR="00B61BC6" w:rsidRPr="004F00E9">
        <w:rPr>
          <w:color w:val="000000" w:themeColor="text1"/>
          <w:spacing w:val="-2"/>
          <w:sz w:val="23"/>
          <w:szCs w:val="23"/>
        </w:rPr>
        <w:t xml:space="preserve"> account will be disclosed under the head “Reserves </w:t>
      </w:r>
      <w:r w:rsidR="007B7A8F">
        <w:rPr>
          <w:color w:val="000000" w:themeColor="text1"/>
          <w:spacing w:val="-2"/>
          <w:sz w:val="23"/>
          <w:szCs w:val="23"/>
        </w:rPr>
        <w:t xml:space="preserve">&amp; </w:t>
      </w:r>
      <w:r w:rsidR="00B61BC6" w:rsidRPr="004F00E9">
        <w:rPr>
          <w:color w:val="000000" w:themeColor="text1"/>
          <w:spacing w:val="-2"/>
          <w:sz w:val="23"/>
          <w:szCs w:val="23"/>
        </w:rPr>
        <w:t>surplus.”</w:t>
      </w:r>
    </w:p>
    <w:p w:rsidR="008A5081" w:rsidRPr="004F00E9" w:rsidRDefault="008A5081" w:rsidP="00D03B0C">
      <w:pPr>
        <w:widowControl w:val="0"/>
        <w:tabs>
          <w:tab w:val="left" w:pos="360"/>
          <w:tab w:val="left" w:pos="2155"/>
          <w:tab w:val="left" w:pos="9630"/>
        </w:tabs>
        <w:autoSpaceDE w:val="0"/>
        <w:autoSpaceDN w:val="0"/>
        <w:adjustRightInd w:val="0"/>
        <w:spacing w:before="8" w:line="266" w:lineRule="exact"/>
        <w:jc w:val="both"/>
        <w:rPr>
          <w:color w:val="000000" w:themeColor="text1"/>
          <w:spacing w:val="-5"/>
          <w:sz w:val="23"/>
          <w:szCs w:val="23"/>
        </w:rPr>
      </w:pPr>
      <w:r w:rsidRPr="004F00E9">
        <w:rPr>
          <w:color w:val="000000" w:themeColor="text1"/>
          <w:spacing w:val="-3"/>
          <w:sz w:val="23"/>
          <w:szCs w:val="23"/>
        </w:rPr>
        <w:t xml:space="preserve">6. </w:t>
      </w:r>
      <w:r w:rsidRPr="004F00E9">
        <w:rPr>
          <w:color w:val="000000" w:themeColor="text1"/>
          <w:w w:val="103"/>
          <w:sz w:val="23"/>
          <w:szCs w:val="23"/>
        </w:rPr>
        <w:t xml:space="preserve">Specific disclosures are prescribed for the share application money. The application </w:t>
      </w:r>
      <w:r w:rsidRPr="004F00E9">
        <w:rPr>
          <w:color w:val="000000" w:themeColor="text1"/>
          <w:w w:val="103"/>
          <w:sz w:val="23"/>
          <w:szCs w:val="23"/>
        </w:rPr>
        <w:br/>
      </w:r>
      <w:r w:rsidRPr="004F00E9">
        <w:rPr>
          <w:color w:val="000000" w:themeColor="text1"/>
          <w:sz w:val="23"/>
          <w:szCs w:val="23"/>
        </w:rPr>
        <w:t xml:space="preserve">money not exceeding the capital offered for issuance and to the extent not refundable will be </w:t>
      </w:r>
      <w:r w:rsidRPr="004F00E9">
        <w:rPr>
          <w:color w:val="000000" w:themeColor="text1"/>
          <w:spacing w:val="-3"/>
          <w:sz w:val="23"/>
          <w:szCs w:val="23"/>
        </w:rPr>
        <w:t xml:space="preserve">shown separately on the face of the balance sheet. The amount in excess of subscription or if the </w:t>
      </w:r>
      <w:r w:rsidRPr="004F00E9">
        <w:rPr>
          <w:color w:val="000000" w:themeColor="text1"/>
          <w:w w:val="106"/>
          <w:sz w:val="23"/>
          <w:szCs w:val="23"/>
        </w:rPr>
        <w:t xml:space="preserve">requirements </w:t>
      </w:r>
      <w:r w:rsidR="006B0DED" w:rsidRPr="004F00E9">
        <w:rPr>
          <w:color w:val="000000" w:themeColor="text1"/>
          <w:w w:val="106"/>
          <w:sz w:val="23"/>
          <w:szCs w:val="23"/>
        </w:rPr>
        <w:t>of minimum</w:t>
      </w:r>
      <w:r w:rsidRPr="004F00E9">
        <w:rPr>
          <w:color w:val="000000" w:themeColor="text1"/>
          <w:w w:val="106"/>
          <w:sz w:val="23"/>
          <w:szCs w:val="23"/>
        </w:rPr>
        <w:t xml:space="preserve"> subscription are not met will be shown under </w:t>
      </w:r>
      <w:r w:rsidRPr="004F00E9">
        <w:rPr>
          <w:color w:val="000000" w:themeColor="text1"/>
          <w:spacing w:val="-3"/>
          <w:sz w:val="23"/>
          <w:szCs w:val="23"/>
        </w:rPr>
        <w:t>“</w:t>
      </w:r>
      <w:r w:rsidR="006B0DED" w:rsidRPr="004F00E9">
        <w:rPr>
          <w:color w:val="000000" w:themeColor="text1"/>
          <w:spacing w:val="-3"/>
          <w:sz w:val="23"/>
          <w:szCs w:val="23"/>
        </w:rPr>
        <w:t>Other current</w:t>
      </w:r>
      <w:r w:rsidRPr="004F00E9">
        <w:rPr>
          <w:color w:val="000000" w:themeColor="text1"/>
          <w:spacing w:val="-3"/>
          <w:sz w:val="23"/>
          <w:szCs w:val="23"/>
        </w:rPr>
        <w:t xml:space="preserve"> </w:t>
      </w:r>
      <w:r w:rsidRPr="004F00E9">
        <w:rPr>
          <w:color w:val="000000" w:themeColor="text1"/>
          <w:spacing w:val="-5"/>
          <w:sz w:val="23"/>
          <w:szCs w:val="23"/>
        </w:rPr>
        <w:t xml:space="preserve">liabilities.” </w:t>
      </w:r>
    </w:p>
    <w:p w:rsidR="002272A9" w:rsidRPr="004F00E9" w:rsidRDefault="00603118" w:rsidP="00D03B0C">
      <w:pPr>
        <w:widowControl w:val="0"/>
        <w:tabs>
          <w:tab w:val="left" w:pos="360"/>
          <w:tab w:val="left" w:pos="2155"/>
          <w:tab w:val="left" w:pos="9630"/>
        </w:tabs>
        <w:autoSpaceDE w:val="0"/>
        <w:autoSpaceDN w:val="0"/>
        <w:adjustRightInd w:val="0"/>
        <w:spacing w:before="8" w:line="266" w:lineRule="exact"/>
        <w:jc w:val="both"/>
        <w:rPr>
          <w:color w:val="000000" w:themeColor="text1"/>
          <w:spacing w:val="-4"/>
          <w:sz w:val="23"/>
          <w:szCs w:val="23"/>
        </w:rPr>
      </w:pPr>
      <w:r w:rsidRPr="004F00E9">
        <w:rPr>
          <w:color w:val="000000" w:themeColor="text1"/>
          <w:spacing w:val="-3"/>
          <w:sz w:val="23"/>
          <w:szCs w:val="23"/>
        </w:rPr>
        <w:t xml:space="preserve">7. </w:t>
      </w:r>
      <w:r w:rsidR="002272A9" w:rsidRPr="004F00E9">
        <w:rPr>
          <w:color w:val="000000" w:themeColor="text1"/>
          <w:sz w:val="23"/>
          <w:szCs w:val="23"/>
        </w:rPr>
        <w:t xml:space="preserve">The term “sundry debtors” has been replaced with the term “trade receivables.” Trade </w:t>
      </w:r>
      <w:r w:rsidR="002272A9" w:rsidRPr="004F00E9">
        <w:rPr>
          <w:color w:val="000000" w:themeColor="text1"/>
          <w:sz w:val="23"/>
          <w:szCs w:val="23"/>
        </w:rPr>
        <w:br/>
      </w:r>
      <w:r w:rsidR="002272A9" w:rsidRPr="004F00E9">
        <w:rPr>
          <w:color w:val="000000" w:themeColor="text1"/>
          <w:spacing w:val="-1"/>
          <w:sz w:val="23"/>
          <w:szCs w:val="23"/>
        </w:rPr>
        <w:t xml:space="preserve">receivables are defined as dues arising only from goods sold or services rendered in the normal </w:t>
      </w:r>
      <w:r w:rsidR="002272A9" w:rsidRPr="004F00E9">
        <w:rPr>
          <w:color w:val="000000" w:themeColor="text1"/>
          <w:spacing w:val="-3"/>
          <w:sz w:val="23"/>
          <w:szCs w:val="23"/>
        </w:rPr>
        <w:t>course of business. Hence, amounts due on account of other contractual obligations, which</w:t>
      </w:r>
      <w:r w:rsidR="00D71B73">
        <w:rPr>
          <w:color w:val="000000" w:themeColor="text1"/>
          <w:spacing w:val="-3"/>
          <w:sz w:val="23"/>
          <w:szCs w:val="23"/>
        </w:rPr>
        <w:t xml:space="preserve"> </w:t>
      </w:r>
      <w:r w:rsidR="002272A9" w:rsidRPr="004F00E9">
        <w:rPr>
          <w:color w:val="000000" w:themeColor="text1"/>
          <w:spacing w:val="-3"/>
          <w:sz w:val="23"/>
          <w:szCs w:val="23"/>
        </w:rPr>
        <w:t>were</w:t>
      </w:r>
      <w:r w:rsidR="00D71B73">
        <w:rPr>
          <w:color w:val="000000" w:themeColor="text1"/>
          <w:spacing w:val="-3"/>
          <w:sz w:val="23"/>
          <w:szCs w:val="23"/>
        </w:rPr>
        <w:t xml:space="preserve"> </w:t>
      </w:r>
      <w:r w:rsidR="002272A9" w:rsidRPr="004F00E9">
        <w:rPr>
          <w:color w:val="000000" w:themeColor="text1"/>
          <w:spacing w:val="-4"/>
          <w:sz w:val="23"/>
          <w:szCs w:val="23"/>
        </w:rPr>
        <w:t>earlier included in the sundry debtors, can no longer be included in the trade receivables</w:t>
      </w:r>
      <w:r w:rsidR="00D71B73">
        <w:rPr>
          <w:color w:val="000000" w:themeColor="text1"/>
          <w:spacing w:val="-4"/>
          <w:sz w:val="23"/>
          <w:szCs w:val="23"/>
        </w:rPr>
        <w:t>.</w:t>
      </w:r>
    </w:p>
    <w:p w:rsidR="002272A9" w:rsidRPr="004F00E9" w:rsidRDefault="00603118" w:rsidP="00D03B0C">
      <w:pPr>
        <w:widowControl w:val="0"/>
        <w:tabs>
          <w:tab w:val="left" w:pos="360"/>
          <w:tab w:val="left" w:pos="9630"/>
        </w:tabs>
        <w:autoSpaceDE w:val="0"/>
        <w:autoSpaceDN w:val="0"/>
        <w:adjustRightInd w:val="0"/>
        <w:spacing w:before="1" w:line="270" w:lineRule="exact"/>
        <w:jc w:val="both"/>
        <w:rPr>
          <w:color w:val="000000" w:themeColor="text1"/>
          <w:spacing w:val="-3"/>
          <w:sz w:val="23"/>
          <w:szCs w:val="23"/>
        </w:rPr>
      </w:pPr>
      <w:r w:rsidRPr="004F00E9">
        <w:rPr>
          <w:color w:val="000000" w:themeColor="text1"/>
          <w:spacing w:val="-3"/>
          <w:sz w:val="23"/>
          <w:szCs w:val="23"/>
        </w:rPr>
        <w:t>8</w:t>
      </w:r>
      <w:r w:rsidR="002272A9" w:rsidRPr="004F00E9">
        <w:rPr>
          <w:color w:val="000000" w:themeColor="text1"/>
          <w:spacing w:val="-3"/>
          <w:sz w:val="23"/>
          <w:szCs w:val="23"/>
        </w:rPr>
        <w:t>.</w:t>
      </w:r>
      <w:r w:rsidR="00DB17EE">
        <w:rPr>
          <w:color w:val="000000" w:themeColor="text1"/>
          <w:spacing w:val="-3"/>
          <w:sz w:val="23"/>
          <w:szCs w:val="23"/>
        </w:rPr>
        <w:t xml:space="preserve"> </w:t>
      </w:r>
      <w:r w:rsidR="002272A9" w:rsidRPr="004F00E9">
        <w:rPr>
          <w:color w:val="000000" w:themeColor="text1"/>
          <w:spacing w:val="-3"/>
          <w:sz w:val="23"/>
          <w:szCs w:val="23"/>
        </w:rPr>
        <w:t xml:space="preserve">The earlier Schedule VI required separate presentation of debtors (i) outstanding for a </w:t>
      </w:r>
      <w:r w:rsidR="002272A9" w:rsidRPr="004F00E9">
        <w:rPr>
          <w:color w:val="000000" w:themeColor="text1"/>
          <w:spacing w:val="-3"/>
          <w:sz w:val="23"/>
          <w:szCs w:val="23"/>
        </w:rPr>
        <w:lastRenderedPageBreak/>
        <w:t xml:space="preserve">period </w:t>
      </w:r>
      <w:r w:rsidR="002272A9" w:rsidRPr="004F00E9">
        <w:rPr>
          <w:color w:val="000000" w:themeColor="text1"/>
          <w:w w:val="104"/>
          <w:sz w:val="23"/>
          <w:szCs w:val="23"/>
        </w:rPr>
        <w:t xml:space="preserve">exceeding 6 months </w:t>
      </w:r>
      <w:r w:rsidR="002272A9" w:rsidRPr="008702EF">
        <w:rPr>
          <w:b/>
          <w:i/>
          <w:color w:val="000000" w:themeColor="text1"/>
          <w:w w:val="104"/>
          <w:sz w:val="23"/>
          <w:szCs w:val="23"/>
        </w:rPr>
        <w:t>(i.e., based on billing date)</w:t>
      </w:r>
      <w:r w:rsidR="002272A9" w:rsidRPr="004F00E9">
        <w:rPr>
          <w:color w:val="000000" w:themeColor="text1"/>
          <w:w w:val="104"/>
          <w:sz w:val="23"/>
          <w:szCs w:val="23"/>
        </w:rPr>
        <w:t xml:space="preserve"> and (ii) other debtors, in a Schedule to the</w:t>
      </w:r>
      <w:r w:rsidR="008702EF">
        <w:rPr>
          <w:color w:val="000000" w:themeColor="text1"/>
          <w:w w:val="104"/>
          <w:sz w:val="23"/>
          <w:szCs w:val="23"/>
        </w:rPr>
        <w:t xml:space="preserve"> </w:t>
      </w:r>
      <w:r w:rsidR="006B0DED" w:rsidRPr="004F00E9">
        <w:rPr>
          <w:color w:val="000000" w:themeColor="text1"/>
          <w:sz w:val="23"/>
          <w:szCs w:val="23"/>
        </w:rPr>
        <w:t>balance sheet</w:t>
      </w:r>
      <w:r w:rsidR="002272A9" w:rsidRPr="004F00E9">
        <w:rPr>
          <w:color w:val="000000" w:themeColor="text1"/>
          <w:sz w:val="23"/>
          <w:szCs w:val="23"/>
        </w:rPr>
        <w:t>.  However</w:t>
      </w:r>
      <w:r w:rsidR="006B0DED" w:rsidRPr="004F00E9">
        <w:rPr>
          <w:color w:val="000000" w:themeColor="text1"/>
          <w:sz w:val="23"/>
          <w:szCs w:val="23"/>
        </w:rPr>
        <w:t>, the revised Schedule VI requires separate disclosure of</w:t>
      </w:r>
      <w:r w:rsidR="002272A9" w:rsidRPr="004F00E9">
        <w:rPr>
          <w:color w:val="000000" w:themeColor="text1"/>
          <w:sz w:val="23"/>
          <w:szCs w:val="23"/>
        </w:rPr>
        <w:t xml:space="preserve"> </w:t>
      </w:r>
      <w:r w:rsidR="002272A9" w:rsidRPr="004F00E9">
        <w:rPr>
          <w:color w:val="000000" w:themeColor="text1"/>
          <w:spacing w:val="-3"/>
          <w:sz w:val="23"/>
          <w:szCs w:val="23"/>
        </w:rPr>
        <w:t xml:space="preserve">“trade </w:t>
      </w:r>
      <w:r w:rsidR="006B0DED" w:rsidRPr="004F00E9">
        <w:rPr>
          <w:color w:val="000000" w:themeColor="text1"/>
          <w:w w:val="103"/>
          <w:sz w:val="23"/>
          <w:szCs w:val="23"/>
        </w:rPr>
        <w:t>Receivables</w:t>
      </w:r>
      <w:r w:rsidR="002272A9" w:rsidRPr="004F00E9">
        <w:rPr>
          <w:color w:val="000000" w:themeColor="text1"/>
          <w:w w:val="103"/>
          <w:sz w:val="23"/>
          <w:szCs w:val="23"/>
        </w:rPr>
        <w:t xml:space="preserve"> outstanding for a period exceeding 6 months from the date they </w:t>
      </w:r>
      <w:r w:rsidR="002272A9" w:rsidRPr="008702EF">
        <w:rPr>
          <w:b/>
          <w:i/>
          <w:color w:val="000000" w:themeColor="text1"/>
          <w:w w:val="103"/>
          <w:sz w:val="23"/>
          <w:szCs w:val="23"/>
        </w:rPr>
        <w:t xml:space="preserve">became due for </w:t>
      </w:r>
      <w:r w:rsidR="002272A9" w:rsidRPr="008702EF">
        <w:rPr>
          <w:b/>
          <w:i/>
          <w:color w:val="000000" w:themeColor="text1"/>
          <w:spacing w:val="-3"/>
          <w:sz w:val="23"/>
          <w:szCs w:val="23"/>
        </w:rPr>
        <w:t>payment</w:t>
      </w:r>
      <w:r w:rsidR="002272A9" w:rsidRPr="008702EF">
        <w:rPr>
          <w:i/>
          <w:color w:val="000000" w:themeColor="text1"/>
          <w:spacing w:val="-3"/>
          <w:sz w:val="23"/>
          <w:szCs w:val="23"/>
        </w:rPr>
        <w:t>.</w:t>
      </w:r>
      <w:r w:rsidR="002272A9" w:rsidRPr="004F00E9">
        <w:rPr>
          <w:color w:val="000000" w:themeColor="text1"/>
          <w:spacing w:val="-3"/>
          <w:sz w:val="23"/>
          <w:szCs w:val="23"/>
        </w:rPr>
        <w:t xml:space="preserve">” </w:t>
      </w:r>
    </w:p>
    <w:p w:rsidR="00603118" w:rsidRPr="004F00E9" w:rsidRDefault="00603118" w:rsidP="00D03B0C">
      <w:pPr>
        <w:widowControl w:val="0"/>
        <w:tabs>
          <w:tab w:val="left" w:pos="360"/>
          <w:tab w:val="left" w:pos="2114"/>
          <w:tab w:val="left" w:pos="9630"/>
        </w:tabs>
        <w:autoSpaceDE w:val="0"/>
        <w:autoSpaceDN w:val="0"/>
        <w:adjustRightInd w:val="0"/>
        <w:spacing w:before="19" w:line="260" w:lineRule="exact"/>
        <w:jc w:val="both"/>
        <w:rPr>
          <w:color w:val="000000" w:themeColor="text1"/>
          <w:spacing w:val="-3"/>
          <w:sz w:val="23"/>
          <w:szCs w:val="23"/>
        </w:rPr>
      </w:pPr>
      <w:r w:rsidRPr="004F00E9">
        <w:rPr>
          <w:color w:val="000000" w:themeColor="text1"/>
          <w:spacing w:val="-3"/>
          <w:sz w:val="23"/>
          <w:szCs w:val="23"/>
        </w:rPr>
        <w:t xml:space="preserve">9.  </w:t>
      </w:r>
      <w:r w:rsidRPr="004F00E9">
        <w:rPr>
          <w:color w:val="000000" w:themeColor="text1"/>
          <w:spacing w:val="-2"/>
          <w:sz w:val="23"/>
          <w:szCs w:val="23"/>
        </w:rPr>
        <w:t xml:space="preserve">In the earlier Schedule VI, details of capital commitments were required to be disclosed. </w:t>
      </w:r>
      <w:r w:rsidRPr="004F00E9">
        <w:rPr>
          <w:color w:val="000000" w:themeColor="text1"/>
          <w:spacing w:val="-3"/>
          <w:sz w:val="23"/>
          <w:szCs w:val="23"/>
        </w:rPr>
        <w:t xml:space="preserve">Under the revised Schedule VI, </w:t>
      </w:r>
      <w:r w:rsidRPr="00691592">
        <w:rPr>
          <w:b/>
          <w:i/>
          <w:color w:val="000000" w:themeColor="text1"/>
          <w:spacing w:val="-3"/>
          <w:sz w:val="23"/>
          <w:szCs w:val="23"/>
        </w:rPr>
        <w:t>all co</w:t>
      </w:r>
      <w:r w:rsidR="0052529E" w:rsidRPr="00691592">
        <w:rPr>
          <w:b/>
          <w:i/>
          <w:color w:val="000000" w:themeColor="text1"/>
          <w:spacing w:val="-3"/>
          <w:sz w:val="23"/>
          <w:szCs w:val="23"/>
        </w:rPr>
        <w:t>mmitments need to be disclosed.</w:t>
      </w:r>
    </w:p>
    <w:p w:rsidR="00C01BB3" w:rsidRPr="00C85725" w:rsidRDefault="00B5599D" w:rsidP="00C85725">
      <w:pPr>
        <w:widowControl w:val="0"/>
        <w:tabs>
          <w:tab w:val="left" w:pos="360"/>
        </w:tabs>
        <w:autoSpaceDE w:val="0"/>
        <w:autoSpaceDN w:val="0"/>
        <w:adjustRightInd w:val="0"/>
        <w:spacing w:before="270" w:line="273" w:lineRule="exact"/>
        <w:jc w:val="both"/>
        <w:rPr>
          <w:color w:val="000000" w:themeColor="text1"/>
          <w:spacing w:val="-3"/>
          <w:sz w:val="23"/>
          <w:szCs w:val="23"/>
        </w:rPr>
      </w:pPr>
      <w:r w:rsidRPr="004F00E9">
        <w:rPr>
          <w:color w:val="000000" w:themeColor="text1"/>
          <w:spacing w:val="-3"/>
          <w:sz w:val="23"/>
          <w:szCs w:val="23"/>
        </w:rPr>
        <w:t>10</w:t>
      </w:r>
      <w:r w:rsidR="003D7130" w:rsidRPr="004F00E9">
        <w:rPr>
          <w:color w:val="000000" w:themeColor="text1"/>
          <w:spacing w:val="-3"/>
          <w:sz w:val="23"/>
          <w:szCs w:val="23"/>
        </w:rPr>
        <w:t xml:space="preserve">. </w:t>
      </w:r>
      <w:r w:rsidR="003D7130" w:rsidRPr="004F00E9">
        <w:rPr>
          <w:color w:val="000000" w:themeColor="text1"/>
          <w:spacing w:val="-3"/>
          <w:sz w:val="23"/>
          <w:szCs w:val="23"/>
        </w:rPr>
        <w:tab/>
      </w:r>
      <w:r w:rsidR="003D7130" w:rsidRPr="004F00E9">
        <w:rPr>
          <w:color w:val="000000" w:themeColor="text1"/>
          <w:sz w:val="23"/>
          <w:szCs w:val="23"/>
        </w:rPr>
        <w:t xml:space="preserve">The revised Schedule VI requires all defaults in repayment of loans and interest to be specified in each case. Earlier, such disclosure was required only in the Companies Auditor’s </w:t>
      </w:r>
      <w:r w:rsidR="003D7130" w:rsidRPr="004F00E9">
        <w:rPr>
          <w:color w:val="000000" w:themeColor="text1"/>
          <w:spacing w:val="-2"/>
          <w:sz w:val="23"/>
          <w:szCs w:val="23"/>
        </w:rPr>
        <w:t xml:space="preserve">Report Order (CARO) section of the audit report and only for defaults in repayment of dues to a </w:t>
      </w:r>
      <w:r w:rsidR="003D7130" w:rsidRPr="004F00E9">
        <w:rPr>
          <w:color w:val="000000" w:themeColor="text1"/>
          <w:spacing w:val="-3"/>
          <w:sz w:val="23"/>
          <w:szCs w:val="23"/>
        </w:rPr>
        <w:t xml:space="preserve">financial institution, bank and debenture holders. </w:t>
      </w:r>
    </w:p>
    <w:p w:rsidR="008C5CE1" w:rsidRPr="00294312" w:rsidRDefault="00000889" w:rsidP="00D03B0C">
      <w:pPr>
        <w:pStyle w:val="Heading2"/>
        <w:jc w:val="both"/>
      </w:pPr>
      <w:r w:rsidRPr="00294312">
        <w:t>Disclosure</w:t>
      </w:r>
      <w:r w:rsidR="00142D27" w:rsidRPr="00294312">
        <w:t xml:space="preserve"> Requirement </w:t>
      </w:r>
      <w:r w:rsidR="008C5CE1" w:rsidRPr="00294312">
        <w:t>related to P&amp;L account</w:t>
      </w:r>
    </w:p>
    <w:p w:rsidR="007F222E" w:rsidRPr="004F00E9" w:rsidRDefault="0087467D" w:rsidP="00D03B0C">
      <w:pPr>
        <w:widowControl w:val="0"/>
        <w:tabs>
          <w:tab w:val="left" w:pos="9720"/>
        </w:tabs>
        <w:autoSpaceDE w:val="0"/>
        <w:autoSpaceDN w:val="0"/>
        <w:adjustRightInd w:val="0"/>
        <w:spacing w:before="264" w:line="264" w:lineRule="exact"/>
        <w:jc w:val="both"/>
        <w:rPr>
          <w:color w:val="000000" w:themeColor="text1"/>
          <w:spacing w:val="-3"/>
          <w:sz w:val="23"/>
          <w:szCs w:val="23"/>
        </w:rPr>
      </w:pPr>
      <w:r w:rsidRPr="004F00E9">
        <w:rPr>
          <w:color w:val="000000" w:themeColor="text1"/>
          <w:spacing w:val="-2"/>
          <w:sz w:val="23"/>
          <w:szCs w:val="23"/>
        </w:rPr>
        <w:t xml:space="preserve">1. In addition to specific disclosures prescribed in the P&amp;L account, any item of income or </w:t>
      </w:r>
      <w:r w:rsidRPr="004F00E9">
        <w:rPr>
          <w:color w:val="000000" w:themeColor="text1"/>
          <w:sz w:val="23"/>
          <w:szCs w:val="23"/>
        </w:rPr>
        <w:t xml:space="preserve">expense which exceeds 1% of the revenue from operations or `100,000, whichever is higher, </w:t>
      </w:r>
      <w:r w:rsidRPr="004F00E9">
        <w:rPr>
          <w:color w:val="000000" w:themeColor="text1"/>
          <w:spacing w:val="-3"/>
          <w:sz w:val="23"/>
          <w:szCs w:val="23"/>
        </w:rPr>
        <w:t>needs to be disclosed separately.</w:t>
      </w:r>
    </w:p>
    <w:p w:rsidR="005B3BA8" w:rsidRPr="004F00E9" w:rsidRDefault="00326BE1" w:rsidP="00D03B0C">
      <w:pPr>
        <w:widowControl w:val="0"/>
        <w:tabs>
          <w:tab w:val="left" w:pos="9720"/>
        </w:tabs>
        <w:autoSpaceDE w:val="0"/>
        <w:autoSpaceDN w:val="0"/>
        <w:adjustRightInd w:val="0"/>
        <w:spacing w:before="264" w:line="264" w:lineRule="exact"/>
        <w:jc w:val="both"/>
        <w:rPr>
          <w:color w:val="000000" w:themeColor="text1"/>
          <w:spacing w:val="-3"/>
          <w:sz w:val="23"/>
          <w:szCs w:val="23"/>
        </w:rPr>
      </w:pPr>
      <w:r w:rsidRPr="004F00E9">
        <w:rPr>
          <w:color w:val="000000" w:themeColor="text1"/>
          <w:sz w:val="23"/>
          <w:szCs w:val="23"/>
        </w:rPr>
        <w:t xml:space="preserve">2. The existing Schedule VI required the parent company to recognize dividends declared by </w:t>
      </w:r>
      <w:r w:rsidRPr="004F00E9">
        <w:rPr>
          <w:color w:val="000000" w:themeColor="text1"/>
          <w:sz w:val="23"/>
          <w:szCs w:val="23"/>
        </w:rPr>
        <w:br/>
      </w:r>
      <w:r w:rsidRPr="004F00E9">
        <w:rPr>
          <w:color w:val="000000" w:themeColor="text1"/>
          <w:w w:val="104"/>
          <w:sz w:val="23"/>
          <w:szCs w:val="23"/>
        </w:rPr>
        <w:t xml:space="preserve">subsidiary companies even after the date of the balance sheet if they were pertaining to the </w:t>
      </w:r>
      <w:r w:rsidRPr="004F00E9">
        <w:rPr>
          <w:color w:val="000000" w:themeColor="text1"/>
          <w:spacing w:val="-1"/>
          <w:sz w:val="23"/>
          <w:szCs w:val="23"/>
        </w:rPr>
        <w:t xml:space="preserve">period ending on or before the balance sheet date. Such requirement no longer exists in revised </w:t>
      </w:r>
      <w:r w:rsidRPr="004F00E9">
        <w:rPr>
          <w:color w:val="000000" w:themeColor="text1"/>
          <w:spacing w:val="-3"/>
          <w:sz w:val="23"/>
          <w:szCs w:val="23"/>
        </w:rPr>
        <w:t>Schedule VI. Accordingly, as per AS 9 Revenue Recognition, dividends should be recognized</w:t>
      </w:r>
      <w:r w:rsidR="00F85638">
        <w:rPr>
          <w:color w:val="000000" w:themeColor="text1"/>
          <w:spacing w:val="-3"/>
          <w:sz w:val="23"/>
          <w:szCs w:val="23"/>
        </w:rPr>
        <w:t xml:space="preserve"> as i</w:t>
      </w:r>
      <w:r w:rsidRPr="004F00E9">
        <w:rPr>
          <w:color w:val="000000" w:themeColor="text1"/>
          <w:spacing w:val="-3"/>
          <w:sz w:val="23"/>
          <w:szCs w:val="23"/>
        </w:rPr>
        <w:t>ncome only when the right to receive dividends is established by the balance sheet date.</w:t>
      </w:r>
    </w:p>
    <w:p w:rsidR="00273E3C" w:rsidRPr="004F00E9" w:rsidRDefault="00B23D3C" w:rsidP="00D03B0C">
      <w:pPr>
        <w:widowControl w:val="0"/>
        <w:tabs>
          <w:tab w:val="left" w:pos="9720"/>
        </w:tabs>
        <w:autoSpaceDE w:val="0"/>
        <w:autoSpaceDN w:val="0"/>
        <w:adjustRightInd w:val="0"/>
        <w:spacing w:before="264" w:line="264" w:lineRule="exact"/>
        <w:jc w:val="both"/>
        <w:rPr>
          <w:color w:val="000000" w:themeColor="text1"/>
          <w:spacing w:val="-3"/>
          <w:sz w:val="23"/>
          <w:szCs w:val="23"/>
        </w:rPr>
      </w:pPr>
      <w:r w:rsidRPr="004F00E9">
        <w:rPr>
          <w:color w:val="000000" w:themeColor="text1"/>
          <w:spacing w:val="-1"/>
          <w:sz w:val="23"/>
          <w:szCs w:val="23"/>
        </w:rPr>
        <w:t xml:space="preserve">3. In respect of companies other than finance companies, revenue from operations need to </w:t>
      </w:r>
      <w:r w:rsidRPr="004F00E9">
        <w:rPr>
          <w:color w:val="000000" w:themeColor="text1"/>
          <w:sz w:val="23"/>
          <w:szCs w:val="23"/>
        </w:rPr>
        <w:t xml:space="preserve">be disclosed separately as revenue from (a) sale of products, (b) sale of services and (c) other </w:t>
      </w:r>
      <w:r w:rsidRPr="004F00E9">
        <w:rPr>
          <w:color w:val="000000" w:themeColor="text1"/>
          <w:spacing w:val="-3"/>
          <w:sz w:val="23"/>
          <w:szCs w:val="23"/>
        </w:rPr>
        <w:t>operating revenues.</w:t>
      </w:r>
    </w:p>
    <w:p w:rsidR="00C2553A" w:rsidRPr="004F00E9" w:rsidRDefault="00212756" w:rsidP="00D03B0C">
      <w:pPr>
        <w:widowControl w:val="0"/>
        <w:tabs>
          <w:tab w:val="left" w:pos="9720"/>
        </w:tabs>
        <w:autoSpaceDE w:val="0"/>
        <w:autoSpaceDN w:val="0"/>
        <w:adjustRightInd w:val="0"/>
        <w:spacing w:before="264" w:line="264" w:lineRule="exact"/>
        <w:jc w:val="both"/>
        <w:rPr>
          <w:color w:val="000000" w:themeColor="text1"/>
          <w:spacing w:val="-4"/>
          <w:sz w:val="23"/>
          <w:szCs w:val="23"/>
        </w:rPr>
      </w:pPr>
      <w:r w:rsidRPr="004F00E9">
        <w:rPr>
          <w:color w:val="000000" w:themeColor="text1"/>
          <w:sz w:val="23"/>
          <w:szCs w:val="23"/>
        </w:rPr>
        <w:lastRenderedPageBreak/>
        <w:t xml:space="preserve">4. Net exchange gain/loss on foreign currency borrowings to the extent considered as an </w:t>
      </w:r>
      <w:r w:rsidRPr="004F00E9">
        <w:rPr>
          <w:color w:val="000000" w:themeColor="text1"/>
          <w:spacing w:val="-4"/>
          <w:sz w:val="23"/>
          <w:szCs w:val="23"/>
        </w:rPr>
        <w:t>adjustment to interest cost needs to be disclosed separately as a finance cost.</w:t>
      </w:r>
    </w:p>
    <w:p w:rsidR="00876549" w:rsidRPr="004F00E9" w:rsidRDefault="00C176B8" w:rsidP="00D03B0C">
      <w:pPr>
        <w:widowControl w:val="0"/>
        <w:autoSpaceDE w:val="0"/>
        <w:autoSpaceDN w:val="0"/>
        <w:adjustRightInd w:val="0"/>
        <w:spacing w:before="45" w:line="260" w:lineRule="exact"/>
        <w:jc w:val="both"/>
        <w:rPr>
          <w:color w:val="000000" w:themeColor="text1"/>
          <w:spacing w:val="-3"/>
          <w:sz w:val="23"/>
          <w:szCs w:val="23"/>
        </w:rPr>
      </w:pPr>
      <w:r w:rsidRPr="004F00E9">
        <w:rPr>
          <w:color w:val="000000" w:themeColor="text1"/>
          <w:sz w:val="23"/>
          <w:szCs w:val="23"/>
        </w:rPr>
        <w:t xml:space="preserve">5. Break-up in terms of quantitative disclosures for significant items of P&amp;L account such as </w:t>
      </w:r>
      <w:r w:rsidRPr="004F00E9">
        <w:rPr>
          <w:color w:val="000000" w:themeColor="text1"/>
          <w:sz w:val="23"/>
          <w:szCs w:val="23"/>
        </w:rPr>
        <w:br/>
        <w:t xml:space="preserve">raw material consumption, stocks, purchases and sales have been simplified and replaced with </w:t>
      </w:r>
      <w:r w:rsidRPr="004F00E9">
        <w:rPr>
          <w:color w:val="000000" w:themeColor="text1"/>
          <w:spacing w:val="-1"/>
          <w:sz w:val="23"/>
          <w:szCs w:val="23"/>
        </w:rPr>
        <w:t xml:space="preserve">the disclosure of “broad heads” only. The broad heads need to be decided based on materiality </w:t>
      </w:r>
      <w:r w:rsidRPr="004F00E9">
        <w:rPr>
          <w:color w:val="000000" w:themeColor="text1"/>
          <w:spacing w:val="-3"/>
          <w:sz w:val="23"/>
          <w:szCs w:val="23"/>
        </w:rPr>
        <w:t>and presentation of true and fair vi</w:t>
      </w:r>
      <w:r w:rsidR="00137263" w:rsidRPr="004F00E9">
        <w:rPr>
          <w:color w:val="000000" w:themeColor="text1"/>
          <w:spacing w:val="-3"/>
          <w:sz w:val="23"/>
          <w:szCs w:val="23"/>
        </w:rPr>
        <w:t>ew of the financial statements.</w:t>
      </w:r>
    </w:p>
    <w:p w:rsidR="009C7987" w:rsidRPr="00294312" w:rsidRDefault="002646A5" w:rsidP="00D03B0C">
      <w:pPr>
        <w:pStyle w:val="Heading2"/>
        <w:jc w:val="both"/>
      </w:pPr>
      <w:r w:rsidRPr="00294312">
        <w:t xml:space="preserve">Simplification </w:t>
      </w:r>
      <w:r w:rsidR="006B0DED" w:rsidRPr="00294312">
        <w:t>of</w:t>
      </w:r>
      <w:r w:rsidR="009C7987" w:rsidRPr="00294312">
        <w:t xml:space="preserve"> </w:t>
      </w:r>
      <w:r w:rsidRPr="00294312">
        <w:t>D</w:t>
      </w:r>
      <w:r w:rsidR="009C7987" w:rsidRPr="00294312">
        <w:t>isclosures</w:t>
      </w:r>
    </w:p>
    <w:p w:rsidR="009C7987" w:rsidRPr="004F00E9" w:rsidRDefault="009C7987" w:rsidP="00D03B0C">
      <w:pPr>
        <w:widowControl w:val="0"/>
        <w:tabs>
          <w:tab w:val="left" w:pos="360"/>
          <w:tab w:val="left" w:pos="9630"/>
          <w:tab w:val="left" w:pos="9720"/>
        </w:tabs>
        <w:autoSpaceDE w:val="0"/>
        <w:autoSpaceDN w:val="0"/>
        <w:adjustRightInd w:val="0"/>
        <w:spacing w:before="263" w:line="280" w:lineRule="exact"/>
        <w:jc w:val="both"/>
        <w:rPr>
          <w:color w:val="000000" w:themeColor="text1"/>
          <w:spacing w:val="-5"/>
          <w:sz w:val="23"/>
          <w:szCs w:val="23"/>
        </w:rPr>
      </w:pPr>
      <w:r w:rsidRPr="004F00E9">
        <w:rPr>
          <w:color w:val="000000" w:themeColor="text1"/>
          <w:sz w:val="23"/>
          <w:szCs w:val="23"/>
        </w:rPr>
        <w:t xml:space="preserve">The revised Schedule VI has removed a number of disclosure requirements that were not </w:t>
      </w:r>
      <w:r w:rsidRPr="004F00E9">
        <w:rPr>
          <w:color w:val="000000" w:themeColor="text1"/>
          <w:spacing w:val="-5"/>
          <w:sz w:val="23"/>
          <w:szCs w:val="23"/>
        </w:rPr>
        <w:t xml:space="preserve">considered relevant in the present day context. Examples include: </w:t>
      </w:r>
    </w:p>
    <w:p w:rsidR="009C7987" w:rsidRPr="004F00E9" w:rsidRDefault="009C7987" w:rsidP="00D03B0C">
      <w:pPr>
        <w:pStyle w:val="ListParagraph"/>
        <w:widowControl w:val="0"/>
        <w:numPr>
          <w:ilvl w:val="0"/>
          <w:numId w:val="3"/>
        </w:numPr>
        <w:tabs>
          <w:tab w:val="left" w:pos="360"/>
          <w:tab w:val="left" w:pos="2150"/>
          <w:tab w:val="left" w:pos="9630"/>
          <w:tab w:val="left" w:pos="9720"/>
        </w:tabs>
        <w:autoSpaceDE w:val="0"/>
        <w:autoSpaceDN w:val="0"/>
        <w:adjustRightInd w:val="0"/>
        <w:spacing w:before="18" w:line="264" w:lineRule="exact"/>
        <w:jc w:val="both"/>
        <w:rPr>
          <w:color w:val="000000" w:themeColor="text1"/>
          <w:sz w:val="23"/>
          <w:szCs w:val="23"/>
        </w:rPr>
      </w:pPr>
      <w:r w:rsidRPr="004F00E9">
        <w:rPr>
          <w:color w:val="000000" w:themeColor="text1"/>
          <w:sz w:val="23"/>
          <w:szCs w:val="23"/>
        </w:rPr>
        <w:t>Disclosures relating to managerial remuneration and computation of net profits for</w:t>
      </w:r>
      <w:r w:rsidR="00754E52" w:rsidRPr="004F00E9">
        <w:rPr>
          <w:color w:val="000000" w:themeColor="text1"/>
          <w:sz w:val="23"/>
          <w:szCs w:val="23"/>
        </w:rPr>
        <w:t xml:space="preserve"> </w:t>
      </w:r>
      <w:r w:rsidRPr="004F00E9">
        <w:rPr>
          <w:color w:val="000000" w:themeColor="text1"/>
          <w:sz w:val="23"/>
          <w:szCs w:val="23"/>
        </w:rPr>
        <w:t>calculation of commission</w:t>
      </w:r>
      <w:r w:rsidR="00503B70" w:rsidRPr="004F00E9">
        <w:rPr>
          <w:color w:val="000000" w:themeColor="text1"/>
          <w:sz w:val="23"/>
          <w:szCs w:val="23"/>
        </w:rPr>
        <w:t>.</w:t>
      </w:r>
    </w:p>
    <w:p w:rsidR="009C7987" w:rsidRPr="004F00E9" w:rsidRDefault="009C7987" w:rsidP="00D03B0C">
      <w:pPr>
        <w:pStyle w:val="ListParagraph"/>
        <w:widowControl w:val="0"/>
        <w:numPr>
          <w:ilvl w:val="0"/>
          <w:numId w:val="3"/>
        </w:numPr>
        <w:tabs>
          <w:tab w:val="left" w:pos="360"/>
          <w:tab w:val="left" w:pos="2102"/>
          <w:tab w:val="left" w:pos="9630"/>
          <w:tab w:val="left" w:pos="9720"/>
        </w:tabs>
        <w:autoSpaceDE w:val="0"/>
        <w:autoSpaceDN w:val="0"/>
        <w:adjustRightInd w:val="0"/>
        <w:spacing w:before="15" w:line="264" w:lineRule="exact"/>
        <w:jc w:val="both"/>
        <w:rPr>
          <w:color w:val="000000" w:themeColor="text1"/>
          <w:sz w:val="23"/>
          <w:szCs w:val="23"/>
        </w:rPr>
      </w:pPr>
      <w:r w:rsidRPr="004F00E9">
        <w:rPr>
          <w:color w:val="000000" w:themeColor="text1"/>
          <w:sz w:val="23"/>
          <w:szCs w:val="23"/>
        </w:rPr>
        <w:t>Information relating to licensed capacity, installed capacity and actual production</w:t>
      </w:r>
      <w:r w:rsidR="00503B70" w:rsidRPr="004F00E9">
        <w:rPr>
          <w:color w:val="000000" w:themeColor="text1"/>
          <w:sz w:val="23"/>
          <w:szCs w:val="23"/>
        </w:rPr>
        <w:t>.</w:t>
      </w:r>
    </w:p>
    <w:p w:rsidR="009C7987" w:rsidRPr="004F00E9" w:rsidRDefault="009C7987" w:rsidP="00D03B0C">
      <w:pPr>
        <w:pStyle w:val="ListParagraph"/>
        <w:widowControl w:val="0"/>
        <w:numPr>
          <w:ilvl w:val="0"/>
          <w:numId w:val="3"/>
        </w:numPr>
        <w:tabs>
          <w:tab w:val="left" w:pos="360"/>
          <w:tab w:val="left" w:pos="2090"/>
          <w:tab w:val="left" w:pos="9630"/>
          <w:tab w:val="left" w:pos="9720"/>
        </w:tabs>
        <w:autoSpaceDE w:val="0"/>
        <w:autoSpaceDN w:val="0"/>
        <w:adjustRightInd w:val="0"/>
        <w:spacing w:before="12" w:line="264" w:lineRule="exact"/>
        <w:jc w:val="both"/>
        <w:rPr>
          <w:color w:val="000000" w:themeColor="text1"/>
          <w:sz w:val="23"/>
          <w:szCs w:val="23"/>
        </w:rPr>
      </w:pPr>
      <w:r w:rsidRPr="004F00E9">
        <w:rPr>
          <w:color w:val="000000" w:themeColor="text1"/>
          <w:sz w:val="23"/>
          <w:szCs w:val="23"/>
        </w:rPr>
        <w:t>Information on investments purchased and sold during the year</w:t>
      </w:r>
      <w:r w:rsidR="00503B70" w:rsidRPr="004F00E9">
        <w:rPr>
          <w:color w:val="000000" w:themeColor="text1"/>
          <w:sz w:val="23"/>
          <w:szCs w:val="23"/>
        </w:rPr>
        <w:t>.</w:t>
      </w:r>
    </w:p>
    <w:p w:rsidR="009C7987" w:rsidRPr="004F00E9" w:rsidRDefault="009C7987" w:rsidP="00D03B0C">
      <w:pPr>
        <w:pStyle w:val="ListParagraph"/>
        <w:widowControl w:val="0"/>
        <w:numPr>
          <w:ilvl w:val="0"/>
          <w:numId w:val="3"/>
        </w:numPr>
        <w:tabs>
          <w:tab w:val="left" w:pos="360"/>
          <w:tab w:val="left" w:pos="2140"/>
          <w:tab w:val="left" w:pos="9630"/>
          <w:tab w:val="left" w:pos="9720"/>
        </w:tabs>
        <w:autoSpaceDE w:val="0"/>
        <w:autoSpaceDN w:val="0"/>
        <w:adjustRightInd w:val="0"/>
        <w:spacing w:before="12" w:line="264" w:lineRule="exact"/>
        <w:jc w:val="both"/>
        <w:rPr>
          <w:color w:val="000000" w:themeColor="text1"/>
          <w:sz w:val="23"/>
          <w:szCs w:val="23"/>
        </w:rPr>
      </w:pPr>
      <w:r w:rsidRPr="004F00E9">
        <w:rPr>
          <w:color w:val="000000" w:themeColor="text1"/>
          <w:sz w:val="23"/>
          <w:szCs w:val="23"/>
        </w:rPr>
        <w:t>Investments, sundry debtors and loans &amp; advances pertaining to companies under the</w:t>
      </w:r>
      <w:r w:rsidR="00BE4EF2" w:rsidRPr="004F00E9">
        <w:rPr>
          <w:color w:val="000000" w:themeColor="text1"/>
          <w:sz w:val="23"/>
          <w:szCs w:val="23"/>
        </w:rPr>
        <w:t xml:space="preserve"> </w:t>
      </w:r>
      <w:r w:rsidR="00787675" w:rsidRPr="004F00E9">
        <w:rPr>
          <w:color w:val="000000" w:themeColor="text1"/>
          <w:spacing w:val="-3"/>
          <w:sz w:val="23"/>
          <w:szCs w:val="23"/>
        </w:rPr>
        <w:t xml:space="preserve">same </w:t>
      </w:r>
      <w:r w:rsidR="00503B70" w:rsidRPr="004F00E9">
        <w:rPr>
          <w:color w:val="000000" w:themeColor="text1"/>
          <w:spacing w:val="-3"/>
          <w:sz w:val="23"/>
          <w:szCs w:val="23"/>
        </w:rPr>
        <w:t>management.</w:t>
      </w:r>
    </w:p>
    <w:p w:rsidR="00754E52" w:rsidRPr="004F00E9" w:rsidRDefault="009C7987" w:rsidP="00D03B0C">
      <w:pPr>
        <w:pStyle w:val="ListParagraph"/>
        <w:widowControl w:val="0"/>
        <w:numPr>
          <w:ilvl w:val="0"/>
          <w:numId w:val="3"/>
        </w:numPr>
        <w:tabs>
          <w:tab w:val="left" w:pos="360"/>
          <w:tab w:val="left" w:pos="9630"/>
          <w:tab w:val="left" w:pos="9720"/>
        </w:tabs>
        <w:autoSpaceDE w:val="0"/>
        <w:autoSpaceDN w:val="0"/>
        <w:adjustRightInd w:val="0"/>
        <w:spacing w:before="13" w:line="264" w:lineRule="exact"/>
        <w:jc w:val="both"/>
        <w:rPr>
          <w:color w:val="000000" w:themeColor="text1"/>
          <w:spacing w:val="-4"/>
          <w:sz w:val="23"/>
          <w:szCs w:val="23"/>
        </w:rPr>
      </w:pPr>
      <w:r w:rsidRPr="004F00E9">
        <w:rPr>
          <w:color w:val="000000" w:themeColor="text1"/>
          <w:spacing w:val="-4"/>
          <w:sz w:val="23"/>
          <w:szCs w:val="23"/>
        </w:rPr>
        <w:t>Commission, brokerage and non-trade discounts</w:t>
      </w:r>
      <w:r w:rsidR="00503B70" w:rsidRPr="004F00E9">
        <w:rPr>
          <w:color w:val="000000" w:themeColor="text1"/>
          <w:spacing w:val="-4"/>
          <w:sz w:val="23"/>
          <w:szCs w:val="23"/>
        </w:rPr>
        <w:t>.</w:t>
      </w:r>
    </w:p>
    <w:p w:rsidR="00D86E42" w:rsidRDefault="009C7987" w:rsidP="00D86E42">
      <w:pPr>
        <w:pStyle w:val="Title"/>
        <w:pBdr>
          <w:bottom w:val="none" w:sz="0" w:space="0" w:color="auto"/>
        </w:pBdr>
        <w:tabs>
          <w:tab w:val="left" w:pos="360"/>
          <w:tab w:val="left" w:pos="9630"/>
        </w:tabs>
        <w:jc w:val="both"/>
        <w:rPr>
          <w:color w:val="000000" w:themeColor="text1"/>
          <w:spacing w:val="-4"/>
          <w:sz w:val="23"/>
          <w:szCs w:val="23"/>
        </w:rPr>
      </w:pPr>
      <w:r w:rsidRPr="004F00E9">
        <w:rPr>
          <w:color w:val="000000" w:themeColor="text1"/>
          <w:w w:val="103"/>
          <w:sz w:val="23"/>
          <w:szCs w:val="23"/>
        </w:rPr>
        <w:t xml:space="preserve">However, there are certain disclosures such as value of imports calculated on CIF basis and </w:t>
      </w:r>
      <w:r w:rsidRPr="004F00E9">
        <w:rPr>
          <w:color w:val="000000" w:themeColor="text1"/>
          <w:spacing w:val="-4"/>
          <w:sz w:val="23"/>
          <w:szCs w:val="23"/>
        </w:rPr>
        <w:t>expenditure in foreign currency etc. that are still conti</w:t>
      </w:r>
      <w:r w:rsidR="00234C9B">
        <w:rPr>
          <w:color w:val="000000" w:themeColor="text1"/>
          <w:spacing w:val="-4"/>
          <w:sz w:val="23"/>
          <w:szCs w:val="23"/>
        </w:rPr>
        <w:t>nuing in the revised Schedule VI</w:t>
      </w:r>
      <w:r w:rsidR="006D158E">
        <w:rPr>
          <w:color w:val="000000" w:themeColor="text1"/>
          <w:spacing w:val="-4"/>
          <w:sz w:val="23"/>
          <w:szCs w:val="23"/>
        </w:rPr>
        <w:t>.</w:t>
      </w:r>
    </w:p>
    <w:p w:rsidR="00D86E42" w:rsidRDefault="00D86E42" w:rsidP="00D86E42">
      <w:pPr>
        <w:pStyle w:val="Title"/>
        <w:pBdr>
          <w:bottom w:val="none" w:sz="0" w:space="0" w:color="auto"/>
        </w:pBdr>
        <w:tabs>
          <w:tab w:val="left" w:pos="360"/>
          <w:tab w:val="left" w:pos="9630"/>
        </w:tabs>
        <w:jc w:val="both"/>
        <w:rPr>
          <w:color w:val="000000" w:themeColor="text1"/>
          <w:spacing w:val="-4"/>
          <w:sz w:val="23"/>
          <w:szCs w:val="23"/>
        </w:rPr>
      </w:pPr>
    </w:p>
    <w:p w:rsidR="008665BF" w:rsidRDefault="005E7E91" w:rsidP="00D04989">
      <w:pPr>
        <w:pStyle w:val="Title"/>
        <w:pBdr>
          <w:bottom w:val="single" w:sz="4" w:space="1" w:color="auto"/>
        </w:pBdr>
        <w:tabs>
          <w:tab w:val="left" w:pos="360"/>
          <w:tab w:val="left" w:pos="9630"/>
        </w:tabs>
        <w:jc w:val="both"/>
        <w:rPr>
          <w:b/>
          <w:bCs/>
          <w:color w:val="4F81BD" w:themeColor="accent1"/>
          <w:spacing w:val="0"/>
          <w:kern w:val="0"/>
          <w:sz w:val="26"/>
          <w:szCs w:val="26"/>
        </w:rPr>
      </w:pPr>
      <w:r w:rsidRPr="00D86E42">
        <w:rPr>
          <w:b/>
          <w:bCs/>
          <w:color w:val="4F81BD" w:themeColor="accent1"/>
          <w:spacing w:val="0"/>
          <w:kern w:val="0"/>
          <w:sz w:val="26"/>
          <w:szCs w:val="26"/>
        </w:rPr>
        <w:t>Concepts For</w:t>
      </w:r>
      <w:r w:rsidR="00AC7118" w:rsidRPr="00D86E42">
        <w:rPr>
          <w:b/>
          <w:bCs/>
          <w:color w:val="4F81BD" w:themeColor="accent1"/>
          <w:spacing w:val="0"/>
          <w:kern w:val="0"/>
          <w:sz w:val="26"/>
          <w:szCs w:val="26"/>
        </w:rPr>
        <w:t xml:space="preserve"> </w:t>
      </w:r>
      <w:r w:rsidRPr="00D86E42">
        <w:rPr>
          <w:b/>
          <w:bCs/>
          <w:color w:val="4F81BD" w:themeColor="accent1"/>
          <w:spacing w:val="0"/>
          <w:kern w:val="0"/>
          <w:sz w:val="26"/>
          <w:szCs w:val="26"/>
        </w:rPr>
        <w:t>Revision Of The Schedule VI</w:t>
      </w:r>
    </w:p>
    <w:p w:rsidR="005E7E91" w:rsidRPr="00EE6039" w:rsidRDefault="00AC07FF" w:rsidP="008665BF">
      <w:pPr>
        <w:pStyle w:val="Title"/>
        <w:pBdr>
          <w:bottom w:val="none" w:sz="0" w:space="0" w:color="auto"/>
        </w:pBdr>
        <w:tabs>
          <w:tab w:val="left" w:pos="360"/>
          <w:tab w:val="left" w:pos="9630"/>
        </w:tabs>
        <w:jc w:val="both"/>
        <w:rPr>
          <w:rFonts w:asciiTheme="minorHAnsi" w:eastAsiaTheme="minorEastAsia" w:hAnsiTheme="minorHAnsi"/>
          <w:b/>
          <w:color w:val="000000" w:themeColor="text1"/>
          <w:spacing w:val="-3"/>
          <w:sz w:val="23"/>
          <w:szCs w:val="23"/>
        </w:rPr>
      </w:pPr>
      <w:r w:rsidRPr="00EE6039">
        <w:rPr>
          <w:rFonts w:asciiTheme="minorHAnsi" w:eastAsiaTheme="minorEastAsia" w:hAnsiTheme="minorHAnsi"/>
          <w:color w:val="000000" w:themeColor="text1"/>
          <w:spacing w:val="-3"/>
          <w:sz w:val="23"/>
          <w:szCs w:val="23"/>
        </w:rPr>
        <w:t xml:space="preserve">The Schedule VI’ to the </w:t>
      </w:r>
      <w:r w:rsidR="005E7E91" w:rsidRPr="00EE6039">
        <w:rPr>
          <w:rFonts w:asciiTheme="minorHAnsi" w:eastAsiaTheme="minorEastAsia" w:hAnsiTheme="minorHAnsi"/>
          <w:color w:val="000000" w:themeColor="text1"/>
          <w:spacing w:val="-3"/>
          <w:sz w:val="23"/>
          <w:szCs w:val="23"/>
        </w:rPr>
        <w:t xml:space="preserve">Companies Act, 1956 has been prepared on the following concept: </w:t>
      </w:r>
    </w:p>
    <w:p w:rsidR="005E7E91" w:rsidRPr="00D172A3" w:rsidRDefault="005E7E9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D172A3">
        <w:rPr>
          <w:color w:val="000000"/>
          <w:spacing w:val="-1"/>
          <w:sz w:val="23"/>
          <w:szCs w:val="23"/>
        </w:rPr>
        <w:t xml:space="preserve">To have a </w:t>
      </w:r>
      <w:r w:rsidRPr="0040741C">
        <w:rPr>
          <w:b/>
          <w:i/>
          <w:color w:val="000000"/>
          <w:spacing w:val="-1"/>
          <w:sz w:val="23"/>
          <w:szCs w:val="23"/>
        </w:rPr>
        <w:t>‘readable, useful, transparent</w:t>
      </w:r>
      <w:r w:rsidRPr="00D420E0">
        <w:rPr>
          <w:b/>
          <w:color w:val="000000"/>
          <w:spacing w:val="-1"/>
          <w:sz w:val="23"/>
          <w:szCs w:val="23"/>
        </w:rPr>
        <w:t xml:space="preserve"> </w:t>
      </w:r>
      <w:r w:rsidRPr="0040741C">
        <w:rPr>
          <w:b/>
          <w:i/>
          <w:color w:val="000000"/>
          <w:spacing w:val="-1"/>
          <w:sz w:val="23"/>
          <w:szCs w:val="23"/>
        </w:rPr>
        <w:t>and user friendly’</w:t>
      </w:r>
      <w:r w:rsidRPr="00D172A3">
        <w:rPr>
          <w:color w:val="000000"/>
          <w:spacing w:val="-1"/>
          <w:sz w:val="23"/>
          <w:szCs w:val="23"/>
        </w:rPr>
        <w:t xml:space="preserve"> form of Schedule VI.</w:t>
      </w:r>
    </w:p>
    <w:p w:rsidR="005E7E91" w:rsidRPr="00D172A3" w:rsidRDefault="005E7E9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D172A3">
        <w:rPr>
          <w:color w:val="000000"/>
          <w:spacing w:val="-1"/>
          <w:sz w:val="23"/>
          <w:szCs w:val="23"/>
        </w:rPr>
        <w:lastRenderedPageBreak/>
        <w:t xml:space="preserve">To set out </w:t>
      </w:r>
      <w:r w:rsidRPr="0040741C">
        <w:rPr>
          <w:b/>
          <w:i/>
          <w:color w:val="000000"/>
          <w:spacing w:val="-1"/>
          <w:sz w:val="23"/>
          <w:szCs w:val="23"/>
        </w:rPr>
        <w:t>minimum disclosure requirements</w:t>
      </w:r>
      <w:r w:rsidRPr="0040741C">
        <w:rPr>
          <w:i/>
          <w:color w:val="000000"/>
          <w:spacing w:val="-1"/>
          <w:sz w:val="23"/>
          <w:szCs w:val="23"/>
        </w:rPr>
        <w:t xml:space="preserve"> </w:t>
      </w:r>
      <w:r>
        <w:rPr>
          <w:color w:val="000000"/>
          <w:spacing w:val="-1"/>
          <w:sz w:val="23"/>
          <w:szCs w:val="23"/>
        </w:rPr>
        <w:t>which</w:t>
      </w:r>
      <w:r w:rsidRPr="00D172A3">
        <w:rPr>
          <w:color w:val="000000"/>
          <w:spacing w:val="-1"/>
          <w:sz w:val="23"/>
          <w:szCs w:val="23"/>
        </w:rPr>
        <w:t xml:space="preserve"> are considered essential to ensure true and fair presentation of the financial position and financial performance of the company </w:t>
      </w:r>
      <w:r>
        <w:rPr>
          <w:color w:val="000000"/>
          <w:spacing w:val="-1"/>
          <w:sz w:val="23"/>
          <w:szCs w:val="23"/>
        </w:rPr>
        <w:t xml:space="preserve">and </w:t>
      </w:r>
      <w:r w:rsidRPr="00D172A3">
        <w:rPr>
          <w:color w:val="000000"/>
          <w:spacing w:val="-1"/>
          <w:sz w:val="23"/>
          <w:szCs w:val="23"/>
        </w:rPr>
        <w:t xml:space="preserve">comparability both with the company’s previous periods and with other companies. </w:t>
      </w:r>
    </w:p>
    <w:p w:rsidR="005E7E91" w:rsidRPr="00D172A3" w:rsidRDefault="005E7E9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D172A3">
        <w:rPr>
          <w:color w:val="000000"/>
          <w:spacing w:val="-1"/>
          <w:sz w:val="23"/>
          <w:szCs w:val="23"/>
        </w:rPr>
        <w:t xml:space="preserve">The Balance Sheet and the Statement of Profit and Loss should </w:t>
      </w:r>
      <w:r w:rsidRPr="0040741C">
        <w:rPr>
          <w:b/>
          <w:i/>
          <w:color w:val="000000"/>
          <w:spacing w:val="-1"/>
          <w:sz w:val="23"/>
          <w:szCs w:val="23"/>
        </w:rPr>
        <w:t>not be Burdened with too many disclosure requirements</w:t>
      </w:r>
      <w:r w:rsidRPr="00D420E0">
        <w:rPr>
          <w:color w:val="000000"/>
          <w:spacing w:val="-1"/>
          <w:sz w:val="23"/>
          <w:szCs w:val="23"/>
        </w:rPr>
        <w:t>.</w:t>
      </w:r>
    </w:p>
    <w:p w:rsidR="005E7E91" w:rsidRPr="00D172A3" w:rsidRDefault="005E7E9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D172A3">
        <w:rPr>
          <w:color w:val="000000"/>
          <w:spacing w:val="-1"/>
          <w:sz w:val="23"/>
          <w:szCs w:val="23"/>
        </w:rPr>
        <w:t>To remove the requirements of disclosures no longer considered relevant in view of the changed socio-economic structure and level of development of the economy.</w:t>
      </w:r>
    </w:p>
    <w:p w:rsidR="005E7E91" w:rsidRPr="00D172A3" w:rsidRDefault="005E7E9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D172A3">
        <w:rPr>
          <w:color w:val="000000"/>
          <w:spacing w:val="-1"/>
          <w:sz w:val="23"/>
          <w:szCs w:val="23"/>
        </w:rPr>
        <w:t>To remove disclosure requirements which are meant for statistical purposes only e.g. Part IV of Schedule VI.</w:t>
      </w:r>
    </w:p>
    <w:p w:rsidR="005E7E91" w:rsidRPr="00D172A3" w:rsidRDefault="005E7E9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D172A3">
        <w:rPr>
          <w:color w:val="000000"/>
          <w:spacing w:val="-1"/>
          <w:sz w:val="23"/>
          <w:szCs w:val="23"/>
        </w:rPr>
        <w:t>To have inherent flexibility for amendments and industry/sector specific improvements from time to time and to cater to industry/sector specific disclosure requirements.</w:t>
      </w:r>
    </w:p>
    <w:p w:rsidR="005E7E91" w:rsidRPr="00D172A3" w:rsidRDefault="005E7E9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D172A3">
        <w:rPr>
          <w:color w:val="000000"/>
          <w:spacing w:val="-1"/>
          <w:sz w:val="23"/>
          <w:szCs w:val="23"/>
        </w:rPr>
        <w:t xml:space="preserve">To harmonize and synchronize the general disclosure requirements with those prescribed in the Accounting Standards by removing the existing inherent anomalies. </w:t>
      </w:r>
    </w:p>
    <w:p w:rsidR="005E7E91" w:rsidRPr="0099458C" w:rsidRDefault="005E7E9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D172A3">
        <w:rPr>
          <w:color w:val="000000"/>
          <w:spacing w:val="-1"/>
          <w:sz w:val="23"/>
          <w:szCs w:val="23"/>
        </w:rPr>
        <w:t xml:space="preserve">To attain </w:t>
      </w:r>
      <w:r w:rsidRPr="0040741C">
        <w:rPr>
          <w:b/>
          <w:i/>
          <w:color w:val="000000"/>
          <w:spacing w:val="-1"/>
          <w:sz w:val="23"/>
          <w:szCs w:val="23"/>
        </w:rPr>
        <w:t>compatibility &amp; convergence</w:t>
      </w:r>
      <w:r w:rsidRPr="00D172A3">
        <w:rPr>
          <w:color w:val="000000"/>
          <w:spacing w:val="-1"/>
          <w:sz w:val="23"/>
          <w:szCs w:val="23"/>
        </w:rPr>
        <w:t xml:space="preserve"> with the International Accounting Standards </w:t>
      </w:r>
      <w:r>
        <w:rPr>
          <w:color w:val="000000"/>
          <w:spacing w:val="-1"/>
          <w:sz w:val="23"/>
          <w:szCs w:val="23"/>
        </w:rPr>
        <w:t xml:space="preserve">&amp; </w:t>
      </w:r>
      <w:r w:rsidRPr="00D172A3">
        <w:rPr>
          <w:color w:val="000000"/>
          <w:spacing w:val="-1"/>
          <w:sz w:val="23"/>
          <w:szCs w:val="23"/>
        </w:rPr>
        <w:t>practices.</w:t>
      </w:r>
    </w:p>
    <w:p w:rsidR="005E7E91" w:rsidRPr="00AD3AE9" w:rsidRDefault="005E7E91" w:rsidP="00D03B0C">
      <w:pPr>
        <w:pStyle w:val="ListParagraph"/>
        <w:widowControl w:val="0"/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rFonts w:ascii="Tahoma Bold" w:hAnsi="Tahoma Bold" w:cs="Tahoma Bold"/>
          <w:b/>
          <w:bCs/>
          <w:color w:val="000000"/>
          <w:spacing w:val="-1"/>
        </w:rPr>
      </w:pPr>
    </w:p>
    <w:p w:rsidR="005E7E91" w:rsidRPr="00267B8C" w:rsidRDefault="005E7E91" w:rsidP="00D03B0C">
      <w:pPr>
        <w:pStyle w:val="Heading2"/>
        <w:pBdr>
          <w:bottom w:val="single" w:sz="4" w:space="1" w:color="auto"/>
        </w:pBdr>
        <w:jc w:val="both"/>
        <w:rPr>
          <w:i/>
          <w:iCs/>
        </w:rPr>
      </w:pPr>
      <w:r w:rsidRPr="00267B8C">
        <w:rPr>
          <w:i/>
          <w:iCs/>
        </w:rPr>
        <w:t>Method Adopted In Determining The Form Of Balance Sheet, Statement Of Profit</w:t>
      </w:r>
      <w:r w:rsidR="00127093">
        <w:rPr>
          <w:i/>
          <w:iCs/>
        </w:rPr>
        <w:t xml:space="preserve"> And Loss &amp; Cash Flow Statement</w:t>
      </w:r>
    </w:p>
    <w:p w:rsidR="005E7E91" w:rsidRDefault="005E7E91" w:rsidP="00D03B0C">
      <w:pPr>
        <w:autoSpaceDE w:val="0"/>
        <w:autoSpaceDN w:val="0"/>
        <w:adjustRightInd w:val="0"/>
        <w:spacing w:line="280" w:lineRule="exact"/>
        <w:ind w:left="270"/>
        <w:jc w:val="both"/>
        <w:rPr>
          <w:rFonts w:ascii="Tahoma" w:hAnsi="Tahoma" w:cs="Tahoma"/>
          <w:color w:val="000000"/>
          <w:w w:val="105"/>
        </w:rPr>
      </w:pPr>
    </w:p>
    <w:p w:rsidR="005E7E91" w:rsidRPr="00847E4C" w:rsidRDefault="005E7E91" w:rsidP="00D03B0C">
      <w:pPr>
        <w:autoSpaceDE w:val="0"/>
        <w:autoSpaceDN w:val="0"/>
        <w:adjustRightInd w:val="0"/>
        <w:spacing w:line="280" w:lineRule="exact"/>
        <w:ind w:left="270"/>
        <w:jc w:val="both"/>
        <w:rPr>
          <w:smallCaps/>
          <w:color w:val="000000"/>
          <w:w w:val="105"/>
          <w:sz w:val="26"/>
          <w:szCs w:val="26"/>
          <w:u w:val="dotted"/>
        </w:rPr>
      </w:pPr>
      <w:r w:rsidRPr="00847E4C">
        <w:rPr>
          <w:smallCaps/>
          <w:color w:val="000000"/>
          <w:w w:val="105"/>
          <w:sz w:val="26"/>
          <w:szCs w:val="26"/>
          <w:u w:val="dotted"/>
        </w:rPr>
        <w:t>I. Balance Sheet:</w:t>
      </w:r>
    </w:p>
    <w:p w:rsidR="005E7E91" w:rsidRPr="00C27666" w:rsidRDefault="005E7E91" w:rsidP="00D03B0C">
      <w:pPr>
        <w:autoSpaceDE w:val="0"/>
        <w:autoSpaceDN w:val="0"/>
        <w:adjustRightInd w:val="0"/>
        <w:spacing w:line="280" w:lineRule="exact"/>
        <w:ind w:left="720"/>
        <w:jc w:val="both"/>
        <w:rPr>
          <w:rFonts w:ascii="Tahoma" w:hAnsi="Tahoma" w:cs="Tahoma"/>
          <w:color w:val="000000"/>
          <w:w w:val="105"/>
        </w:rPr>
      </w:pPr>
      <w:r w:rsidRPr="00C27666">
        <w:rPr>
          <w:rFonts w:ascii="Tahoma" w:hAnsi="Tahoma" w:cs="Tahoma"/>
          <w:color w:val="000000"/>
          <w:w w:val="105"/>
        </w:rPr>
        <w:t xml:space="preserve">1) </w:t>
      </w:r>
      <w:r w:rsidR="001952E6">
        <w:rPr>
          <w:rFonts w:ascii="Tahoma" w:hAnsi="Tahoma" w:cs="Tahoma"/>
          <w:color w:val="000000"/>
          <w:w w:val="105"/>
        </w:rPr>
        <w:t xml:space="preserve">  </w:t>
      </w:r>
      <w:r w:rsidRPr="00C27666">
        <w:rPr>
          <w:rFonts w:ascii="Tahoma" w:hAnsi="Tahoma" w:cs="Tahoma"/>
          <w:color w:val="000000"/>
          <w:w w:val="105"/>
          <w:u w:val="single"/>
        </w:rPr>
        <w:t>Presentation is based upon:</w:t>
      </w:r>
    </w:p>
    <w:p w:rsidR="005E7E91" w:rsidRPr="006A70B4" w:rsidRDefault="005E7E9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6A70B4">
        <w:rPr>
          <w:color w:val="000000"/>
          <w:spacing w:val="-1"/>
          <w:sz w:val="23"/>
          <w:szCs w:val="23"/>
        </w:rPr>
        <w:t>The balanced format in which the sum of the amounts for liabilities and equity are added together to illustrate that assets equal liabilities plus equity.</w:t>
      </w:r>
    </w:p>
    <w:p w:rsidR="005E7E91" w:rsidRPr="006A70B4" w:rsidRDefault="005E7E9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 w:themeColor="text1"/>
          <w:sz w:val="23"/>
          <w:szCs w:val="23"/>
        </w:rPr>
      </w:pPr>
      <w:r w:rsidRPr="006A70B4">
        <w:rPr>
          <w:color w:val="000000"/>
          <w:spacing w:val="-1"/>
          <w:sz w:val="23"/>
          <w:szCs w:val="23"/>
        </w:rPr>
        <w:t>The report form i.e. top to</w:t>
      </w:r>
      <w:r w:rsidRPr="006A70B4">
        <w:rPr>
          <w:color w:val="000000" w:themeColor="text1"/>
          <w:sz w:val="23"/>
          <w:szCs w:val="23"/>
        </w:rPr>
        <w:t xml:space="preserve"> bottom or </w:t>
      </w:r>
      <w:r w:rsidRPr="006A70B4">
        <w:rPr>
          <w:color w:val="000000" w:themeColor="text1"/>
          <w:sz w:val="23"/>
          <w:szCs w:val="23"/>
        </w:rPr>
        <w:lastRenderedPageBreak/>
        <w:t>the vertical form.</w:t>
      </w:r>
    </w:p>
    <w:p w:rsidR="005E7E91" w:rsidRPr="00C03256" w:rsidRDefault="005E7E91" w:rsidP="00D03B0C">
      <w:pPr>
        <w:autoSpaceDE w:val="0"/>
        <w:autoSpaceDN w:val="0"/>
        <w:adjustRightInd w:val="0"/>
        <w:spacing w:line="280" w:lineRule="exact"/>
        <w:ind w:left="720"/>
        <w:jc w:val="both"/>
        <w:rPr>
          <w:rFonts w:ascii="Tahoma" w:hAnsi="Tahoma" w:cs="Tahoma"/>
          <w:color w:val="000000"/>
          <w:w w:val="105"/>
        </w:rPr>
      </w:pPr>
      <w:r w:rsidRPr="00C27666">
        <w:rPr>
          <w:rFonts w:ascii="Tahoma" w:hAnsi="Tahoma" w:cs="Tahoma"/>
          <w:color w:val="000000"/>
          <w:w w:val="105"/>
        </w:rPr>
        <w:t>2)</w:t>
      </w:r>
      <w:r w:rsidR="001952E6">
        <w:rPr>
          <w:rFonts w:ascii="Tahoma" w:hAnsi="Tahoma" w:cs="Tahoma"/>
          <w:color w:val="000000"/>
          <w:w w:val="105"/>
        </w:rPr>
        <w:t xml:space="preserve"> </w:t>
      </w:r>
      <w:r w:rsidRPr="00C27666">
        <w:rPr>
          <w:rFonts w:ascii="Tahoma" w:hAnsi="Tahoma" w:cs="Tahoma"/>
          <w:color w:val="000000"/>
          <w:w w:val="105"/>
          <w:u w:val="single"/>
        </w:rPr>
        <w:t>Classification of assets and liabilities:</w:t>
      </w:r>
    </w:p>
    <w:p w:rsidR="005E7E91" w:rsidRPr="00D172A3" w:rsidRDefault="005E7E9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D172A3">
        <w:rPr>
          <w:color w:val="000000"/>
          <w:spacing w:val="-1"/>
          <w:sz w:val="23"/>
          <w:szCs w:val="23"/>
        </w:rPr>
        <w:t>Classification</w:t>
      </w:r>
      <w:r w:rsidR="00B641F5">
        <w:rPr>
          <w:color w:val="000000"/>
          <w:spacing w:val="-1"/>
          <w:sz w:val="23"/>
          <w:szCs w:val="23"/>
        </w:rPr>
        <w:t xml:space="preserve"> </w:t>
      </w:r>
      <w:r w:rsidRPr="00D172A3">
        <w:rPr>
          <w:color w:val="000000"/>
          <w:spacing w:val="-1"/>
          <w:sz w:val="23"/>
          <w:szCs w:val="23"/>
        </w:rPr>
        <w:t>is based</w:t>
      </w:r>
      <w:r w:rsidR="00B641F5">
        <w:rPr>
          <w:color w:val="000000"/>
          <w:spacing w:val="-1"/>
          <w:sz w:val="23"/>
          <w:szCs w:val="23"/>
        </w:rPr>
        <w:t xml:space="preserve"> </w:t>
      </w:r>
      <w:r w:rsidRPr="00D172A3">
        <w:rPr>
          <w:color w:val="000000"/>
          <w:spacing w:val="-1"/>
          <w:sz w:val="23"/>
          <w:szCs w:val="23"/>
        </w:rPr>
        <w:t>upon current and</w:t>
      </w:r>
      <w:r w:rsidR="00B641F5">
        <w:rPr>
          <w:color w:val="000000"/>
          <w:spacing w:val="-1"/>
          <w:sz w:val="23"/>
          <w:szCs w:val="23"/>
        </w:rPr>
        <w:t xml:space="preserve"> </w:t>
      </w:r>
      <w:r w:rsidRPr="00D172A3">
        <w:rPr>
          <w:color w:val="000000"/>
          <w:spacing w:val="-1"/>
          <w:sz w:val="23"/>
          <w:szCs w:val="23"/>
        </w:rPr>
        <w:t>non-current assets/liabilities method.</w:t>
      </w:r>
    </w:p>
    <w:p w:rsidR="00622240" w:rsidRPr="00622240" w:rsidRDefault="00AC7118" w:rsidP="00622240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622240">
        <w:rPr>
          <w:color w:val="000000"/>
          <w:spacing w:val="-1"/>
          <w:sz w:val="23"/>
          <w:szCs w:val="23"/>
        </w:rPr>
        <w:t>Similar nature of assets/liabilities is</w:t>
      </w:r>
      <w:r w:rsidR="005E7E91" w:rsidRPr="00622240">
        <w:rPr>
          <w:color w:val="000000"/>
          <w:spacing w:val="-1"/>
          <w:sz w:val="23"/>
          <w:szCs w:val="23"/>
        </w:rPr>
        <w:t xml:space="preserve"> grouped into line items.</w:t>
      </w:r>
    </w:p>
    <w:p w:rsidR="005E7E91" w:rsidRPr="00847E4C" w:rsidRDefault="005E7E91" w:rsidP="00D03B0C">
      <w:pPr>
        <w:autoSpaceDE w:val="0"/>
        <w:autoSpaceDN w:val="0"/>
        <w:adjustRightInd w:val="0"/>
        <w:spacing w:line="280" w:lineRule="exact"/>
        <w:ind w:left="270"/>
        <w:jc w:val="both"/>
        <w:rPr>
          <w:smallCaps/>
          <w:color w:val="000000"/>
          <w:w w:val="105"/>
          <w:sz w:val="26"/>
          <w:szCs w:val="26"/>
          <w:u w:val="dotted"/>
        </w:rPr>
      </w:pPr>
      <w:r w:rsidRPr="00847E4C">
        <w:rPr>
          <w:smallCaps/>
          <w:color w:val="000000"/>
          <w:w w:val="105"/>
          <w:sz w:val="26"/>
          <w:szCs w:val="26"/>
          <w:u w:val="dotted"/>
        </w:rPr>
        <w:t>II. Statement Of Profit &amp; Loss:</w:t>
      </w:r>
    </w:p>
    <w:p w:rsidR="005E7E91" w:rsidRPr="00C27666" w:rsidRDefault="005E7E91" w:rsidP="00C27666">
      <w:pPr>
        <w:autoSpaceDE w:val="0"/>
        <w:autoSpaceDN w:val="0"/>
        <w:adjustRightInd w:val="0"/>
        <w:spacing w:line="280" w:lineRule="exact"/>
        <w:ind w:left="720"/>
        <w:jc w:val="both"/>
        <w:rPr>
          <w:rFonts w:ascii="Tahoma" w:hAnsi="Tahoma" w:cs="Tahoma"/>
          <w:color w:val="000000"/>
          <w:w w:val="105"/>
        </w:rPr>
      </w:pPr>
      <w:r w:rsidRPr="00C27666">
        <w:rPr>
          <w:rFonts w:ascii="Tahoma" w:hAnsi="Tahoma" w:cs="Tahoma"/>
          <w:color w:val="000000"/>
          <w:w w:val="105"/>
        </w:rPr>
        <w:t>1)</w:t>
      </w:r>
      <w:r w:rsidR="00C27666">
        <w:rPr>
          <w:rFonts w:ascii="Tahoma" w:hAnsi="Tahoma" w:cs="Tahoma"/>
          <w:color w:val="000000"/>
          <w:w w:val="105"/>
        </w:rPr>
        <w:t xml:space="preserve"> </w:t>
      </w:r>
      <w:r w:rsidRPr="00C27666">
        <w:rPr>
          <w:rFonts w:ascii="Tahoma" w:hAnsi="Tahoma" w:cs="Tahoma"/>
          <w:color w:val="000000"/>
          <w:w w:val="105"/>
        </w:rPr>
        <w:t xml:space="preserve"> </w:t>
      </w:r>
      <w:r w:rsidRPr="00C27666">
        <w:rPr>
          <w:rFonts w:ascii="Tahoma" w:hAnsi="Tahoma" w:cs="Tahoma"/>
          <w:color w:val="000000"/>
          <w:w w:val="105"/>
          <w:u w:val="single"/>
        </w:rPr>
        <w:t>Presentation is based upon:</w:t>
      </w:r>
    </w:p>
    <w:p w:rsidR="005E7E91" w:rsidRPr="00D172A3" w:rsidRDefault="005E7E91" w:rsidP="00D03B0C">
      <w:pPr>
        <w:autoSpaceDE w:val="0"/>
        <w:autoSpaceDN w:val="0"/>
        <w:adjustRightInd w:val="0"/>
        <w:spacing w:line="280" w:lineRule="exact"/>
        <w:ind w:left="1080"/>
        <w:jc w:val="both"/>
        <w:rPr>
          <w:rFonts w:ascii="Calibri" w:eastAsia="Times New Roman" w:hAnsi="Calibri"/>
          <w:color w:val="000000"/>
          <w:spacing w:val="-1"/>
          <w:sz w:val="23"/>
          <w:szCs w:val="23"/>
        </w:rPr>
      </w:pPr>
      <w:r w:rsidRPr="00D172A3">
        <w:rPr>
          <w:rFonts w:ascii="Calibri" w:eastAsia="Times New Roman" w:hAnsi="Calibri"/>
          <w:color w:val="000000"/>
          <w:spacing w:val="-1"/>
          <w:sz w:val="23"/>
          <w:szCs w:val="23"/>
        </w:rPr>
        <w:t xml:space="preserve">Multiple step format i.e. Revenues from operations less cost of sales less operating expenses add other incomes less non operating expense less tax expense. </w:t>
      </w:r>
    </w:p>
    <w:p w:rsidR="005E7E91" w:rsidRPr="00D37D3A" w:rsidRDefault="005E7E91" w:rsidP="00D03B0C">
      <w:pPr>
        <w:autoSpaceDE w:val="0"/>
        <w:autoSpaceDN w:val="0"/>
        <w:adjustRightInd w:val="0"/>
        <w:spacing w:line="280" w:lineRule="exact"/>
        <w:ind w:left="720"/>
        <w:jc w:val="both"/>
        <w:rPr>
          <w:rFonts w:ascii="Tahoma" w:hAnsi="Tahoma" w:cs="Tahoma"/>
          <w:color w:val="000000"/>
          <w:w w:val="105"/>
          <w:u w:val="single"/>
        </w:rPr>
      </w:pPr>
      <w:r w:rsidRPr="00D37D3A">
        <w:rPr>
          <w:rFonts w:ascii="Tahoma" w:hAnsi="Tahoma" w:cs="Tahoma"/>
          <w:color w:val="000000"/>
          <w:w w:val="105"/>
          <w:u w:val="single"/>
        </w:rPr>
        <w:t>2)</w:t>
      </w:r>
      <w:r w:rsidRPr="00C27666">
        <w:rPr>
          <w:rFonts w:ascii="Tahoma" w:hAnsi="Tahoma" w:cs="Tahoma"/>
          <w:color w:val="000000"/>
          <w:w w:val="105"/>
        </w:rPr>
        <w:t xml:space="preserve"> </w:t>
      </w:r>
      <w:r w:rsidRPr="00D37D3A">
        <w:rPr>
          <w:rFonts w:ascii="Tahoma" w:hAnsi="Tahoma" w:cs="Tahoma"/>
          <w:color w:val="000000"/>
          <w:w w:val="105"/>
          <w:u w:val="single"/>
        </w:rPr>
        <w:t>Classification of expenses is based upon:</w:t>
      </w:r>
    </w:p>
    <w:p w:rsidR="005E7E91" w:rsidRDefault="005E7E91" w:rsidP="00622240">
      <w:pPr>
        <w:autoSpaceDE w:val="0"/>
        <w:autoSpaceDN w:val="0"/>
        <w:adjustRightInd w:val="0"/>
        <w:spacing w:line="280" w:lineRule="exact"/>
        <w:ind w:left="1080"/>
        <w:jc w:val="both"/>
        <w:rPr>
          <w:rFonts w:ascii="Calibri" w:eastAsia="Times New Roman" w:hAnsi="Calibri"/>
          <w:color w:val="000000"/>
          <w:spacing w:val="-1"/>
          <w:sz w:val="23"/>
          <w:szCs w:val="23"/>
        </w:rPr>
      </w:pPr>
      <w:r w:rsidRPr="00D172A3">
        <w:rPr>
          <w:rFonts w:ascii="Calibri" w:eastAsia="Times New Roman" w:hAnsi="Calibri"/>
          <w:color w:val="000000"/>
          <w:spacing w:val="-1"/>
          <w:sz w:val="23"/>
          <w:szCs w:val="23"/>
        </w:rPr>
        <w:t>Function of expense method-expenses are classified according to their function as part of cost of sales, selling and marketing expenses</w:t>
      </w:r>
      <w:r w:rsidR="00B641F5">
        <w:rPr>
          <w:rFonts w:ascii="Calibri" w:eastAsia="Times New Roman" w:hAnsi="Calibri"/>
          <w:color w:val="000000"/>
          <w:spacing w:val="-1"/>
          <w:sz w:val="23"/>
          <w:szCs w:val="23"/>
        </w:rPr>
        <w:t xml:space="preserve"> </w:t>
      </w:r>
      <w:r w:rsidRPr="00D172A3">
        <w:rPr>
          <w:rFonts w:ascii="Calibri" w:eastAsia="Times New Roman" w:hAnsi="Calibri"/>
          <w:color w:val="000000"/>
          <w:spacing w:val="-1"/>
          <w:sz w:val="23"/>
          <w:szCs w:val="23"/>
        </w:rPr>
        <w:t>or</w:t>
      </w:r>
      <w:r w:rsidR="00B641F5">
        <w:rPr>
          <w:rFonts w:ascii="Calibri" w:eastAsia="Times New Roman" w:hAnsi="Calibri"/>
          <w:color w:val="000000"/>
          <w:spacing w:val="-1"/>
          <w:sz w:val="23"/>
          <w:szCs w:val="23"/>
        </w:rPr>
        <w:t xml:space="preserve"> </w:t>
      </w:r>
      <w:r w:rsidRPr="00D172A3">
        <w:rPr>
          <w:rFonts w:ascii="Calibri" w:eastAsia="Times New Roman" w:hAnsi="Calibri"/>
          <w:color w:val="000000"/>
          <w:spacing w:val="-1"/>
          <w:sz w:val="23"/>
          <w:szCs w:val="23"/>
        </w:rPr>
        <w:t xml:space="preserve">administrative   expenses.  Expenses are reallocated   among various functions within the company. </w:t>
      </w:r>
    </w:p>
    <w:p w:rsidR="005E7E91" w:rsidRPr="00847E4C" w:rsidRDefault="005E7E91" w:rsidP="00D03B0C">
      <w:pPr>
        <w:autoSpaceDE w:val="0"/>
        <w:autoSpaceDN w:val="0"/>
        <w:adjustRightInd w:val="0"/>
        <w:spacing w:line="280" w:lineRule="exact"/>
        <w:ind w:left="270"/>
        <w:jc w:val="both"/>
        <w:rPr>
          <w:smallCaps/>
          <w:color w:val="000000"/>
          <w:w w:val="105"/>
          <w:sz w:val="26"/>
          <w:szCs w:val="26"/>
          <w:u w:val="dotted"/>
        </w:rPr>
      </w:pPr>
      <w:r w:rsidRPr="00847E4C">
        <w:rPr>
          <w:smallCaps/>
          <w:color w:val="000000"/>
          <w:w w:val="105"/>
          <w:sz w:val="26"/>
          <w:szCs w:val="26"/>
          <w:u w:val="dotted"/>
        </w:rPr>
        <w:t xml:space="preserve">III. Cash Flow Statement: </w:t>
      </w:r>
    </w:p>
    <w:p w:rsidR="005E7E91" w:rsidRPr="009B4BC1" w:rsidRDefault="005E7E91" w:rsidP="00D03B0C">
      <w:pPr>
        <w:autoSpaceDE w:val="0"/>
        <w:autoSpaceDN w:val="0"/>
        <w:adjustRightInd w:val="0"/>
        <w:spacing w:line="280" w:lineRule="exact"/>
        <w:ind w:left="720"/>
        <w:jc w:val="both"/>
        <w:rPr>
          <w:rFonts w:ascii="Tahoma" w:hAnsi="Tahoma" w:cs="Tahoma"/>
          <w:color w:val="000000"/>
          <w:w w:val="105"/>
        </w:rPr>
      </w:pPr>
      <w:r w:rsidRPr="009B4BC1">
        <w:rPr>
          <w:rFonts w:ascii="Tahoma" w:hAnsi="Tahoma" w:cs="Tahoma"/>
          <w:color w:val="000000"/>
          <w:w w:val="105"/>
        </w:rPr>
        <w:t xml:space="preserve">1) </w:t>
      </w:r>
      <w:r w:rsidR="009B4BC1">
        <w:rPr>
          <w:rFonts w:ascii="Tahoma" w:hAnsi="Tahoma" w:cs="Tahoma"/>
          <w:color w:val="000000"/>
          <w:w w:val="105"/>
        </w:rPr>
        <w:t xml:space="preserve"> </w:t>
      </w:r>
      <w:r w:rsidRPr="009B4BC1">
        <w:rPr>
          <w:rFonts w:ascii="Tahoma" w:hAnsi="Tahoma" w:cs="Tahoma"/>
          <w:color w:val="000000"/>
          <w:w w:val="105"/>
          <w:u w:val="single"/>
        </w:rPr>
        <w:t>Presentation is based upon:</w:t>
      </w:r>
    </w:p>
    <w:p w:rsidR="005E7E91" w:rsidRPr="009B4BC1" w:rsidRDefault="005E7E91" w:rsidP="009B4BC1">
      <w:pPr>
        <w:autoSpaceDE w:val="0"/>
        <w:autoSpaceDN w:val="0"/>
        <w:adjustRightInd w:val="0"/>
        <w:spacing w:line="280" w:lineRule="exact"/>
        <w:ind w:left="720"/>
        <w:jc w:val="both"/>
        <w:rPr>
          <w:rFonts w:ascii="Tahoma" w:hAnsi="Tahoma" w:cs="Tahoma"/>
          <w:color w:val="000000"/>
          <w:w w:val="105"/>
        </w:rPr>
      </w:pPr>
      <w:r w:rsidRPr="009B4BC1">
        <w:rPr>
          <w:rFonts w:ascii="Tahoma" w:hAnsi="Tahoma" w:cs="Tahoma"/>
          <w:color w:val="000000"/>
          <w:w w:val="105"/>
        </w:rPr>
        <w:t xml:space="preserve">Cash inflow and outflow format i.e.  Cash inflows from various activities are grouped together and similarly cash outflows from various activities are grouped together. </w:t>
      </w:r>
    </w:p>
    <w:p w:rsidR="005E7E91" w:rsidRPr="009B4BC1" w:rsidRDefault="005E7E91" w:rsidP="00D03B0C">
      <w:pPr>
        <w:autoSpaceDE w:val="0"/>
        <w:autoSpaceDN w:val="0"/>
        <w:adjustRightInd w:val="0"/>
        <w:spacing w:line="280" w:lineRule="exact"/>
        <w:ind w:left="720"/>
        <w:jc w:val="both"/>
        <w:rPr>
          <w:rFonts w:ascii="Tahoma" w:hAnsi="Tahoma" w:cs="Tahoma"/>
          <w:color w:val="000000"/>
          <w:w w:val="105"/>
        </w:rPr>
      </w:pPr>
      <w:r w:rsidRPr="009B4BC1">
        <w:rPr>
          <w:rFonts w:ascii="Tahoma" w:hAnsi="Tahoma" w:cs="Tahoma"/>
          <w:color w:val="000000"/>
          <w:w w:val="105"/>
        </w:rPr>
        <w:t xml:space="preserve">2) </w:t>
      </w:r>
      <w:r w:rsidRPr="009B4BC1">
        <w:rPr>
          <w:rFonts w:ascii="Tahoma" w:hAnsi="Tahoma" w:cs="Tahoma"/>
          <w:color w:val="000000"/>
          <w:w w:val="105"/>
          <w:u w:val="single"/>
        </w:rPr>
        <w:t>Classification of cash flows is based upon:</w:t>
      </w:r>
      <w:r w:rsidRPr="009B4BC1">
        <w:rPr>
          <w:rFonts w:ascii="Tahoma" w:hAnsi="Tahoma" w:cs="Tahoma"/>
          <w:color w:val="000000"/>
          <w:w w:val="105"/>
        </w:rPr>
        <w:t xml:space="preserve"> </w:t>
      </w:r>
    </w:p>
    <w:p w:rsidR="005E7E91" w:rsidRDefault="005E7E91" w:rsidP="009B4BC1">
      <w:pPr>
        <w:autoSpaceDE w:val="0"/>
        <w:autoSpaceDN w:val="0"/>
        <w:adjustRightInd w:val="0"/>
        <w:spacing w:line="280" w:lineRule="exact"/>
        <w:ind w:left="720"/>
        <w:jc w:val="both"/>
        <w:rPr>
          <w:rFonts w:ascii="Calibri" w:eastAsia="Times New Roman" w:hAnsi="Calibri"/>
          <w:color w:val="000000"/>
          <w:spacing w:val="-1"/>
          <w:sz w:val="23"/>
          <w:szCs w:val="23"/>
        </w:rPr>
      </w:pPr>
      <w:r w:rsidRPr="009B4BC1">
        <w:rPr>
          <w:rFonts w:ascii="Tahoma" w:hAnsi="Tahoma" w:cs="Tahoma"/>
          <w:color w:val="000000"/>
          <w:w w:val="105"/>
        </w:rPr>
        <w:t>The indirect method, whereby net profit or loss is adjusted for the</w:t>
      </w:r>
      <w:r>
        <w:rPr>
          <w:rFonts w:ascii="Calibri" w:eastAsia="Times New Roman" w:hAnsi="Calibri"/>
          <w:color w:val="000000"/>
          <w:spacing w:val="-1"/>
          <w:sz w:val="23"/>
          <w:szCs w:val="23"/>
        </w:rPr>
        <w:t xml:space="preserve"> effects of:</w:t>
      </w:r>
    </w:p>
    <w:p w:rsidR="005E7E91" w:rsidRDefault="005E7E9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>
        <w:rPr>
          <w:color w:val="000000"/>
          <w:spacing w:val="-1"/>
          <w:sz w:val="23"/>
          <w:szCs w:val="23"/>
        </w:rPr>
        <w:t>T</w:t>
      </w:r>
      <w:r w:rsidRPr="00D172A3">
        <w:rPr>
          <w:color w:val="000000"/>
          <w:spacing w:val="-1"/>
          <w:sz w:val="23"/>
          <w:szCs w:val="23"/>
        </w:rPr>
        <w:t xml:space="preserve">ransactions of a non-cash nature; </w:t>
      </w:r>
    </w:p>
    <w:p w:rsidR="005E7E91" w:rsidRDefault="005E7E9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>
        <w:rPr>
          <w:color w:val="000000"/>
          <w:spacing w:val="-1"/>
          <w:sz w:val="23"/>
          <w:szCs w:val="23"/>
        </w:rPr>
        <w:lastRenderedPageBreak/>
        <w:t xml:space="preserve">Any deferrals or accruals of </w:t>
      </w:r>
      <w:r w:rsidRPr="00D172A3">
        <w:rPr>
          <w:color w:val="000000"/>
          <w:spacing w:val="-1"/>
          <w:sz w:val="23"/>
          <w:szCs w:val="23"/>
        </w:rPr>
        <w:t xml:space="preserve">past or future operating cash receipts or payments; and </w:t>
      </w:r>
    </w:p>
    <w:p w:rsidR="00C53217" w:rsidRPr="00C85725" w:rsidRDefault="005E7E91" w:rsidP="00C85725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>
        <w:rPr>
          <w:color w:val="000000"/>
          <w:spacing w:val="-1"/>
          <w:sz w:val="23"/>
          <w:szCs w:val="23"/>
        </w:rPr>
        <w:t>I</w:t>
      </w:r>
      <w:r w:rsidRPr="00D172A3">
        <w:rPr>
          <w:color w:val="000000"/>
          <w:spacing w:val="-1"/>
          <w:sz w:val="23"/>
          <w:szCs w:val="23"/>
        </w:rPr>
        <w:t>te</w:t>
      </w:r>
      <w:r>
        <w:rPr>
          <w:color w:val="000000"/>
          <w:spacing w:val="-1"/>
          <w:sz w:val="23"/>
          <w:szCs w:val="23"/>
        </w:rPr>
        <w:t xml:space="preserve">ms Of </w:t>
      </w:r>
      <w:r w:rsidRPr="00D172A3">
        <w:rPr>
          <w:color w:val="000000"/>
          <w:spacing w:val="-1"/>
          <w:sz w:val="23"/>
          <w:szCs w:val="23"/>
        </w:rPr>
        <w:t>income or expense associated with investing or financing cash flows.</w:t>
      </w:r>
    </w:p>
    <w:p w:rsidR="005E7E91" w:rsidRPr="00130B0C" w:rsidRDefault="005E7E91" w:rsidP="009058BC">
      <w:pPr>
        <w:pStyle w:val="Title"/>
        <w:rPr>
          <w:rStyle w:val="IntenseEmphasis"/>
          <w:b w:val="0"/>
          <w:bCs w:val="0"/>
          <w:i w:val="0"/>
          <w:iCs w:val="0"/>
          <w:smallCaps/>
          <w:color w:val="17365D" w:themeColor="text2" w:themeShade="BF"/>
          <w:sz w:val="40"/>
          <w:szCs w:val="40"/>
        </w:rPr>
      </w:pPr>
      <w:r w:rsidRPr="00130B0C">
        <w:rPr>
          <w:rStyle w:val="IntenseEmphasis"/>
          <w:b w:val="0"/>
          <w:bCs w:val="0"/>
          <w:i w:val="0"/>
          <w:iCs w:val="0"/>
          <w:smallCaps/>
          <w:color w:val="17365D" w:themeColor="text2" w:themeShade="BF"/>
          <w:sz w:val="40"/>
          <w:szCs w:val="40"/>
        </w:rPr>
        <w:t>Comparative Study:</w:t>
      </w:r>
    </w:p>
    <w:p w:rsidR="005E7E91" w:rsidRPr="003654E3" w:rsidRDefault="005E7E91" w:rsidP="00D03B0C">
      <w:pPr>
        <w:jc w:val="both"/>
        <w:rPr>
          <w:sz w:val="24"/>
          <w:szCs w:val="24"/>
        </w:rPr>
      </w:pPr>
      <w:r w:rsidRPr="003654E3">
        <w:rPr>
          <w:rFonts w:hint="eastAsia"/>
          <w:sz w:val="24"/>
          <w:szCs w:val="24"/>
        </w:rPr>
        <w:t>The revised Schedule VI introduces many new</w:t>
      </w:r>
      <w:r w:rsidRPr="003654E3">
        <w:rPr>
          <w:sz w:val="24"/>
          <w:szCs w:val="24"/>
        </w:rPr>
        <w:t xml:space="preserve"> </w:t>
      </w:r>
      <w:r w:rsidRPr="003654E3">
        <w:rPr>
          <w:rFonts w:hint="eastAsia"/>
          <w:sz w:val="24"/>
          <w:szCs w:val="24"/>
        </w:rPr>
        <w:t>concepts and disclosure requirements</w:t>
      </w:r>
      <w:r w:rsidR="00D03B0C">
        <w:rPr>
          <w:sz w:val="24"/>
          <w:szCs w:val="24"/>
        </w:rPr>
        <w:t xml:space="preserve"> &amp; </w:t>
      </w:r>
      <w:r w:rsidRPr="003654E3">
        <w:rPr>
          <w:rFonts w:hint="eastAsia"/>
          <w:sz w:val="24"/>
          <w:szCs w:val="24"/>
        </w:rPr>
        <w:t>does away with several statutory disclosure</w:t>
      </w:r>
      <w:r w:rsidR="00D03B0C">
        <w:rPr>
          <w:sz w:val="24"/>
          <w:szCs w:val="24"/>
        </w:rPr>
        <w:t xml:space="preserve"> </w:t>
      </w:r>
      <w:r w:rsidRPr="003654E3">
        <w:rPr>
          <w:rFonts w:hint="eastAsia"/>
          <w:sz w:val="24"/>
          <w:szCs w:val="24"/>
        </w:rPr>
        <w:t xml:space="preserve">requirements of the existing Schedule VI. </w:t>
      </w:r>
      <w:r w:rsidRPr="003654E3">
        <w:rPr>
          <w:sz w:val="24"/>
          <w:szCs w:val="24"/>
        </w:rPr>
        <w:t>The New</w:t>
      </w:r>
      <w:r w:rsidRPr="003654E3">
        <w:rPr>
          <w:rFonts w:hint="eastAsia"/>
          <w:sz w:val="24"/>
          <w:szCs w:val="24"/>
        </w:rPr>
        <w:t xml:space="preserve"> Schedule VI is as per the currently in use</w:t>
      </w:r>
      <w:r w:rsidRPr="003654E3">
        <w:rPr>
          <w:sz w:val="24"/>
          <w:szCs w:val="24"/>
        </w:rPr>
        <w:t xml:space="preserve"> </w:t>
      </w:r>
      <w:r w:rsidRPr="003654E3">
        <w:rPr>
          <w:rFonts w:hint="eastAsia"/>
          <w:sz w:val="24"/>
          <w:szCs w:val="24"/>
        </w:rPr>
        <w:t>non-converged accounting standards as under</w:t>
      </w:r>
      <w:r w:rsidRPr="003654E3">
        <w:rPr>
          <w:sz w:val="24"/>
          <w:szCs w:val="24"/>
        </w:rPr>
        <w:t xml:space="preserve"> </w:t>
      </w:r>
      <w:r w:rsidRPr="003654E3">
        <w:rPr>
          <w:rFonts w:hint="eastAsia"/>
          <w:sz w:val="24"/>
          <w:szCs w:val="24"/>
        </w:rPr>
        <w:t>Companies (Accounting Standards) Rules,</w:t>
      </w:r>
      <w:r w:rsidRPr="003654E3">
        <w:rPr>
          <w:sz w:val="24"/>
          <w:szCs w:val="24"/>
        </w:rPr>
        <w:t xml:space="preserve"> </w:t>
      </w:r>
      <w:r w:rsidRPr="003654E3">
        <w:rPr>
          <w:rFonts w:hint="eastAsia"/>
          <w:sz w:val="24"/>
          <w:szCs w:val="24"/>
        </w:rPr>
        <w:t>2006.</w:t>
      </w:r>
      <w:r w:rsidRPr="003654E3">
        <w:rPr>
          <w:sz w:val="24"/>
          <w:szCs w:val="24"/>
        </w:rPr>
        <w:t xml:space="preserve"> </w:t>
      </w:r>
      <w:r w:rsidRPr="003654E3">
        <w:rPr>
          <w:rFonts w:hint="eastAsia"/>
          <w:sz w:val="24"/>
          <w:szCs w:val="24"/>
        </w:rPr>
        <w:t>The changes brought in revised format have</w:t>
      </w:r>
      <w:r w:rsidRPr="003654E3">
        <w:rPr>
          <w:sz w:val="24"/>
          <w:szCs w:val="24"/>
        </w:rPr>
        <w:t xml:space="preserve"> </w:t>
      </w:r>
      <w:r w:rsidRPr="003654E3">
        <w:rPr>
          <w:rFonts w:hint="eastAsia"/>
          <w:sz w:val="24"/>
          <w:szCs w:val="24"/>
        </w:rPr>
        <w:t>been segregated in the following manner:-</w:t>
      </w:r>
    </w:p>
    <w:p w:rsidR="005E7E91" w:rsidRDefault="005E7E91" w:rsidP="00D03B0C">
      <w:pPr>
        <w:widowControl w:val="0"/>
        <w:numPr>
          <w:ilvl w:val="0"/>
          <w:numId w:val="8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General Changes</w:t>
      </w:r>
    </w:p>
    <w:p w:rsidR="005E7E91" w:rsidRDefault="005E7E91" w:rsidP="00D03B0C">
      <w:pPr>
        <w:widowControl w:val="0"/>
        <w:numPr>
          <w:ilvl w:val="0"/>
          <w:numId w:val="8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Changes in Balance Sheet</w:t>
      </w:r>
    </w:p>
    <w:p w:rsidR="005E7E91" w:rsidRPr="00E808AC" w:rsidRDefault="005E7E91" w:rsidP="00D03B0C">
      <w:pPr>
        <w:widowControl w:val="0"/>
        <w:numPr>
          <w:ilvl w:val="0"/>
          <w:numId w:val="8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Change in Profit &amp; Loss</w:t>
      </w:r>
    </w:p>
    <w:p w:rsidR="00C53217" w:rsidRDefault="00C53217" w:rsidP="00D03B0C">
      <w:pPr>
        <w:jc w:val="both"/>
        <w:rPr>
          <w:rFonts w:ascii="Times New Roman Bold" w:hAnsi="Times New Roman Bold"/>
          <w:b/>
          <w:smallCaps/>
          <w:sz w:val="28"/>
          <w:szCs w:val="28"/>
          <w:u w:val="dotted"/>
        </w:rPr>
      </w:pPr>
    </w:p>
    <w:p w:rsidR="005E7E91" w:rsidRPr="00441B7C" w:rsidRDefault="005E7E91" w:rsidP="00D03B0C">
      <w:pPr>
        <w:pStyle w:val="Title"/>
        <w:numPr>
          <w:ilvl w:val="0"/>
          <w:numId w:val="11"/>
        </w:numPr>
        <w:pBdr>
          <w:bottom w:val="none" w:sz="0" w:space="0" w:color="auto"/>
        </w:pBdr>
        <w:jc w:val="both"/>
        <w:rPr>
          <w:b/>
          <w:bCs/>
          <w:color w:val="4F81BD" w:themeColor="accent1"/>
          <w:spacing w:val="0"/>
          <w:kern w:val="0"/>
          <w:sz w:val="26"/>
          <w:szCs w:val="26"/>
        </w:rPr>
      </w:pPr>
      <w:r w:rsidRPr="00441B7C">
        <w:rPr>
          <w:rFonts w:hint="eastAsia"/>
          <w:b/>
          <w:bCs/>
          <w:color w:val="4F81BD" w:themeColor="accent1"/>
          <w:spacing w:val="0"/>
          <w:kern w:val="0"/>
          <w:sz w:val="26"/>
          <w:szCs w:val="26"/>
        </w:rPr>
        <w:t>General Changes</w:t>
      </w:r>
    </w:p>
    <w:p w:rsidR="005E7E91" w:rsidRPr="0093320C" w:rsidRDefault="005E7E91" w:rsidP="00BA3D00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93320C">
        <w:rPr>
          <w:rFonts w:hint="eastAsia"/>
          <w:color w:val="000000"/>
          <w:spacing w:val="-1"/>
          <w:sz w:val="23"/>
          <w:szCs w:val="23"/>
        </w:rPr>
        <w:t>While both Vertical and horizontal forms of</w:t>
      </w:r>
      <w:r w:rsidRPr="0093320C">
        <w:rPr>
          <w:color w:val="000000"/>
          <w:spacing w:val="-1"/>
          <w:sz w:val="23"/>
          <w:szCs w:val="23"/>
        </w:rPr>
        <w:t xml:space="preserve"> </w:t>
      </w:r>
      <w:r w:rsidRPr="0093320C">
        <w:rPr>
          <w:rFonts w:hint="eastAsia"/>
          <w:color w:val="000000"/>
          <w:spacing w:val="-1"/>
          <w:sz w:val="23"/>
          <w:szCs w:val="23"/>
        </w:rPr>
        <w:t>presentation were allowed under old schedule</w:t>
      </w:r>
      <w:r w:rsidRPr="0093320C">
        <w:rPr>
          <w:color w:val="000000"/>
          <w:spacing w:val="-1"/>
          <w:sz w:val="23"/>
          <w:szCs w:val="23"/>
        </w:rPr>
        <w:t xml:space="preserve"> </w:t>
      </w:r>
      <w:r w:rsidRPr="0093320C">
        <w:rPr>
          <w:rFonts w:hint="eastAsia"/>
          <w:color w:val="000000"/>
          <w:spacing w:val="-1"/>
          <w:sz w:val="23"/>
          <w:szCs w:val="23"/>
        </w:rPr>
        <w:t>VI, only vertical form is allowed under</w:t>
      </w:r>
      <w:r w:rsidRPr="0093320C">
        <w:rPr>
          <w:color w:val="000000"/>
          <w:spacing w:val="-1"/>
          <w:sz w:val="23"/>
          <w:szCs w:val="23"/>
        </w:rPr>
        <w:t xml:space="preserve"> </w:t>
      </w:r>
      <w:r w:rsidRPr="0093320C">
        <w:rPr>
          <w:rFonts w:hint="eastAsia"/>
          <w:color w:val="000000"/>
          <w:spacing w:val="-1"/>
          <w:sz w:val="23"/>
          <w:szCs w:val="23"/>
        </w:rPr>
        <w:t>revised Schedule VI</w:t>
      </w:r>
      <w:r w:rsidR="006A78D2">
        <w:rPr>
          <w:color w:val="000000"/>
          <w:spacing w:val="-1"/>
          <w:sz w:val="23"/>
          <w:szCs w:val="23"/>
        </w:rPr>
        <w:t>.</w:t>
      </w:r>
    </w:p>
    <w:p w:rsidR="005E7E91" w:rsidRPr="0093320C" w:rsidRDefault="005E7E91" w:rsidP="00BA3D00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93320C">
        <w:rPr>
          <w:rFonts w:hint="eastAsia"/>
          <w:color w:val="000000"/>
          <w:spacing w:val="-1"/>
          <w:sz w:val="23"/>
          <w:szCs w:val="23"/>
        </w:rPr>
        <w:t>Once a unit measurement is used, it should</w:t>
      </w:r>
      <w:r w:rsidRPr="0093320C">
        <w:rPr>
          <w:color w:val="000000"/>
          <w:spacing w:val="-1"/>
          <w:sz w:val="23"/>
          <w:szCs w:val="23"/>
        </w:rPr>
        <w:t xml:space="preserve"> </w:t>
      </w:r>
      <w:r w:rsidRPr="0093320C">
        <w:rPr>
          <w:rFonts w:hint="eastAsia"/>
          <w:color w:val="000000"/>
          <w:spacing w:val="-1"/>
          <w:sz w:val="23"/>
          <w:szCs w:val="23"/>
        </w:rPr>
        <w:t>be used uniformly in the Financial Statements.</w:t>
      </w:r>
    </w:p>
    <w:p w:rsidR="005E7E91" w:rsidRPr="00441B7C" w:rsidRDefault="005E7E91" w:rsidP="00D03B0C">
      <w:pPr>
        <w:pStyle w:val="Title"/>
        <w:numPr>
          <w:ilvl w:val="0"/>
          <w:numId w:val="11"/>
        </w:numPr>
        <w:pBdr>
          <w:bottom w:val="none" w:sz="0" w:space="0" w:color="auto"/>
        </w:pBdr>
        <w:jc w:val="both"/>
        <w:rPr>
          <w:b/>
          <w:bCs/>
          <w:color w:val="4F81BD" w:themeColor="accent1"/>
          <w:spacing w:val="0"/>
          <w:kern w:val="0"/>
          <w:sz w:val="26"/>
          <w:szCs w:val="26"/>
        </w:rPr>
      </w:pPr>
      <w:r w:rsidRPr="00441B7C">
        <w:rPr>
          <w:rFonts w:hint="eastAsia"/>
          <w:b/>
          <w:bCs/>
          <w:color w:val="4F81BD" w:themeColor="accent1"/>
          <w:spacing w:val="0"/>
          <w:kern w:val="0"/>
          <w:sz w:val="26"/>
          <w:szCs w:val="26"/>
        </w:rPr>
        <w:t>Changes in Balance Sheet</w:t>
      </w:r>
    </w:p>
    <w:p w:rsidR="005E7E91" w:rsidRPr="00722A11" w:rsidRDefault="005E7E91" w:rsidP="00722A11">
      <w:pPr>
        <w:widowControl w:val="0"/>
        <w:spacing w:after="0" w:line="240" w:lineRule="auto"/>
        <w:jc w:val="both"/>
        <w:rPr>
          <w:rFonts w:ascii="Monotype Corsiva" w:hAnsi="Monotype Corsiva"/>
          <w:i/>
          <w:sz w:val="32"/>
          <w:szCs w:val="32"/>
        </w:rPr>
      </w:pPr>
      <w:r w:rsidRPr="00722A11">
        <w:rPr>
          <w:rFonts w:ascii="Monotype Corsiva" w:hAnsi="Monotype Corsiva" w:hint="eastAsia"/>
          <w:i/>
          <w:sz w:val="32"/>
          <w:szCs w:val="32"/>
        </w:rPr>
        <w:t>Liabilities</w:t>
      </w:r>
    </w:p>
    <w:p w:rsidR="005E7E91" w:rsidRPr="00CA6CE3" w:rsidRDefault="005E7E91" w:rsidP="00BA3D00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A70A41">
        <w:rPr>
          <w:rFonts w:hint="eastAsia"/>
          <w:color w:val="000000"/>
          <w:spacing w:val="-1"/>
          <w:sz w:val="23"/>
          <w:szCs w:val="23"/>
        </w:rPr>
        <w:t>Change in nomenclature</w:t>
      </w:r>
      <w:r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–</w:t>
      </w:r>
      <w:r w:rsidRPr="007B118D">
        <w:rPr>
          <w:rFonts w:hint="eastAsia"/>
          <w:b/>
          <w:color w:val="000000"/>
          <w:spacing w:val="-1"/>
          <w:sz w:val="23"/>
          <w:szCs w:val="23"/>
        </w:rPr>
        <w:t>“</w:t>
      </w:r>
      <w:r w:rsidRPr="007B118D">
        <w:rPr>
          <w:rFonts w:hint="eastAsia"/>
          <w:b/>
          <w:color w:val="000000"/>
          <w:spacing w:val="-1"/>
          <w:sz w:val="23"/>
          <w:szCs w:val="23"/>
        </w:rPr>
        <w:t>Sources of</w:t>
      </w:r>
      <w:r w:rsidRPr="007B118D">
        <w:rPr>
          <w:b/>
          <w:color w:val="000000"/>
          <w:spacing w:val="-1"/>
          <w:sz w:val="23"/>
          <w:szCs w:val="23"/>
        </w:rPr>
        <w:t xml:space="preserve"> </w:t>
      </w:r>
      <w:r w:rsidRPr="007B118D">
        <w:rPr>
          <w:rFonts w:hint="eastAsia"/>
          <w:b/>
          <w:color w:val="000000"/>
          <w:spacing w:val="-1"/>
          <w:sz w:val="23"/>
          <w:szCs w:val="23"/>
        </w:rPr>
        <w:t>Funds</w:t>
      </w:r>
      <w:r w:rsidRPr="007B118D">
        <w:rPr>
          <w:rFonts w:hint="eastAsia"/>
          <w:b/>
          <w:color w:val="000000"/>
          <w:spacing w:val="-1"/>
          <w:sz w:val="23"/>
          <w:szCs w:val="23"/>
        </w:rPr>
        <w:t>”</w:t>
      </w:r>
      <w:r w:rsidRPr="00A70A41">
        <w:rPr>
          <w:rFonts w:hint="eastAsia"/>
          <w:color w:val="000000"/>
          <w:spacing w:val="-1"/>
          <w:sz w:val="23"/>
          <w:szCs w:val="23"/>
        </w:rPr>
        <w:t xml:space="preserve"> has been replaced with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="00CD4DD2" w:rsidRPr="007B118D">
        <w:rPr>
          <w:b/>
          <w:color w:val="000000"/>
          <w:spacing w:val="-1"/>
          <w:sz w:val="23"/>
          <w:szCs w:val="23"/>
        </w:rPr>
        <w:t>“</w:t>
      </w:r>
      <w:r w:rsidRPr="007B118D">
        <w:rPr>
          <w:rFonts w:hint="eastAsia"/>
          <w:b/>
          <w:color w:val="000000"/>
          <w:spacing w:val="-1"/>
          <w:sz w:val="23"/>
          <w:szCs w:val="23"/>
        </w:rPr>
        <w:t>Equity</w:t>
      </w:r>
      <w:r w:rsidRPr="007B118D">
        <w:rPr>
          <w:b/>
          <w:color w:val="000000"/>
          <w:spacing w:val="-1"/>
          <w:sz w:val="23"/>
          <w:szCs w:val="23"/>
        </w:rPr>
        <w:t xml:space="preserve"> </w:t>
      </w:r>
      <w:r w:rsidRPr="007B118D">
        <w:rPr>
          <w:rFonts w:hint="eastAsia"/>
          <w:b/>
          <w:color w:val="000000"/>
          <w:spacing w:val="-1"/>
          <w:sz w:val="23"/>
          <w:szCs w:val="23"/>
        </w:rPr>
        <w:t>&amp;</w:t>
      </w:r>
      <w:r w:rsidRPr="007B118D">
        <w:rPr>
          <w:b/>
          <w:color w:val="000000"/>
          <w:spacing w:val="-1"/>
          <w:sz w:val="23"/>
          <w:szCs w:val="23"/>
        </w:rPr>
        <w:t xml:space="preserve"> </w:t>
      </w:r>
      <w:r w:rsidRPr="007B118D">
        <w:rPr>
          <w:rFonts w:hint="eastAsia"/>
          <w:b/>
          <w:color w:val="000000"/>
          <w:spacing w:val="-1"/>
          <w:sz w:val="23"/>
          <w:szCs w:val="23"/>
        </w:rPr>
        <w:t>Liabilities</w:t>
      </w:r>
      <w:r w:rsidRPr="007B118D">
        <w:rPr>
          <w:rFonts w:hint="eastAsia"/>
          <w:b/>
          <w:color w:val="000000"/>
          <w:spacing w:val="-1"/>
          <w:sz w:val="23"/>
          <w:szCs w:val="23"/>
        </w:rPr>
        <w:t>”</w:t>
      </w:r>
      <w:r w:rsidRPr="00CA6CE3">
        <w:rPr>
          <w:color w:val="000000"/>
          <w:spacing w:val="-1"/>
          <w:sz w:val="23"/>
          <w:szCs w:val="23"/>
        </w:rPr>
        <w:t xml:space="preserve"> </w:t>
      </w:r>
    </w:p>
    <w:p w:rsidR="005E7E91" w:rsidRPr="00A70A41" w:rsidRDefault="005E7E91" w:rsidP="00BA3D00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A70A41">
        <w:rPr>
          <w:rFonts w:hint="eastAsia"/>
          <w:color w:val="000000"/>
          <w:spacing w:val="-1"/>
          <w:sz w:val="23"/>
          <w:szCs w:val="23"/>
        </w:rPr>
        <w:t>Debit Balance of P&amp;L A/c shall now be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shown as negative figure under head Surplus</w:t>
      </w:r>
    </w:p>
    <w:p w:rsidR="005E7E91" w:rsidRPr="00A70A41" w:rsidRDefault="005E7E91" w:rsidP="00BA3D00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A70A41">
        <w:rPr>
          <w:rFonts w:hint="eastAsia"/>
          <w:color w:val="000000"/>
          <w:spacing w:val="-1"/>
          <w:sz w:val="23"/>
          <w:szCs w:val="23"/>
        </w:rPr>
        <w:t xml:space="preserve">Liabilities will now broadly be classified </w:t>
      </w:r>
      <w:r w:rsidRPr="00A70A41">
        <w:rPr>
          <w:rFonts w:hint="eastAsia"/>
          <w:color w:val="000000"/>
          <w:spacing w:val="-1"/>
          <w:sz w:val="23"/>
          <w:szCs w:val="23"/>
        </w:rPr>
        <w:lastRenderedPageBreak/>
        <w:t>as</w:t>
      </w:r>
      <w:r>
        <w:rPr>
          <w:color w:val="000000"/>
          <w:spacing w:val="-1"/>
          <w:sz w:val="23"/>
          <w:szCs w:val="23"/>
        </w:rPr>
        <w:t xml:space="preserve"> :</w:t>
      </w:r>
      <w:r w:rsidRPr="00A70A41">
        <w:rPr>
          <w:color w:val="000000"/>
          <w:spacing w:val="-1"/>
          <w:sz w:val="23"/>
          <w:szCs w:val="23"/>
        </w:rPr>
        <w:t xml:space="preserve"> </w:t>
      </w:r>
    </w:p>
    <w:p w:rsidR="005E7E91" w:rsidRPr="00A70A41" w:rsidRDefault="005E7E91" w:rsidP="007B118D">
      <w:pPr>
        <w:pStyle w:val="ListParagraph"/>
        <w:widowControl w:val="0"/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>
        <w:rPr>
          <w:color w:val="000000"/>
          <w:spacing w:val="-1"/>
          <w:sz w:val="23"/>
          <w:szCs w:val="23"/>
        </w:rPr>
        <w:tab/>
        <w:t xml:space="preserve">a) </w:t>
      </w:r>
      <w:r w:rsidRPr="00A70A41">
        <w:rPr>
          <w:rFonts w:hint="eastAsia"/>
          <w:color w:val="000000"/>
          <w:spacing w:val="-1"/>
          <w:sz w:val="23"/>
          <w:szCs w:val="23"/>
        </w:rPr>
        <w:t>Current Liabilities &amp;</w:t>
      </w:r>
    </w:p>
    <w:p w:rsidR="005E7E91" w:rsidRPr="00A70A41" w:rsidRDefault="005E7E91" w:rsidP="007B118D">
      <w:pPr>
        <w:pStyle w:val="ListParagraph"/>
        <w:widowControl w:val="0"/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>
        <w:rPr>
          <w:color w:val="000000"/>
          <w:spacing w:val="-1"/>
          <w:sz w:val="23"/>
          <w:szCs w:val="23"/>
        </w:rPr>
        <w:tab/>
        <w:t xml:space="preserve">b) </w:t>
      </w:r>
      <w:r w:rsidRPr="00A70A41">
        <w:rPr>
          <w:rFonts w:hint="eastAsia"/>
          <w:color w:val="000000"/>
          <w:spacing w:val="-1"/>
          <w:sz w:val="23"/>
          <w:szCs w:val="23"/>
        </w:rPr>
        <w:t>Non Current Liabilities</w:t>
      </w:r>
    </w:p>
    <w:p w:rsidR="005E7E91" w:rsidRPr="00A70A41" w:rsidRDefault="005E7E91" w:rsidP="00BA3D00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A70A41">
        <w:rPr>
          <w:rFonts w:hint="eastAsia"/>
          <w:color w:val="000000"/>
          <w:spacing w:val="-1"/>
          <w:sz w:val="23"/>
          <w:szCs w:val="23"/>
        </w:rPr>
        <w:t>Deferred payment liabilities and loans &amp;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advances from related parties to be shown</w:t>
      </w:r>
      <w:r w:rsidRPr="00A70A41">
        <w:rPr>
          <w:color w:val="000000"/>
          <w:spacing w:val="-1"/>
          <w:sz w:val="23"/>
          <w:szCs w:val="23"/>
        </w:rPr>
        <w:t xml:space="preserve"> separately</w:t>
      </w:r>
      <w:r>
        <w:rPr>
          <w:rFonts w:hint="eastAsia"/>
          <w:color w:val="000000"/>
          <w:spacing w:val="-1"/>
          <w:sz w:val="23"/>
          <w:szCs w:val="23"/>
        </w:rPr>
        <w:t xml:space="preserve"> under head</w:t>
      </w:r>
      <w:r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“</w:t>
      </w:r>
      <w:r w:rsidRPr="00A70A41">
        <w:rPr>
          <w:rFonts w:hint="eastAsia"/>
          <w:color w:val="000000"/>
          <w:spacing w:val="-1"/>
          <w:sz w:val="23"/>
          <w:szCs w:val="23"/>
        </w:rPr>
        <w:t>Long term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Borrowings</w:t>
      </w:r>
      <w:r w:rsidR="003B0DC9">
        <w:rPr>
          <w:color w:val="000000"/>
          <w:spacing w:val="-1"/>
          <w:sz w:val="23"/>
          <w:szCs w:val="23"/>
        </w:rPr>
        <w:t>”</w:t>
      </w:r>
      <w:r w:rsidRPr="00A70A41">
        <w:rPr>
          <w:rFonts w:hint="eastAsia"/>
          <w:color w:val="000000"/>
          <w:spacing w:val="-1"/>
          <w:sz w:val="23"/>
          <w:szCs w:val="23"/>
        </w:rPr>
        <w:t>.</w:t>
      </w:r>
    </w:p>
    <w:p w:rsidR="005E7E91" w:rsidRPr="00A70A41" w:rsidRDefault="005E7E91" w:rsidP="00BA3D00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A70A41">
        <w:rPr>
          <w:rFonts w:hint="eastAsia"/>
          <w:color w:val="000000"/>
          <w:spacing w:val="-1"/>
          <w:sz w:val="23"/>
          <w:szCs w:val="23"/>
        </w:rPr>
        <w:t xml:space="preserve">Provisions to be classified as </w:t>
      </w:r>
      <w:r w:rsidRPr="003B0DC9">
        <w:rPr>
          <w:rFonts w:hint="eastAsia"/>
          <w:b/>
          <w:color w:val="000000"/>
          <w:spacing w:val="-1"/>
          <w:sz w:val="23"/>
          <w:szCs w:val="23"/>
        </w:rPr>
        <w:t>Short Term</w:t>
      </w:r>
      <w:r w:rsidRPr="003B0DC9">
        <w:rPr>
          <w:b/>
          <w:color w:val="000000"/>
          <w:spacing w:val="-1"/>
          <w:sz w:val="23"/>
          <w:szCs w:val="23"/>
        </w:rPr>
        <w:t xml:space="preserve"> </w:t>
      </w:r>
      <w:r w:rsidRPr="003B0DC9">
        <w:rPr>
          <w:rFonts w:hint="eastAsia"/>
          <w:b/>
          <w:color w:val="000000"/>
          <w:spacing w:val="-1"/>
          <w:sz w:val="23"/>
          <w:szCs w:val="23"/>
        </w:rPr>
        <w:t>Provisions &amp; Long Term Provisions</w:t>
      </w:r>
      <w:r w:rsidR="003B0DC9">
        <w:rPr>
          <w:b/>
          <w:color w:val="000000"/>
          <w:spacing w:val="-1"/>
          <w:sz w:val="23"/>
          <w:szCs w:val="23"/>
        </w:rPr>
        <w:t>.</w:t>
      </w:r>
    </w:p>
    <w:p w:rsidR="005E7E91" w:rsidRPr="00722A11" w:rsidRDefault="005E7E91" w:rsidP="00722A11">
      <w:pPr>
        <w:widowControl w:val="0"/>
        <w:spacing w:after="0" w:line="240" w:lineRule="auto"/>
        <w:jc w:val="both"/>
        <w:rPr>
          <w:rFonts w:ascii="Monotype Corsiva" w:hAnsi="Monotype Corsiva"/>
          <w:i/>
          <w:sz w:val="32"/>
          <w:szCs w:val="32"/>
        </w:rPr>
      </w:pPr>
      <w:r w:rsidRPr="00722A11">
        <w:rPr>
          <w:rFonts w:ascii="Monotype Corsiva" w:hAnsi="Monotype Corsiva" w:hint="eastAsia"/>
          <w:i/>
          <w:sz w:val="32"/>
          <w:szCs w:val="32"/>
        </w:rPr>
        <w:t>Assets</w:t>
      </w:r>
    </w:p>
    <w:p w:rsidR="005E7E91" w:rsidRPr="00A70A41" w:rsidRDefault="005E7E91" w:rsidP="00BA3D00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A70A41">
        <w:rPr>
          <w:rFonts w:hint="eastAsia"/>
          <w:color w:val="000000"/>
          <w:spacing w:val="-1"/>
          <w:sz w:val="23"/>
          <w:szCs w:val="23"/>
        </w:rPr>
        <w:t xml:space="preserve">Change in nomenclature </w:t>
      </w:r>
      <w:r w:rsidRPr="00A70A41">
        <w:rPr>
          <w:rFonts w:hint="eastAsia"/>
          <w:color w:val="000000"/>
          <w:spacing w:val="-1"/>
          <w:sz w:val="23"/>
          <w:szCs w:val="23"/>
        </w:rPr>
        <w:t>–“</w:t>
      </w:r>
      <w:r w:rsidRPr="00A70A41">
        <w:rPr>
          <w:rFonts w:hint="eastAsia"/>
          <w:color w:val="000000"/>
          <w:spacing w:val="-1"/>
          <w:sz w:val="23"/>
          <w:szCs w:val="23"/>
        </w:rPr>
        <w:t xml:space="preserve">Application </w:t>
      </w:r>
      <w:r w:rsidRPr="00A70A41">
        <w:rPr>
          <w:color w:val="000000"/>
          <w:spacing w:val="-1"/>
          <w:sz w:val="23"/>
          <w:szCs w:val="23"/>
        </w:rPr>
        <w:t xml:space="preserve">of </w:t>
      </w:r>
      <w:r w:rsidRPr="00A70A41">
        <w:rPr>
          <w:rFonts w:hint="eastAsia"/>
          <w:color w:val="000000"/>
          <w:spacing w:val="-1"/>
          <w:sz w:val="23"/>
          <w:szCs w:val="23"/>
        </w:rPr>
        <w:t>Funds</w:t>
      </w:r>
      <w:r w:rsidRPr="00A70A41">
        <w:rPr>
          <w:rFonts w:hint="eastAsia"/>
          <w:color w:val="000000"/>
          <w:spacing w:val="-1"/>
          <w:sz w:val="23"/>
          <w:szCs w:val="23"/>
        </w:rPr>
        <w:t>”</w:t>
      </w:r>
      <w:r w:rsidRPr="00A70A41">
        <w:rPr>
          <w:rFonts w:hint="eastAsia"/>
          <w:color w:val="000000"/>
          <w:spacing w:val="-1"/>
          <w:sz w:val="23"/>
          <w:szCs w:val="23"/>
        </w:rPr>
        <w:t xml:space="preserve"> has been replaced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“</w:t>
      </w:r>
      <w:r w:rsidRPr="00A70A41">
        <w:rPr>
          <w:rFonts w:hint="eastAsia"/>
          <w:color w:val="000000"/>
          <w:spacing w:val="-1"/>
          <w:sz w:val="23"/>
          <w:szCs w:val="23"/>
        </w:rPr>
        <w:t>Assets</w:t>
      </w:r>
      <w:r w:rsidR="008A21F6">
        <w:rPr>
          <w:color w:val="000000"/>
          <w:spacing w:val="-1"/>
          <w:sz w:val="23"/>
          <w:szCs w:val="23"/>
        </w:rPr>
        <w:t>”</w:t>
      </w:r>
    </w:p>
    <w:p w:rsidR="005E7E91" w:rsidRPr="00A70A41" w:rsidRDefault="005E7E91" w:rsidP="00BA3D00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A70A41">
        <w:rPr>
          <w:rFonts w:hint="eastAsia"/>
          <w:color w:val="000000"/>
          <w:spacing w:val="-1"/>
          <w:sz w:val="23"/>
          <w:szCs w:val="23"/>
        </w:rPr>
        <w:t>Fixed Assets to be further classified as</w:t>
      </w:r>
      <w:r w:rsidR="008A21F6">
        <w:rPr>
          <w:color w:val="000000"/>
          <w:spacing w:val="-1"/>
          <w:sz w:val="23"/>
          <w:szCs w:val="23"/>
        </w:rPr>
        <w:t>:</w:t>
      </w:r>
    </w:p>
    <w:p w:rsidR="005E7E91" w:rsidRPr="00A70A41" w:rsidRDefault="005E7E91" w:rsidP="008A21F6">
      <w:pPr>
        <w:pStyle w:val="ListParagraph"/>
        <w:widowControl w:val="0"/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>
        <w:rPr>
          <w:color w:val="000000"/>
          <w:spacing w:val="-1"/>
          <w:sz w:val="23"/>
          <w:szCs w:val="23"/>
        </w:rPr>
        <w:tab/>
        <w:t xml:space="preserve">a) </w:t>
      </w:r>
      <w:r w:rsidRPr="00A70A41">
        <w:rPr>
          <w:rFonts w:hint="eastAsia"/>
          <w:color w:val="000000"/>
          <w:spacing w:val="-1"/>
          <w:sz w:val="23"/>
          <w:szCs w:val="23"/>
        </w:rPr>
        <w:t>Tangible</w:t>
      </w:r>
      <w:r>
        <w:rPr>
          <w:color w:val="000000"/>
          <w:spacing w:val="-1"/>
          <w:sz w:val="23"/>
          <w:szCs w:val="23"/>
        </w:rPr>
        <w:t>,</w:t>
      </w:r>
    </w:p>
    <w:p w:rsidR="005E7E91" w:rsidRDefault="005E7E91" w:rsidP="008A21F6">
      <w:pPr>
        <w:pStyle w:val="ListParagraph"/>
        <w:widowControl w:val="0"/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>
        <w:rPr>
          <w:color w:val="000000"/>
          <w:spacing w:val="-1"/>
          <w:sz w:val="23"/>
          <w:szCs w:val="23"/>
        </w:rPr>
        <w:tab/>
        <w:t xml:space="preserve">b) </w:t>
      </w:r>
      <w:r w:rsidRPr="00A70A41">
        <w:rPr>
          <w:rFonts w:hint="eastAsia"/>
          <w:color w:val="000000"/>
          <w:spacing w:val="-1"/>
          <w:sz w:val="23"/>
          <w:szCs w:val="23"/>
        </w:rPr>
        <w:t>Non-Tangible</w:t>
      </w:r>
    </w:p>
    <w:p w:rsidR="00A3503D" w:rsidRDefault="00A3503D" w:rsidP="008A21F6">
      <w:pPr>
        <w:pStyle w:val="ListParagraph"/>
        <w:widowControl w:val="0"/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>
        <w:rPr>
          <w:color w:val="000000"/>
          <w:spacing w:val="-1"/>
          <w:sz w:val="23"/>
          <w:szCs w:val="23"/>
        </w:rPr>
        <w:tab/>
        <w:t>c) Capital Work In Progress</w:t>
      </w:r>
    </w:p>
    <w:p w:rsidR="00A3503D" w:rsidRPr="00A70A41" w:rsidRDefault="00A3503D" w:rsidP="009869D7">
      <w:pPr>
        <w:pStyle w:val="ListParagraph"/>
        <w:widowControl w:val="0"/>
        <w:tabs>
          <w:tab w:val="left" w:pos="1080"/>
        </w:tabs>
        <w:autoSpaceDE w:val="0"/>
        <w:autoSpaceDN w:val="0"/>
        <w:adjustRightInd w:val="0"/>
        <w:spacing w:before="21" w:line="264" w:lineRule="exact"/>
        <w:ind w:left="1080"/>
        <w:rPr>
          <w:color w:val="000000"/>
          <w:spacing w:val="-1"/>
          <w:sz w:val="23"/>
          <w:szCs w:val="23"/>
        </w:rPr>
      </w:pPr>
      <w:r>
        <w:rPr>
          <w:color w:val="000000"/>
          <w:spacing w:val="-1"/>
          <w:sz w:val="23"/>
          <w:szCs w:val="23"/>
        </w:rPr>
        <w:t>d)</w:t>
      </w:r>
      <w:r w:rsidR="009869D7">
        <w:rPr>
          <w:color w:val="000000"/>
          <w:spacing w:val="-1"/>
          <w:sz w:val="23"/>
          <w:szCs w:val="23"/>
        </w:rPr>
        <w:t xml:space="preserve"> </w:t>
      </w:r>
      <w:r w:rsidRPr="00922C9C">
        <w:rPr>
          <w:color w:val="000000"/>
          <w:spacing w:val="-1"/>
          <w:sz w:val="23"/>
          <w:szCs w:val="23"/>
        </w:rPr>
        <w:t>Intangible Assets Under</w:t>
      </w:r>
      <w:r w:rsidR="009869D7">
        <w:rPr>
          <w:color w:val="000000"/>
          <w:spacing w:val="-1"/>
          <w:sz w:val="23"/>
          <w:szCs w:val="23"/>
        </w:rPr>
        <w:t xml:space="preserve"> d</w:t>
      </w:r>
      <w:r w:rsidRPr="00922C9C">
        <w:rPr>
          <w:color w:val="000000"/>
          <w:spacing w:val="-1"/>
          <w:sz w:val="23"/>
          <w:szCs w:val="23"/>
        </w:rPr>
        <w:t>evelopment</w:t>
      </w:r>
      <w:r w:rsidR="0025364D">
        <w:rPr>
          <w:color w:val="000000"/>
          <w:spacing w:val="-1"/>
          <w:sz w:val="23"/>
          <w:szCs w:val="23"/>
        </w:rPr>
        <w:t>.</w:t>
      </w:r>
    </w:p>
    <w:p w:rsidR="005E7E91" w:rsidRPr="00A70A41" w:rsidRDefault="005E7E91" w:rsidP="00BA3D00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A70A41">
        <w:rPr>
          <w:rFonts w:hint="eastAsia"/>
          <w:color w:val="000000"/>
          <w:spacing w:val="-1"/>
          <w:sz w:val="23"/>
          <w:szCs w:val="23"/>
        </w:rPr>
        <w:t>Current Assets are to be shown under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separate head.</w:t>
      </w:r>
    </w:p>
    <w:p w:rsidR="005E7E91" w:rsidRPr="00A70A41" w:rsidRDefault="005E7E91" w:rsidP="00BA3D00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674A2E">
        <w:rPr>
          <w:rFonts w:hint="eastAsia"/>
          <w:b/>
          <w:color w:val="000000"/>
          <w:spacing w:val="-1"/>
          <w:sz w:val="23"/>
          <w:szCs w:val="23"/>
        </w:rPr>
        <w:t>“</w:t>
      </w:r>
      <w:r w:rsidRPr="00674A2E">
        <w:rPr>
          <w:rFonts w:hint="eastAsia"/>
          <w:b/>
          <w:color w:val="000000"/>
          <w:spacing w:val="-1"/>
          <w:sz w:val="23"/>
          <w:szCs w:val="23"/>
        </w:rPr>
        <w:t>Sundry Debtors</w:t>
      </w:r>
      <w:r w:rsidRPr="00674A2E">
        <w:rPr>
          <w:rFonts w:hint="eastAsia"/>
          <w:b/>
          <w:color w:val="000000"/>
          <w:spacing w:val="-1"/>
          <w:sz w:val="23"/>
          <w:szCs w:val="23"/>
        </w:rPr>
        <w:t>”</w:t>
      </w:r>
      <w:r w:rsidRPr="00A70A41">
        <w:rPr>
          <w:rFonts w:hint="eastAsia"/>
          <w:color w:val="000000"/>
          <w:spacing w:val="-1"/>
          <w:sz w:val="23"/>
          <w:szCs w:val="23"/>
        </w:rPr>
        <w:t xml:space="preserve"> have now been named</w:t>
      </w:r>
      <w:r>
        <w:rPr>
          <w:color w:val="000000"/>
          <w:spacing w:val="-1"/>
          <w:sz w:val="23"/>
          <w:szCs w:val="23"/>
        </w:rPr>
        <w:t xml:space="preserve"> </w:t>
      </w:r>
      <w:r w:rsidRPr="00674A2E">
        <w:rPr>
          <w:rFonts w:hint="eastAsia"/>
          <w:b/>
          <w:color w:val="000000"/>
          <w:spacing w:val="-1"/>
          <w:sz w:val="23"/>
          <w:szCs w:val="23"/>
        </w:rPr>
        <w:t>“</w:t>
      </w:r>
      <w:r w:rsidRPr="00674A2E">
        <w:rPr>
          <w:rFonts w:hint="eastAsia"/>
          <w:b/>
          <w:color w:val="000000"/>
          <w:spacing w:val="-1"/>
          <w:sz w:val="23"/>
          <w:szCs w:val="23"/>
        </w:rPr>
        <w:t>Trade Receivables</w:t>
      </w:r>
      <w:r w:rsidRPr="00674A2E">
        <w:rPr>
          <w:rFonts w:hint="eastAsia"/>
          <w:b/>
          <w:color w:val="000000"/>
          <w:spacing w:val="-1"/>
          <w:sz w:val="23"/>
          <w:szCs w:val="23"/>
        </w:rPr>
        <w:t>”</w:t>
      </w:r>
    </w:p>
    <w:p w:rsidR="005E7E91" w:rsidRPr="00F23192" w:rsidRDefault="005E7E91" w:rsidP="00BA3D00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6A70B4">
        <w:rPr>
          <w:rFonts w:hint="eastAsia"/>
          <w:color w:val="000000"/>
          <w:spacing w:val="-1"/>
          <w:sz w:val="23"/>
          <w:szCs w:val="23"/>
        </w:rPr>
        <w:t>“</w:t>
      </w:r>
      <w:r w:rsidRPr="00674A2E">
        <w:rPr>
          <w:rFonts w:hint="eastAsia"/>
          <w:b/>
          <w:color w:val="000000"/>
          <w:spacing w:val="-1"/>
          <w:sz w:val="23"/>
          <w:szCs w:val="23"/>
        </w:rPr>
        <w:t>Cash and Bank Balances</w:t>
      </w:r>
      <w:r w:rsidRPr="006A70B4">
        <w:rPr>
          <w:rFonts w:hint="eastAsia"/>
          <w:color w:val="000000"/>
          <w:spacing w:val="-1"/>
          <w:sz w:val="23"/>
          <w:szCs w:val="23"/>
        </w:rPr>
        <w:t>”</w:t>
      </w:r>
      <w:r w:rsidRPr="00A70A41">
        <w:rPr>
          <w:rFonts w:hint="eastAsia"/>
          <w:color w:val="000000"/>
          <w:spacing w:val="-1"/>
          <w:sz w:val="23"/>
          <w:szCs w:val="23"/>
        </w:rPr>
        <w:t xml:space="preserve"> have now been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 xml:space="preserve">termed as </w:t>
      </w:r>
      <w:r w:rsidRPr="006A70B4">
        <w:rPr>
          <w:rFonts w:hint="eastAsia"/>
          <w:color w:val="000000"/>
          <w:spacing w:val="-1"/>
          <w:sz w:val="23"/>
          <w:szCs w:val="23"/>
        </w:rPr>
        <w:t>“</w:t>
      </w:r>
      <w:r w:rsidRPr="00674A2E">
        <w:rPr>
          <w:rFonts w:hint="eastAsia"/>
          <w:b/>
          <w:color w:val="000000"/>
          <w:spacing w:val="-1"/>
          <w:sz w:val="23"/>
          <w:szCs w:val="23"/>
        </w:rPr>
        <w:t>Cash and Cash</w:t>
      </w:r>
      <w:r w:rsidRPr="00674A2E">
        <w:rPr>
          <w:b/>
          <w:color w:val="000000"/>
          <w:spacing w:val="-1"/>
          <w:sz w:val="23"/>
          <w:szCs w:val="23"/>
        </w:rPr>
        <w:t xml:space="preserve"> </w:t>
      </w:r>
      <w:r w:rsidRPr="00674A2E">
        <w:rPr>
          <w:rFonts w:hint="eastAsia"/>
          <w:b/>
          <w:color w:val="000000"/>
          <w:spacing w:val="-1"/>
          <w:sz w:val="23"/>
          <w:szCs w:val="23"/>
        </w:rPr>
        <w:t>Equivalents</w:t>
      </w:r>
      <w:r w:rsidRPr="00BA3D00">
        <w:rPr>
          <w:rFonts w:hint="eastAsia"/>
          <w:color w:val="000000"/>
          <w:spacing w:val="-1"/>
          <w:sz w:val="23"/>
          <w:szCs w:val="23"/>
        </w:rPr>
        <w:t>”</w:t>
      </w:r>
      <w:r>
        <w:rPr>
          <w:color w:val="000000"/>
          <w:spacing w:val="-1"/>
          <w:sz w:val="23"/>
          <w:szCs w:val="23"/>
        </w:rPr>
        <w:t xml:space="preserve">. </w:t>
      </w:r>
      <w:r w:rsidRPr="00F23192">
        <w:rPr>
          <w:rFonts w:hint="eastAsia"/>
          <w:color w:val="000000"/>
          <w:spacing w:val="-1"/>
          <w:sz w:val="23"/>
          <w:szCs w:val="23"/>
        </w:rPr>
        <w:t>Classification under this head has been</w:t>
      </w:r>
      <w:r w:rsidRPr="00F23192">
        <w:rPr>
          <w:color w:val="000000"/>
          <w:spacing w:val="-1"/>
          <w:sz w:val="23"/>
          <w:szCs w:val="23"/>
        </w:rPr>
        <w:t xml:space="preserve"> </w:t>
      </w:r>
      <w:r w:rsidRPr="00F23192">
        <w:rPr>
          <w:rFonts w:hint="eastAsia"/>
          <w:color w:val="000000"/>
          <w:spacing w:val="-1"/>
          <w:sz w:val="23"/>
          <w:szCs w:val="23"/>
        </w:rPr>
        <w:t>completely revamped.</w:t>
      </w:r>
    </w:p>
    <w:p w:rsidR="005E7E91" w:rsidRPr="00A70A41" w:rsidRDefault="005E7E9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A70A41">
        <w:rPr>
          <w:rFonts w:hint="eastAsia"/>
          <w:color w:val="000000"/>
          <w:spacing w:val="-1"/>
          <w:sz w:val="23"/>
          <w:szCs w:val="23"/>
        </w:rPr>
        <w:t xml:space="preserve">Inventories </w:t>
      </w:r>
      <w:r w:rsidRPr="00A70A41">
        <w:rPr>
          <w:rFonts w:hint="eastAsia"/>
          <w:color w:val="000000"/>
          <w:spacing w:val="-1"/>
          <w:sz w:val="23"/>
          <w:szCs w:val="23"/>
        </w:rPr>
        <w:t>–</w:t>
      </w:r>
      <w:r w:rsidRPr="00A70A41">
        <w:rPr>
          <w:rFonts w:hint="eastAsia"/>
          <w:color w:val="000000"/>
          <w:spacing w:val="-1"/>
          <w:sz w:val="23"/>
          <w:szCs w:val="23"/>
        </w:rPr>
        <w:t xml:space="preserve"> </w:t>
      </w:r>
      <w:r w:rsidRPr="00674A2E">
        <w:rPr>
          <w:rFonts w:hint="eastAsia"/>
          <w:b/>
          <w:color w:val="000000"/>
          <w:spacing w:val="-1"/>
          <w:sz w:val="23"/>
          <w:szCs w:val="23"/>
        </w:rPr>
        <w:t>Goods in transit</w:t>
      </w:r>
      <w:r w:rsidRPr="00A70A41">
        <w:rPr>
          <w:rFonts w:hint="eastAsia"/>
          <w:color w:val="000000"/>
          <w:spacing w:val="-1"/>
          <w:sz w:val="23"/>
          <w:szCs w:val="23"/>
        </w:rPr>
        <w:t xml:space="preserve"> shall be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disclosed under the relevant sub-head of</w:t>
      </w:r>
      <w:r w:rsidRPr="00A70A41">
        <w:rPr>
          <w:color w:val="000000"/>
          <w:spacing w:val="-1"/>
          <w:sz w:val="23"/>
          <w:szCs w:val="23"/>
        </w:rPr>
        <w:t xml:space="preserve"> Inventories</w:t>
      </w:r>
    </w:p>
    <w:p w:rsidR="005E7E91" w:rsidRPr="00A70A41" w:rsidRDefault="005E7E9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674A2E">
        <w:rPr>
          <w:rFonts w:hint="eastAsia"/>
          <w:b/>
          <w:color w:val="000000"/>
          <w:spacing w:val="-1"/>
          <w:sz w:val="23"/>
          <w:szCs w:val="23"/>
        </w:rPr>
        <w:t>Misc expenditure</w:t>
      </w:r>
      <w:r w:rsidRPr="00A70A41">
        <w:rPr>
          <w:rFonts w:hint="eastAsia"/>
          <w:color w:val="000000"/>
          <w:spacing w:val="-1"/>
          <w:sz w:val="23"/>
          <w:szCs w:val="23"/>
        </w:rPr>
        <w:t xml:space="preserve"> (to the extent not written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off or adjusted) shall now not be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shown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>
        <w:rPr>
          <w:rFonts w:hint="eastAsia"/>
          <w:color w:val="000000"/>
          <w:spacing w:val="-1"/>
          <w:sz w:val="23"/>
          <w:szCs w:val="23"/>
        </w:rPr>
        <w:t>separately under head</w:t>
      </w:r>
      <w:r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“</w:t>
      </w:r>
      <w:r w:rsidRPr="00A70A41">
        <w:rPr>
          <w:rFonts w:hint="eastAsia"/>
          <w:color w:val="000000"/>
          <w:spacing w:val="-1"/>
          <w:sz w:val="23"/>
          <w:szCs w:val="23"/>
        </w:rPr>
        <w:t>Other Current Assets</w:t>
      </w:r>
      <w:r w:rsidR="00674A2E">
        <w:rPr>
          <w:color w:val="000000"/>
          <w:spacing w:val="-1"/>
          <w:sz w:val="23"/>
          <w:szCs w:val="23"/>
        </w:rPr>
        <w:t>”.</w:t>
      </w:r>
    </w:p>
    <w:p w:rsidR="005E7E91" w:rsidRPr="00DF370A" w:rsidRDefault="005E7E9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A70A41">
        <w:rPr>
          <w:rFonts w:hint="eastAsia"/>
          <w:color w:val="000000"/>
          <w:spacing w:val="-1"/>
          <w:sz w:val="23"/>
          <w:szCs w:val="23"/>
        </w:rPr>
        <w:t>The amount of dividend proposed to be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distributed to shareholders (equity and</w:t>
      </w:r>
      <w:r w:rsidRPr="00A70A41">
        <w:rPr>
          <w:color w:val="000000"/>
          <w:spacing w:val="-1"/>
          <w:sz w:val="23"/>
          <w:szCs w:val="23"/>
        </w:rPr>
        <w:t xml:space="preserve"> Preference</w:t>
      </w:r>
      <w:r w:rsidRPr="00A70A41">
        <w:rPr>
          <w:rFonts w:hint="eastAsia"/>
          <w:color w:val="000000"/>
          <w:spacing w:val="-1"/>
          <w:sz w:val="23"/>
          <w:szCs w:val="23"/>
        </w:rPr>
        <w:t>) for the period and amount per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share to be disclosed separately</w:t>
      </w:r>
      <w:r>
        <w:rPr>
          <w:color w:val="000000"/>
          <w:spacing w:val="-1"/>
          <w:sz w:val="23"/>
          <w:szCs w:val="23"/>
        </w:rPr>
        <w:t>.</w:t>
      </w:r>
    </w:p>
    <w:p w:rsidR="005E7E91" w:rsidRPr="00441B7C" w:rsidRDefault="005E7E91" w:rsidP="00D03B0C">
      <w:pPr>
        <w:pStyle w:val="Title"/>
        <w:numPr>
          <w:ilvl w:val="0"/>
          <w:numId w:val="11"/>
        </w:numPr>
        <w:pBdr>
          <w:bottom w:val="none" w:sz="0" w:space="0" w:color="auto"/>
        </w:pBdr>
        <w:jc w:val="both"/>
        <w:rPr>
          <w:b/>
          <w:bCs/>
          <w:color w:val="4F81BD" w:themeColor="accent1"/>
          <w:spacing w:val="0"/>
          <w:kern w:val="0"/>
          <w:sz w:val="26"/>
          <w:szCs w:val="26"/>
        </w:rPr>
      </w:pPr>
      <w:r w:rsidRPr="00441B7C">
        <w:rPr>
          <w:rFonts w:hint="eastAsia"/>
          <w:b/>
          <w:bCs/>
          <w:color w:val="4F81BD" w:themeColor="accent1"/>
          <w:spacing w:val="0"/>
          <w:kern w:val="0"/>
          <w:sz w:val="26"/>
          <w:szCs w:val="26"/>
        </w:rPr>
        <w:t>Changes in Profit &amp; Loss A/c</w:t>
      </w:r>
    </w:p>
    <w:p w:rsidR="005E7E91" w:rsidRPr="003F15C8" w:rsidRDefault="004069B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>
        <w:rPr>
          <w:rFonts w:hint="eastAsia"/>
          <w:color w:val="000000"/>
          <w:spacing w:val="-1"/>
          <w:sz w:val="23"/>
          <w:szCs w:val="23"/>
        </w:rPr>
        <w:t>Under head</w:t>
      </w:r>
      <w:r>
        <w:rPr>
          <w:color w:val="000000"/>
          <w:spacing w:val="-1"/>
          <w:sz w:val="23"/>
          <w:szCs w:val="23"/>
        </w:rPr>
        <w:t xml:space="preserve"> </w:t>
      </w:r>
      <w:r w:rsidR="005E7E91" w:rsidRPr="00A70A41">
        <w:rPr>
          <w:rFonts w:hint="eastAsia"/>
          <w:color w:val="000000"/>
          <w:spacing w:val="-1"/>
          <w:sz w:val="23"/>
          <w:szCs w:val="23"/>
        </w:rPr>
        <w:t>“</w:t>
      </w:r>
      <w:r w:rsidR="005E7E91" w:rsidRPr="00A70A41">
        <w:rPr>
          <w:rFonts w:hint="eastAsia"/>
          <w:color w:val="000000"/>
          <w:spacing w:val="-1"/>
          <w:sz w:val="23"/>
          <w:szCs w:val="23"/>
        </w:rPr>
        <w:t>Other Income</w:t>
      </w:r>
      <w:r w:rsidR="005E7E91" w:rsidRPr="00A70A41">
        <w:rPr>
          <w:rFonts w:hint="eastAsia"/>
          <w:color w:val="000000"/>
          <w:spacing w:val="-1"/>
          <w:sz w:val="23"/>
          <w:szCs w:val="23"/>
        </w:rPr>
        <w:t>”</w:t>
      </w:r>
      <w:r w:rsidR="005E7E91" w:rsidRPr="00A70A41">
        <w:rPr>
          <w:rFonts w:hint="eastAsia"/>
          <w:color w:val="000000"/>
          <w:spacing w:val="-1"/>
          <w:sz w:val="23"/>
          <w:szCs w:val="23"/>
        </w:rPr>
        <w:t xml:space="preserve">- </w:t>
      </w:r>
      <w:r w:rsidR="005E7E91" w:rsidRPr="004069B1">
        <w:rPr>
          <w:rFonts w:hint="eastAsia"/>
          <w:b/>
          <w:color w:val="000000"/>
          <w:spacing w:val="-1"/>
          <w:sz w:val="23"/>
          <w:szCs w:val="23"/>
        </w:rPr>
        <w:t>Net gain/loss</w:t>
      </w:r>
      <w:r w:rsidR="005E7E91" w:rsidRPr="004069B1">
        <w:rPr>
          <w:b/>
          <w:color w:val="000000"/>
          <w:spacing w:val="-1"/>
          <w:sz w:val="23"/>
          <w:szCs w:val="23"/>
        </w:rPr>
        <w:t xml:space="preserve"> </w:t>
      </w:r>
      <w:r w:rsidR="005E7E91" w:rsidRPr="004069B1">
        <w:rPr>
          <w:rFonts w:hint="eastAsia"/>
          <w:b/>
          <w:color w:val="000000"/>
          <w:spacing w:val="-1"/>
          <w:sz w:val="23"/>
          <w:szCs w:val="23"/>
        </w:rPr>
        <w:t>on foreign currency translation and</w:t>
      </w:r>
      <w:r w:rsidR="005E7E91" w:rsidRPr="004069B1">
        <w:rPr>
          <w:b/>
          <w:color w:val="000000"/>
          <w:spacing w:val="-1"/>
          <w:sz w:val="23"/>
          <w:szCs w:val="23"/>
        </w:rPr>
        <w:t xml:space="preserve"> Transaction</w:t>
      </w:r>
      <w:r w:rsidR="005E7E91" w:rsidRPr="00A70A41">
        <w:rPr>
          <w:rFonts w:hint="eastAsia"/>
          <w:color w:val="000000"/>
          <w:spacing w:val="-1"/>
          <w:sz w:val="23"/>
          <w:szCs w:val="23"/>
        </w:rPr>
        <w:t xml:space="preserve"> (other than finance cost) shall be</w:t>
      </w:r>
      <w:r w:rsidR="005E7E91" w:rsidRPr="00A70A41">
        <w:rPr>
          <w:color w:val="000000"/>
          <w:spacing w:val="-1"/>
          <w:sz w:val="23"/>
          <w:szCs w:val="23"/>
        </w:rPr>
        <w:t xml:space="preserve"> </w:t>
      </w:r>
      <w:r w:rsidR="005E7E91" w:rsidRPr="00A70A41">
        <w:rPr>
          <w:rFonts w:hint="eastAsia"/>
          <w:color w:val="000000"/>
          <w:spacing w:val="-1"/>
          <w:sz w:val="23"/>
          <w:szCs w:val="23"/>
        </w:rPr>
        <w:t>disclosed separately.</w:t>
      </w:r>
    </w:p>
    <w:p w:rsidR="005E7E91" w:rsidRPr="003F15C8" w:rsidRDefault="005E7E9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4069B1">
        <w:rPr>
          <w:rFonts w:hint="eastAsia"/>
          <w:b/>
          <w:color w:val="000000"/>
          <w:spacing w:val="-1"/>
          <w:sz w:val="23"/>
          <w:szCs w:val="23"/>
        </w:rPr>
        <w:t>Employee benefit expense</w:t>
      </w:r>
      <w:r w:rsidRPr="00A70A41">
        <w:rPr>
          <w:rFonts w:hint="eastAsia"/>
          <w:color w:val="000000"/>
          <w:spacing w:val="-1"/>
          <w:sz w:val="23"/>
          <w:szCs w:val="23"/>
        </w:rPr>
        <w:t xml:space="preserve"> shall disclose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additionally expense on account of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lastRenderedPageBreak/>
        <w:t>Employee</w:t>
      </w:r>
      <w:r w:rsidRPr="00A70A41">
        <w:rPr>
          <w:color w:val="000000"/>
          <w:spacing w:val="-1"/>
          <w:sz w:val="23"/>
          <w:szCs w:val="23"/>
        </w:rPr>
        <w:t xml:space="preserve"> Stock</w:t>
      </w:r>
      <w:r w:rsidRPr="00A70A41">
        <w:rPr>
          <w:rFonts w:hint="eastAsia"/>
          <w:color w:val="000000"/>
          <w:spacing w:val="-1"/>
          <w:sz w:val="23"/>
          <w:szCs w:val="23"/>
        </w:rPr>
        <w:t xml:space="preserve"> option scheme (ESOP)</w:t>
      </w:r>
    </w:p>
    <w:p w:rsidR="005E7E91" w:rsidRPr="00A70A41" w:rsidRDefault="005E7E9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A70A41">
        <w:rPr>
          <w:rFonts w:hint="eastAsia"/>
          <w:color w:val="000000"/>
          <w:spacing w:val="-1"/>
          <w:sz w:val="23"/>
          <w:szCs w:val="23"/>
        </w:rPr>
        <w:t>Following shall now be disclosed separately</w:t>
      </w:r>
      <w:r w:rsidR="00A21737">
        <w:rPr>
          <w:color w:val="000000"/>
          <w:spacing w:val="-1"/>
          <w:sz w:val="23"/>
          <w:szCs w:val="23"/>
        </w:rPr>
        <w:t>:</w:t>
      </w:r>
    </w:p>
    <w:p w:rsidR="005E7E91" w:rsidRPr="00A70A41" w:rsidRDefault="005E7E91" w:rsidP="004069B1">
      <w:pPr>
        <w:pStyle w:val="ListParagraph"/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A70A41">
        <w:rPr>
          <w:rFonts w:hint="eastAsia"/>
          <w:color w:val="000000"/>
          <w:spacing w:val="-1"/>
          <w:sz w:val="23"/>
          <w:szCs w:val="23"/>
        </w:rPr>
        <w:t>Provision for loss of Subsidiary companies</w:t>
      </w:r>
    </w:p>
    <w:p w:rsidR="005E7E91" w:rsidRPr="00A70A41" w:rsidRDefault="005E7E91" w:rsidP="004069B1">
      <w:pPr>
        <w:pStyle w:val="ListParagraph"/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A70A41">
        <w:rPr>
          <w:rFonts w:hint="eastAsia"/>
          <w:color w:val="000000"/>
          <w:spacing w:val="-1"/>
          <w:sz w:val="23"/>
          <w:szCs w:val="23"/>
        </w:rPr>
        <w:t>Net loss on sale of Investments</w:t>
      </w:r>
    </w:p>
    <w:p w:rsidR="005E7E91" w:rsidRPr="00A70A41" w:rsidRDefault="005E7E91" w:rsidP="004069B1">
      <w:pPr>
        <w:pStyle w:val="ListParagraph"/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A70A41">
        <w:rPr>
          <w:rFonts w:hint="eastAsia"/>
          <w:color w:val="000000"/>
          <w:spacing w:val="-1"/>
          <w:sz w:val="23"/>
          <w:szCs w:val="23"/>
        </w:rPr>
        <w:t>Details of exceptional and extraordinary</w:t>
      </w:r>
      <w:r w:rsidRPr="00A70A41">
        <w:rPr>
          <w:color w:val="000000"/>
          <w:spacing w:val="-1"/>
          <w:sz w:val="23"/>
          <w:szCs w:val="23"/>
        </w:rPr>
        <w:t xml:space="preserve"> Items</w:t>
      </w:r>
    </w:p>
    <w:p w:rsidR="005E7E91" w:rsidRPr="00A70A41" w:rsidRDefault="005E7E91" w:rsidP="004069B1">
      <w:pPr>
        <w:pStyle w:val="ListParagraph"/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A70A41">
        <w:rPr>
          <w:rFonts w:hint="eastAsia"/>
          <w:color w:val="000000"/>
          <w:spacing w:val="-1"/>
          <w:sz w:val="23"/>
          <w:szCs w:val="23"/>
        </w:rPr>
        <w:t>Prior Period items</w:t>
      </w:r>
    </w:p>
    <w:p w:rsidR="002A1099" w:rsidRDefault="005E7E91" w:rsidP="004069B1">
      <w:pPr>
        <w:pStyle w:val="ListParagraph"/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2A1099">
        <w:rPr>
          <w:rFonts w:hint="eastAsia"/>
          <w:color w:val="000000"/>
          <w:spacing w:val="-1"/>
          <w:sz w:val="23"/>
          <w:szCs w:val="23"/>
        </w:rPr>
        <w:t>Adjustment to carrying amount of</w:t>
      </w:r>
      <w:r w:rsidRPr="002A1099">
        <w:rPr>
          <w:color w:val="000000"/>
          <w:spacing w:val="-1"/>
          <w:sz w:val="23"/>
          <w:szCs w:val="23"/>
        </w:rPr>
        <w:t xml:space="preserve"> Investments</w:t>
      </w:r>
    </w:p>
    <w:p w:rsidR="005E7E91" w:rsidRPr="002A1099" w:rsidRDefault="005E7E91" w:rsidP="004069B1">
      <w:pPr>
        <w:pStyle w:val="ListParagraph"/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2A1099">
        <w:rPr>
          <w:rFonts w:hint="eastAsia"/>
          <w:color w:val="000000"/>
          <w:spacing w:val="-1"/>
          <w:sz w:val="23"/>
          <w:szCs w:val="23"/>
        </w:rPr>
        <w:t>A</w:t>
      </w:r>
      <w:r w:rsidRPr="002A1099">
        <w:rPr>
          <w:color w:val="000000"/>
          <w:spacing w:val="-1"/>
          <w:sz w:val="23"/>
          <w:szCs w:val="23"/>
        </w:rPr>
        <w:t xml:space="preserve"> </w:t>
      </w:r>
      <w:r w:rsidRPr="002A1099">
        <w:rPr>
          <w:rFonts w:hint="eastAsia"/>
          <w:color w:val="000000"/>
          <w:spacing w:val="-1"/>
          <w:sz w:val="23"/>
          <w:szCs w:val="23"/>
        </w:rPr>
        <w:t>new format has been issued for face</w:t>
      </w:r>
      <w:r w:rsidRPr="002A1099">
        <w:rPr>
          <w:color w:val="000000"/>
          <w:spacing w:val="-1"/>
          <w:sz w:val="23"/>
          <w:szCs w:val="23"/>
        </w:rPr>
        <w:t xml:space="preserve"> </w:t>
      </w:r>
      <w:r w:rsidRPr="002A1099">
        <w:rPr>
          <w:rFonts w:hint="eastAsia"/>
          <w:color w:val="000000"/>
          <w:spacing w:val="-1"/>
          <w:sz w:val="23"/>
          <w:szCs w:val="23"/>
        </w:rPr>
        <w:t>reporting of Profit &amp; Loss A/c.</w:t>
      </w:r>
    </w:p>
    <w:p w:rsidR="005E7E91" w:rsidRPr="003654E3" w:rsidRDefault="005E7E91" w:rsidP="000D7D65">
      <w:pPr>
        <w:pStyle w:val="Title"/>
        <w:pBdr>
          <w:bottom w:val="none" w:sz="0" w:space="0" w:color="auto"/>
        </w:pBdr>
        <w:jc w:val="both"/>
        <w:rPr>
          <w:sz w:val="24"/>
          <w:szCs w:val="24"/>
        </w:rPr>
      </w:pPr>
      <w:r w:rsidRPr="00441B7C">
        <w:rPr>
          <w:rFonts w:hint="eastAsia"/>
          <w:b/>
          <w:bCs/>
          <w:color w:val="4F81BD" w:themeColor="accent1"/>
          <w:spacing w:val="0"/>
          <w:kern w:val="0"/>
          <w:sz w:val="26"/>
          <w:szCs w:val="26"/>
        </w:rPr>
        <w:t>Impact of Revision in Schedule VI</w:t>
      </w:r>
    </w:p>
    <w:p w:rsidR="005E7E91" w:rsidRPr="00A70A41" w:rsidRDefault="005E7E9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A70A41">
        <w:rPr>
          <w:rFonts w:hint="eastAsia"/>
          <w:color w:val="000000"/>
          <w:spacing w:val="-1"/>
          <w:sz w:val="23"/>
          <w:szCs w:val="23"/>
        </w:rPr>
        <w:lastRenderedPageBreak/>
        <w:t>The revised schedule VI intends to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familiarize companies with Ind-AS/IFRS by</w:t>
      </w:r>
      <w:r w:rsidRPr="00A70A41">
        <w:rPr>
          <w:color w:val="000000"/>
          <w:spacing w:val="-1"/>
          <w:sz w:val="23"/>
          <w:szCs w:val="23"/>
        </w:rPr>
        <w:t xml:space="preserve"> using</w:t>
      </w:r>
      <w:r w:rsidRPr="00A70A41">
        <w:rPr>
          <w:rFonts w:hint="eastAsia"/>
          <w:color w:val="000000"/>
          <w:spacing w:val="-1"/>
          <w:sz w:val="23"/>
          <w:szCs w:val="23"/>
        </w:rPr>
        <w:t xml:space="preserve"> certain concepts such as current/non-current classification.</w:t>
      </w:r>
    </w:p>
    <w:p w:rsidR="005E7E91" w:rsidRPr="00A70A41" w:rsidRDefault="005E7E9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A70A41">
        <w:rPr>
          <w:color w:val="000000"/>
          <w:spacing w:val="-1"/>
          <w:sz w:val="23"/>
          <w:szCs w:val="23"/>
        </w:rPr>
        <w:t>The</w:t>
      </w:r>
      <w:r w:rsidRPr="00A70A41">
        <w:rPr>
          <w:rFonts w:hint="eastAsia"/>
          <w:color w:val="000000"/>
          <w:spacing w:val="-1"/>
          <w:sz w:val="23"/>
          <w:szCs w:val="23"/>
        </w:rPr>
        <w:t xml:space="preserve"> revised Schedule VI has eliminated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the concept of schedules and such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information will now be provided in the notes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to accounts. This is as done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when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applying IFRS.</w:t>
      </w:r>
    </w:p>
    <w:p w:rsidR="005E7E91" w:rsidRPr="00A70A41" w:rsidRDefault="005E7E91" w:rsidP="00D03B0C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</w:pPr>
      <w:r w:rsidRPr="00A70A41">
        <w:rPr>
          <w:rFonts w:hint="eastAsia"/>
          <w:color w:val="000000"/>
          <w:spacing w:val="-1"/>
          <w:sz w:val="23"/>
          <w:szCs w:val="23"/>
        </w:rPr>
        <w:t>From now on, the compliance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requirements of Act and/or Accounting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standards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>will prevail over schedule VI.</w:t>
      </w:r>
    </w:p>
    <w:p w:rsidR="000268F9" w:rsidRPr="00542466" w:rsidRDefault="005E7E91" w:rsidP="000268F9">
      <w:pPr>
        <w:pStyle w:val="ListParagraph"/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before="21" w:line="264" w:lineRule="exact"/>
        <w:jc w:val="both"/>
        <w:rPr>
          <w:color w:val="000000"/>
          <w:spacing w:val="-1"/>
          <w:sz w:val="23"/>
          <w:szCs w:val="23"/>
        </w:rPr>
        <w:sectPr w:rsidR="000268F9" w:rsidRPr="00542466" w:rsidSect="00BC614F">
          <w:type w:val="continuous"/>
          <w:pgSz w:w="12240" w:h="15840"/>
          <w:pgMar w:top="1440" w:right="1080" w:bottom="1440" w:left="1440" w:header="720" w:footer="720" w:gutter="0"/>
          <w:cols w:num="2" w:space="720"/>
          <w:titlePg/>
          <w:docGrid w:linePitch="360"/>
        </w:sectPr>
      </w:pPr>
      <w:r w:rsidRPr="00A70A41">
        <w:rPr>
          <w:rFonts w:hint="eastAsia"/>
          <w:color w:val="000000"/>
          <w:spacing w:val="-1"/>
          <w:sz w:val="23"/>
          <w:szCs w:val="23"/>
        </w:rPr>
        <w:t>Better presentation, disclosure is intended</w:t>
      </w:r>
      <w:r w:rsidRPr="00A70A41">
        <w:rPr>
          <w:color w:val="000000"/>
          <w:spacing w:val="-1"/>
          <w:sz w:val="23"/>
          <w:szCs w:val="23"/>
        </w:rPr>
        <w:t xml:space="preserve"> </w:t>
      </w:r>
      <w:r w:rsidRPr="00A70A41">
        <w:rPr>
          <w:rFonts w:hint="eastAsia"/>
          <w:color w:val="000000"/>
          <w:spacing w:val="-1"/>
          <w:sz w:val="23"/>
          <w:szCs w:val="23"/>
        </w:rPr>
        <w:t xml:space="preserve">to facilitate better </w:t>
      </w:r>
      <w:r w:rsidRPr="00A70A41">
        <w:rPr>
          <w:color w:val="000000"/>
          <w:spacing w:val="-1"/>
          <w:sz w:val="23"/>
          <w:szCs w:val="23"/>
        </w:rPr>
        <w:t>organized</w:t>
      </w:r>
      <w:r w:rsidRPr="00A70A41">
        <w:rPr>
          <w:rFonts w:hint="eastAsia"/>
          <w:color w:val="000000"/>
          <w:spacing w:val="-1"/>
          <w:sz w:val="23"/>
          <w:szCs w:val="23"/>
        </w:rPr>
        <w:t xml:space="preserve"> data for users of</w:t>
      </w:r>
      <w:r w:rsidRPr="00A70A41">
        <w:rPr>
          <w:color w:val="000000"/>
          <w:spacing w:val="-1"/>
          <w:sz w:val="23"/>
          <w:szCs w:val="23"/>
        </w:rPr>
        <w:t xml:space="preserve"> Financial</w:t>
      </w:r>
      <w:r w:rsidRPr="00A70A41">
        <w:rPr>
          <w:rFonts w:hint="eastAsia"/>
          <w:color w:val="000000"/>
          <w:spacing w:val="-1"/>
          <w:sz w:val="23"/>
          <w:szCs w:val="23"/>
        </w:rPr>
        <w:t xml:space="preserve"> </w:t>
      </w:r>
      <w:r w:rsidRPr="00A70A41">
        <w:rPr>
          <w:color w:val="000000"/>
          <w:spacing w:val="-1"/>
          <w:sz w:val="23"/>
          <w:szCs w:val="23"/>
        </w:rPr>
        <w:t>S</w:t>
      </w:r>
      <w:r w:rsidRPr="00A70A41">
        <w:rPr>
          <w:rFonts w:hint="eastAsia"/>
          <w:color w:val="000000"/>
          <w:spacing w:val="-1"/>
          <w:sz w:val="23"/>
          <w:szCs w:val="23"/>
        </w:rPr>
        <w:t>tatement.</w:t>
      </w:r>
    </w:p>
    <w:p w:rsidR="00280F6F" w:rsidRDefault="00280F6F" w:rsidP="00542466">
      <w:pPr>
        <w:widowControl w:val="0"/>
        <w:tabs>
          <w:tab w:val="left" w:pos="360"/>
          <w:tab w:val="left" w:pos="9630"/>
          <w:tab w:val="left" w:pos="9720"/>
        </w:tabs>
        <w:autoSpaceDE w:val="0"/>
        <w:autoSpaceDN w:val="0"/>
        <w:adjustRightInd w:val="0"/>
        <w:spacing w:before="13" w:line="240" w:lineRule="auto"/>
        <w:rPr>
          <w:color w:val="7F7F7F"/>
          <w:spacing w:val="-4"/>
          <w:sz w:val="23"/>
          <w:szCs w:val="23"/>
          <w:u w:val="single"/>
        </w:rPr>
        <w:sectPr w:rsidR="00280F6F" w:rsidSect="00BC614F">
          <w:type w:val="continuous"/>
          <w:pgSz w:w="12240" w:h="15840"/>
          <w:pgMar w:top="1440" w:right="1080" w:bottom="1440" w:left="1440" w:header="720" w:footer="720" w:gutter="0"/>
          <w:cols w:space="720"/>
          <w:titlePg/>
          <w:docGrid w:linePitch="360"/>
        </w:sectPr>
      </w:pPr>
    </w:p>
    <w:p w:rsidR="003837A8" w:rsidRDefault="003837A8" w:rsidP="00542466">
      <w:pPr>
        <w:widowControl w:val="0"/>
        <w:tabs>
          <w:tab w:val="left" w:pos="360"/>
          <w:tab w:val="left" w:pos="9630"/>
          <w:tab w:val="left" w:pos="9720"/>
        </w:tabs>
        <w:autoSpaceDE w:val="0"/>
        <w:autoSpaceDN w:val="0"/>
        <w:adjustRightInd w:val="0"/>
        <w:spacing w:before="13" w:line="240" w:lineRule="auto"/>
        <w:rPr>
          <w:color w:val="7F7F7F"/>
          <w:spacing w:val="-4"/>
          <w:sz w:val="23"/>
          <w:szCs w:val="23"/>
          <w:u w:val="single"/>
        </w:rPr>
      </w:pPr>
    </w:p>
    <w:p w:rsidR="003837A8" w:rsidRDefault="003837A8" w:rsidP="00280F6F">
      <w:pPr>
        <w:widowControl w:val="0"/>
        <w:tabs>
          <w:tab w:val="left" w:pos="360"/>
          <w:tab w:val="left" w:pos="9630"/>
          <w:tab w:val="left" w:pos="9720"/>
        </w:tabs>
        <w:autoSpaceDE w:val="0"/>
        <w:autoSpaceDN w:val="0"/>
        <w:adjustRightInd w:val="0"/>
        <w:spacing w:before="13" w:line="240" w:lineRule="auto"/>
        <w:jc w:val="right"/>
        <w:rPr>
          <w:color w:val="7F7F7F"/>
          <w:spacing w:val="-4"/>
          <w:sz w:val="23"/>
          <w:szCs w:val="23"/>
          <w:u w:val="single"/>
        </w:rPr>
      </w:pPr>
    </w:p>
    <w:p w:rsidR="00542466" w:rsidRDefault="00542466" w:rsidP="00280F6F">
      <w:pPr>
        <w:widowControl w:val="0"/>
        <w:tabs>
          <w:tab w:val="left" w:pos="360"/>
          <w:tab w:val="left" w:pos="9630"/>
          <w:tab w:val="left" w:pos="9720"/>
        </w:tabs>
        <w:autoSpaceDE w:val="0"/>
        <w:autoSpaceDN w:val="0"/>
        <w:adjustRightInd w:val="0"/>
        <w:spacing w:before="13" w:line="240" w:lineRule="auto"/>
        <w:jc w:val="right"/>
        <w:rPr>
          <w:color w:val="7F7F7F"/>
          <w:spacing w:val="-4"/>
          <w:sz w:val="23"/>
          <w:szCs w:val="23"/>
          <w:u w:val="single"/>
        </w:rPr>
      </w:pPr>
    </w:p>
    <w:p w:rsidR="00542466" w:rsidRDefault="00542466" w:rsidP="00280F6F">
      <w:pPr>
        <w:widowControl w:val="0"/>
        <w:tabs>
          <w:tab w:val="left" w:pos="360"/>
          <w:tab w:val="left" w:pos="9630"/>
          <w:tab w:val="left" w:pos="9720"/>
        </w:tabs>
        <w:autoSpaceDE w:val="0"/>
        <w:autoSpaceDN w:val="0"/>
        <w:adjustRightInd w:val="0"/>
        <w:spacing w:before="13" w:line="240" w:lineRule="auto"/>
        <w:jc w:val="right"/>
        <w:rPr>
          <w:color w:val="7F7F7F"/>
          <w:spacing w:val="-4"/>
          <w:sz w:val="23"/>
          <w:szCs w:val="23"/>
          <w:u w:val="single"/>
        </w:rPr>
      </w:pPr>
    </w:p>
    <w:p w:rsidR="00542466" w:rsidRDefault="00542466" w:rsidP="00280F6F">
      <w:pPr>
        <w:widowControl w:val="0"/>
        <w:tabs>
          <w:tab w:val="left" w:pos="360"/>
          <w:tab w:val="left" w:pos="9630"/>
          <w:tab w:val="left" w:pos="9720"/>
        </w:tabs>
        <w:autoSpaceDE w:val="0"/>
        <w:autoSpaceDN w:val="0"/>
        <w:adjustRightInd w:val="0"/>
        <w:spacing w:before="13" w:line="240" w:lineRule="auto"/>
        <w:jc w:val="right"/>
        <w:rPr>
          <w:color w:val="7F7F7F"/>
          <w:spacing w:val="-4"/>
          <w:sz w:val="23"/>
          <w:szCs w:val="23"/>
          <w:u w:val="single"/>
        </w:rPr>
      </w:pPr>
    </w:p>
    <w:p w:rsidR="00542466" w:rsidRDefault="00542466" w:rsidP="00280F6F">
      <w:pPr>
        <w:widowControl w:val="0"/>
        <w:tabs>
          <w:tab w:val="left" w:pos="360"/>
          <w:tab w:val="left" w:pos="9630"/>
          <w:tab w:val="left" w:pos="9720"/>
        </w:tabs>
        <w:autoSpaceDE w:val="0"/>
        <w:autoSpaceDN w:val="0"/>
        <w:adjustRightInd w:val="0"/>
        <w:spacing w:before="13" w:line="240" w:lineRule="auto"/>
        <w:jc w:val="right"/>
        <w:rPr>
          <w:color w:val="7F7F7F"/>
          <w:spacing w:val="-4"/>
          <w:sz w:val="23"/>
          <w:szCs w:val="23"/>
          <w:u w:val="single"/>
        </w:rPr>
      </w:pPr>
    </w:p>
    <w:p w:rsidR="00542466" w:rsidRDefault="00542466" w:rsidP="00280F6F">
      <w:pPr>
        <w:widowControl w:val="0"/>
        <w:tabs>
          <w:tab w:val="left" w:pos="360"/>
          <w:tab w:val="left" w:pos="9630"/>
          <w:tab w:val="left" w:pos="9720"/>
        </w:tabs>
        <w:autoSpaceDE w:val="0"/>
        <w:autoSpaceDN w:val="0"/>
        <w:adjustRightInd w:val="0"/>
        <w:spacing w:before="13" w:line="240" w:lineRule="auto"/>
        <w:jc w:val="right"/>
        <w:rPr>
          <w:color w:val="7F7F7F"/>
          <w:spacing w:val="-4"/>
          <w:sz w:val="23"/>
          <w:szCs w:val="23"/>
          <w:u w:val="single"/>
        </w:rPr>
      </w:pPr>
    </w:p>
    <w:p w:rsidR="00542466" w:rsidRDefault="00542466" w:rsidP="00280F6F">
      <w:pPr>
        <w:widowControl w:val="0"/>
        <w:tabs>
          <w:tab w:val="left" w:pos="360"/>
          <w:tab w:val="left" w:pos="9630"/>
          <w:tab w:val="left" w:pos="9720"/>
        </w:tabs>
        <w:autoSpaceDE w:val="0"/>
        <w:autoSpaceDN w:val="0"/>
        <w:adjustRightInd w:val="0"/>
        <w:spacing w:before="13" w:line="240" w:lineRule="auto"/>
        <w:jc w:val="right"/>
        <w:rPr>
          <w:color w:val="7F7F7F"/>
          <w:spacing w:val="-4"/>
          <w:sz w:val="23"/>
          <w:szCs w:val="23"/>
          <w:u w:val="single"/>
        </w:rPr>
      </w:pPr>
    </w:p>
    <w:p w:rsidR="00542466" w:rsidRDefault="00542466" w:rsidP="00280F6F">
      <w:pPr>
        <w:widowControl w:val="0"/>
        <w:tabs>
          <w:tab w:val="left" w:pos="360"/>
          <w:tab w:val="left" w:pos="9630"/>
          <w:tab w:val="left" w:pos="9720"/>
        </w:tabs>
        <w:autoSpaceDE w:val="0"/>
        <w:autoSpaceDN w:val="0"/>
        <w:adjustRightInd w:val="0"/>
        <w:spacing w:before="13" w:line="240" w:lineRule="auto"/>
        <w:jc w:val="right"/>
        <w:rPr>
          <w:color w:val="7F7F7F"/>
          <w:spacing w:val="-4"/>
          <w:sz w:val="23"/>
          <w:szCs w:val="23"/>
          <w:u w:val="single"/>
        </w:rPr>
      </w:pPr>
    </w:p>
    <w:p w:rsidR="00542466" w:rsidRDefault="00542466" w:rsidP="00280F6F">
      <w:pPr>
        <w:widowControl w:val="0"/>
        <w:tabs>
          <w:tab w:val="left" w:pos="360"/>
          <w:tab w:val="left" w:pos="9630"/>
          <w:tab w:val="left" w:pos="9720"/>
        </w:tabs>
        <w:autoSpaceDE w:val="0"/>
        <w:autoSpaceDN w:val="0"/>
        <w:adjustRightInd w:val="0"/>
        <w:spacing w:before="13" w:line="240" w:lineRule="auto"/>
        <w:jc w:val="right"/>
        <w:rPr>
          <w:color w:val="7F7F7F"/>
          <w:spacing w:val="-4"/>
          <w:sz w:val="23"/>
          <w:szCs w:val="23"/>
          <w:u w:val="single"/>
        </w:rPr>
      </w:pPr>
    </w:p>
    <w:p w:rsidR="003837A8" w:rsidRDefault="003837A8" w:rsidP="00280F6F">
      <w:pPr>
        <w:widowControl w:val="0"/>
        <w:tabs>
          <w:tab w:val="left" w:pos="360"/>
          <w:tab w:val="left" w:pos="9630"/>
          <w:tab w:val="left" w:pos="9720"/>
        </w:tabs>
        <w:autoSpaceDE w:val="0"/>
        <w:autoSpaceDN w:val="0"/>
        <w:adjustRightInd w:val="0"/>
        <w:spacing w:before="13" w:line="240" w:lineRule="auto"/>
        <w:jc w:val="right"/>
        <w:rPr>
          <w:color w:val="7F7F7F"/>
          <w:spacing w:val="-4"/>
          <w:sz w:val="23"/>
          <w:szCs w:val="23"/>
          <w:u w:val="single"/>
        </w:rPr>
      </w:pPr>
    </w:p>
    <w:p w:rsidR="003837A8" w:rsidRDefault="003837A8" w:rsidP="00280F6F">
      <w:pPr>
        <w:widowControl w:val="0"/>
        <w:tabs>
          <w:tab w:val="left" w:pos="360"/>
          <w:tab w:val="left" w:pos="9630"/>
          <w:tab w:val="left" w:pos="9720"/>
        </w:tabs>
        <w:autoSpaceDE w:val="0"/>
        <w:autoSpaceDN w:val="0"/>
        <w:adjustRightInd w:val="0"/>
        <w:spacing w:before="13" w:line="240" w:lineRule="auto"/>
        <w:jc w:val="right"/>
        <w:rPr>
          <w:color w:val="7F7F7F"/>
          <w:spacing w:val="-4"/>
          <w:sz w:val="23"/>
          <w:szCs w:val="23"/>
          <w:u w:val="single"/>
        </w:rPr>
      </w:pPr>
    </w:p>
    <w:p w:rsidR="00542466" w:rsidRDefault="00542466" w:rsidP="00280F6F">
      <w:pPr>
        <w:widowControl w:val="0"/>
        <w:tabs>
          <w:tab w:val="left" w:pos="360"/>
          <w:tab w:val="left" w:pos="9630"/>
          <w:tab w:val="left" w:pos="9720"/>
        </w:tabs>
        <w:autoSpaceDE w:val="0"/>
        <w:autoSpaceDN w:val="0"/>
        <w:adjustRightInd w:val="0"/>
        <w:spacing w:before="13" w:line="240" w:lineRule="auto"/>
        <w:jc w:val="right"/>
        <w:rPr>
          <w:color w:val="7F7F7F"/>
          <w:spacing w:val="-4"/>
          <w:sz w:val="23"/>
          <w:szCs w:val="23"/>
          <w:u w:val="single"/>
        </w:rPr>
      </w:pPr>
    </w:p>
    <w:p w:rsidR="00542466" w:rsidRDefault="00542466" w:rsidP="00280F6F">
      <w:pPr>
        <w:widowControl w:val="0"/>
        <w:tabs>
          <w:tab w:val="left" w:pos="360"/>
          <w:tab w:val="left" w:pos="9630"/>
          <w:tab w:val="left" w:pos="9720"/>
        </w:tabs>
        <w:autoSpaceDE w:val="0"/>
        <w:autoSpaceDN w:val="0"/>
        <w:adjustRightInd w:val="0"/>
        <w:spacing w:before="13" w:line="240" w:lineRule="auto"/>
        <w:jc w:val="right"/>
        <w:rPr>
          <w:color w:val="7F7F7F"/>
          <w:spacing w:val="-4"/>
          <w:sz w:val="23"/>
          <w:szCs w:val="23"/>
          <w:u w:val="single"/>
        </w:rPr>
      </w:pPr>
    </w:p>
    <w:p w:rsidR="00542466" w:rsidRDefault="00542466" w:rsidP="00280F6F">
      <w:pPr>
        <w:widowControl w:val="0"/>
        <w:tabs>
          <w:tab w:val="left" w:pos="360"/>
          <w:tab w:val="left" w:pos="9630"/>
          <w:tab w:val="left" w:pos="9720"/>
        </w:tabs>
        <w:autoSpaceDE w:val="0"/>
        <w:autoSpaceDN w:val="0"/>
        <w:adjustRightInd w:val="0"/>
        <w:spacing w:before="13" w:line="240" w:lineRule="auto"/>
        <w:jc w:val="right"/>
        <w:rPr>
          <w:color w:val="7F7F7F"/>
          <w:spacing w:val="-4"/>
          <w:sz w:val="23"/>
          <w:szCs w:val="23"/>
          <w:u w:val="single"/>
        </w:rPr>
      </w:pPr>
    </w:p>
    <w:p w:rsidR="00542466" w:rsidRDefault="00542466" w:rsidP="00542466">
      <w:pPr>
        <w:pStyle w:val="Heading1"/>
        <w:jc w:val="center"/>
        <w:sectPr w:rsidR="00542466" w:rsidSect="00280F6F">
          <w:type w:val="continuous"/>
          <w:pgSz w:w="12240" w:h="15840"/>
          <w:pgMar w:top="1440" w:right="1080" w:bottom="1440" w:left="1440" w:header="720" w:footer="720" w:gutter="0"/>
          <w:cols w:num="2" w:space="720" w:equalWidth="0">
            <w:col w:w="2760" w:space="720"/>
            <w:col w:w="6240"/>
          </w:cols>
          <w:titlePg/>
          <w:docGrid w:linePitch="360"/>
        </w:sectPr>
      </w:pPr>
    </w:p>
    <w:p w:rsidR="00542466" w:rsidRDefault="00280F6F" w:rsidP="00542466">
      <w:pPr>
        <w:pStyle w:val="Heading1"/>
        <w:jc w:val="right"/>
        <w:sectPr w:rsidR="00542466" w:rsidSect="00542466">
          <w:type w:val="continuous"/>
          <w:pgSz w:w="12240" w:h="15840"/>
          <w:pgMar w:top="1440" w:right="1080" w:bottom="1440" w:left="1440" w:header="720" w:footer="720" w:gutter="0"/>
          <w:cols w:space="720"/>
          <w:titlePg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2666081" cy="2154193"/>
            <wp:effectExtent l="19050" t="0" r="919" b="0"/>
            <wp:docPr id="31" name="Picture 3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6081" cy="215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F6F" w:rsidRDefault="00280F6F" w:rsidP="00A121D2">
      <w:pPr>
        <w:widowControl w:val="0"/>
        <w:tabs>
          <w:tab w:val="left" w:pos="360"/>
          <w:tab w:val="left" w:pos="9630"/>
          <w:tab w:val="left" w:pos="9720"/>
        </w:tabs>
        <w:autoSpaceDE w:val="0"/>
        <w:autoSpaceDN w:val="0"/>
        <w:adjustRightInd w:val="0"/>
        <w:spacing w:before="13" w:line="264" w:lineRule="exact"/>
        <w:rPr>
          <w:color w:val="7F7F7F"/>
          <w:spacing w:val="-4"/>
          <w:sz w:val="23"/>
          <w:szCs w:val="23"/>
        </w:rPr>
        <w:sectPr w:rsidR="00280F6F" w:rsidSect="00280F6F">
          <w:type w:val="continuous"/>
          <w:pgSz w:w="12240" w:h="15840"/>
          <w:pgMar w:top="1440" w:right="1080" w:bottom="1440" w:left="1440" w:header="720" w:footer="720" w:gutter="0"/>
          <w:cols w:num="2" w:space="720" w:equalWidth="0">
            <w:col w:w="2760" w:space="720"/>
            <w:col w:w="6240"/>
          </w:cols>
          <w:titlePg/>
          <w:docGrid w:linePitch="360"/>
        </w:sectPr>
      </w:pPr>
    </w:p>
    <w:p w:rsidR="003837A8" w:rsidRPr="003837A8" w:rsidRDefault="003837A8" w:rsidP="00247750">
      <w:pPr>
        <w:widowControl w:val="0"/>
        <w:tabs>
          <w:tab w:val="left" w:pos="360"/>
          <w:tab w:val="left" w:pos="9630"/>
          <w:tab w:val="left" w:pos="9720"/>
        </w:tabs>
        <w:autoSpaceDE w:val="0"/>
        <w:autoSpaceDN w:val="0"/>
        <w:adjustRightInd w:val="0"/>
        <w:spacing w:before="13" w:line="264" w:lineRule="exact"/>
        <w:rPr>
          <w:color w:val="7F7F7F"/>
          <w:spacing w:val="-4"/>
          <w:sz w:val="23"/>
          <w:szCs w:val="23"/>
        </w:rPr>
      </w:pPr>
    </w:p>
    <w:sectPr w:rsidR="003837A8" w:rsidRPr="003837A8" w:rsidSect="00BC614F">
      <w:type w:val="continuous"/>
      <w:pgSz w:w="12240" w:h="15840"/>
      <w:pgMar w:top="1440" w:right="108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5BF" w:rsidRDefault="003D35BF" w:rsidP="00663145">
      <w:pPr>
        <w:spacing w:after="0" w:line="240" w:lineRule="auto"/>
      </w:pPr>
      <w:r>
        <w:separator/>
      </w:r>
    </w:p>
  </w:endnote>
  <w:endnote w:type="continuationSeparator" w:id="1">
    <w:p w:rsidR="003D35BF" w:rsidRDefault="003D35BF" w:rsidP="00663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Tahoma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145" w:rsidRDefault="00663145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Prepared By: Abhishek Jain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4715AF" w:rsidRPr="004715AF">
        <w:rPr>
          <w:rFonts w:asciiTheme="majorHAnsi" w:hAnsiTheme="majorHAnsi"/>
          <w:noProof/>
        </w:rPr>
        <w:t>6</w:t>
      </w:r>
    </w:fldSimple>
  </w:p>
  <w:p w:rsidR="00663145" w:rsidRDefault="0066314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5BF" w:rsidRDefault="003D35BF" w:rsidP="00663145">
      <w:pPr>
        <w:spacing w:after="0" w:line="240" w:lineRule="auto"/>
      </w:pPr>
      <w:r>
        <w:separator/>
      </w:r>
    </w:p>
  </w:footnote>
  <w:footnote w:type="continuationSeparator" w:id="1">
    <w:p w:rsidR="003D35BF" w:rsidRDefault="003D35BF" w:rsidP="00663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8" w:rsidRDefault="008C1A98">
    <w:pPr>
      <w:pStyle w:val="Header"/>
    </w:pPr>
  </w:p>
  <w:p w:rsidR="008C1A98" w:rsidRDefault="008C1A9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A6B8A"/>
    <w:multiLevelType w:val="hybridMultilevel"/>
    <w:tmpl w:val="3EAEF4B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090BEE"/>
    <w:multiLevelType w:val="hybridMultilevel"/>
    <w:tmpl w:val="D3C6ED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121C0"/>
    <w:multiLevelType w:val="hybridMultilevel"/>
    <w:tmpl w:val="BA4691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623F2"/>
    <w:multiLevelType w:val="hybridMultilevel"/>
    <w:tmpl w:val="63623A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275BF2"/>
    <w:multiLevelType w:val="hybridMultilevel"/>
    <w:tmpl w:val="5EE85194"/>
    <w:lvl w:ilvl="0" w:tplc="D2E65C82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7F1C67"/>
    <w:multiLevelType w:val="hybridMultilevel"/>
    <w:tmpl w:val="9282ED2A"/>
    <w:lvl w:ilvl="0" w:tplc="2AC4E6A2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680F0C"/>
    <w:multiLevelType w:val="hybridMultilevel"/>
    <w:tmpl w:val="C658D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035CEB"/>
    <w:multiLevelType w:val="hybridMultilevel"/>
    <w:tmpl w:val="FBE672C8"/>
    <w:lvl w:ilvl="0" w:tplc="040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>
    <w:nsid w:val="63655A9B"/>
    <w:multiLevelType w:val="hybridMultilevel"/>
    <w:tmpl w:val="FF82D48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4E6008"/>
    <w:multiLevelType w:val="hybridMultilevel"/>
    <w:tmpl w:val="7B1671CC"/>
    <w:lvl w:ilvl="0" w:tplc="5574955C">
      <w:start w:val="1"/>
      <w:numFmt w:val="lowerLetter"/>
      <w:lvlText w:val="%1."/>
      <w:lvlJc w:val="left"/>
      <w:pPr>
        <w:ind w:left="2085" w:hanging="16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64A569C3"/>
    <w:multiLevelType w:val="hybridMultilevel"/>
    <w:tmpl w:val="6BB682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7B6FE6"/>
    <w:multiLevelType w:val="hybridMultilevel"/>
    <w:tmpl w:val="4E4085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2"/>
  </w:num>
  <w:num w:numId="5">
    <w:abstractNumId w:val="6"/>
  </w:num>
  <w:num w:numId="6">
    <w:abstractNumId w:val="11"/>
  </w:num>
  <w:num w:numId="7">
    <w:abstractNumId w:val="3"/>
  </w:num>
  <w:num w:numId="8">
    <w:abstractNumId w:val="4"/>
  </w:num>
  <w:num w:numId="9">
    <w:abstractNumId w:val="1"/>
  </w:num>
  <w:num w:numId="10">
    <w:abstractNumId w:val="5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F5063"/>
    <w:rsid w:val="00000560"/>
    <w:rsid w:val="00000889"/>
    <w:rsid w:val="000268F9"/>
    <w:rsid w:val="000402DC"/>
    <w:rsid w:val="00042760"/>
    <w:rsid w:val="00080B21"/>
    <w:rsid w:val="00083303"/>
    <w:rsid w:val="000937EF"/>
    <w:rsid w:val="000A69A9"/>
    <w:rsid w:val="000C4AC8"/>
    <w:rsid w:val="000D7D65"/>
    <w:rsid w:val="000E4003"/>
    <w:rsid w:val="000E5D63"/>
    <w:rsid w:val="00115E5E"/>
    <w:rsid w:val="001233C9"/>
    <w:rsid w:val="00125666"/>
    <w:rsid w:val="00127093"/>
    <w:rsid w:val="00130B0C"/>
    <w:rsid w:val="00135EEC"/>
    <w:rsid w:val="00137263"/>
    <w:rsid w:val="00142D27"/>
    <w:rsid w:val="001532E2"/>
    <w:rsid w:val="00162BDE"/>
    <w:rsid w:val="00166E40"/>
    <w:rsid w:val="00170100"/>
    <w:rsid w:val="00172A0C"/>
    <w:rsid w:val="001748F0"/>
    <w:rsid w:val="00177DB1"/>
    <w:rsid w:val="00184871"/>
    <w:rsid w:val="001952E6"/>
    <w:rsid w:val="00195C12"/>
    <w:rsid w:val="001A2159"/>
    <w:rsid w:val="001C3159"/>
    <w:rsid w:val="001C342D"/>
    <w:rsid w:val="001C34A6"/>
    <w:rsid w:val="001C61E9"/>
    <w:rsid w:val="001F21BC"/>
    <w:rsid w:val="00200DF6"/>
    <w:rsid w:val="00203A0A"/>
    <w:rsid w:val="00205664"/>
    <w:rsid w:val="00205E70"/>
    <w:rsid w:val="00210930"/>
    <w:rsid w:val="002111F5"/>
    <w:rsid w:val="00212756"/>
    <w:rsid w:val="00215C15"/>
    <w:rsid w:val="0022480C"/>
    <w:rsid w:val="002272A9"/>
    <w:rsid w:val="002310FF"/>
    <w:rsid w:val="00234C9B"/>
    <w:rsid w:val="00247750"/>
    <w:rsid w:val="0025364D"/>
    <w:rsid w:val="002646A5"/>
    <w:rsid w:val="00267B8C"/>
    <w:rsid w:val="00273E3C"/>
    <w:rsid w:val="00280F6F"/>
    <w:rsid w:val="0028361E"/>
    <w:rsid w:val="002914A8"/>
    <w:rsid w:val="00294312"/>
    <w:rsid w:val="00297173"/>
    <w:rsid w:val="002A1099"/>
    <w:rsid w:val="002A2E35"/>
    <w:rsid w:val="002B2B60"/>
    <w:rsid w:val="002E6308"/>
    <w:rsid w:val="002F292D"/>
    <w:rsid w:val="00301B08"/>
    <w:rsid w:val="0030268C"/>
    <w:rsid w:val="00312214"/>
    <w:rsid w:val="00326BE1"/>
    <w:rsid w:val="003316D8"/>
    <w:rsid w:val="0033798A"/>
    <w:rsid w:val="00343AB7"/>
    <w:rsid w:val="003547C3"/>
    <w:rsid w:val="00355880"/>
    <w:rsid w:val="003664C4"/>
    <w:rsid w:val="00375CED"/>
    <w:rsid w:val="003812FB"/>
    <w:rsid w:val="00382DCE"/>
    <w:rsid w:val="003837A8"/>
    <w:rsid w:val="00387538"/>
    <w:rsid w:val="003A51D7"/>
    <w:rsid w:val="003B0DC9"/>
    <w:rsid w:val="003C0462"/>
    <w:rsid w:val="003D35BF"/>
    <w:rsid w:val="003D7130"/>
    <w:rsid w:val="003F3DCA"/>
    <w:rsid w:val="0040140E"/>
    <w:rsid w:val="00403A00"/>
    <w:rsid w:val="00403A74"/>
    <w:rsid w:val="004069B1"/>
    <w:rsid w:val="0040741C"/>
    <w:rsid w:val="004140B0"/>
    <w:rsid w:val="00420B1C"/>
    <w:rsid w:val="00422874"/>
    <w:rsid w:val="004305DD"/>
    <w:rsid w:val="0043487F"/>
    <w:rsid w:val="00441B7C"/>
    <w:rsid w:val="00460202"/>
    <w:rsid w:val="004715AF"/>
    <w:rsid w:val="00477A43"/>
    <w:rsid w:val="004A4657"/>
    <w:rsid w:val="004B0413"/>
    <w:rsid w:val="004B725F"/>
    <w:rsid w:val="004C0D71"/>
    <w:rsid w:val="004C1CE1"/>
    <w:rsid w:val="004D504C"/>
    <w:rsid w:val="004E674A"/>
    <w:rsid w:val="004F00E9"/>
    <w:rsid w:val="004F0358"/>
    <w:rsid w:val="004F0A61"/>
    <w:rsid w:val="004F1CE8"/>
    <w:rsid w:val="004F2C02"/>
    <w:rsid w:val="00503B70"/>
    <w:rsid w:val="0052529E"/>
    <w:rsid w:val="00542466"/>
    <w:rsid w:val="00545B8F"/>
    <w:rsid w:val="005633FF"/>
    <w:rsid w:val="00566EEB"/>
    <w:rsid w:val="00595E27"/>
    <w:rsid w:val="005B3BA8"/>
    <w:rsid w:val="005C283B"/>
    <w:rsid w:val="005E2351"/>
    <w:rsid w:val="005E779E"/>
    <w:rsid w:val="005E7E91"/>
    <w:rsid w:val="00603118"/>
    <w:rsid w:val="00622240"/>
    <w:rsid w:val="006538D8"/>
    <w:rsid w:val="00663145"/>
    <w:rsid w:val="00664CA9"/>
    <w:rsid w:val="0067118E"/>
    <w:rsid w:val="0067184B"/>
    <w:rsid w:val="00673BDF"/>
    <w:rsid w:val="00674A2E"/>
    <w:rsid w:val="0068735B"/>
    <w:rsid w:val="00690C06"/>
    <w:rsid w:val="00691592"/>
    <w:rsid w:val="006A70B4"/>
    <w:rsid w:val="006A78D2"/>
    <w:rsid w:val="006B0DED"/>
    <w:rsid w:val="006B45DC"/>
    <w:rsid w:val="006D158E"/>
    <w:rsid w:val="006E4815"/>
    <w:rsid w:val="00722A11"/>
    <w:rsid w:val="00726409"/>
    <w:rsid w:val="007443B2"/>
    <w:rsid w:val="007541AD"/>
    <w:rsid w:val="00754E52"/>
    <w:rsid w:val="0077271C"/>
    <w:rsid w:val="00786BDE"/>
    <w:rsid w:val="00787675"/>
    <w:rsid w:val="0079101D"/>
    <w:rsid w:val="007A2609"/>
    <w:rsid w:val="007A5C95"/>
    <w:rsid w:val="007B118D"/>
    <w:rsid w:val="007B2B29"/>
    <w:rsid w:val="007B7A8F"/>
    <w:rsid w:val="007C23F3"/>
    <w:rsid w:val="007D6545"/>
    <w:rsid w:val="007E32E8"/>
    <w:rsid w:val="007E66AB"/>
    <w:rsid w:val="007F222E"/>
    <w:rsid w:val="007F4D92"/>
    <w:rsid w:val="00802C2A"/>
    <w:rsid w:val="00823332"/>
    <w:rsid w:val="00830B98"/>
    <w:rsid w:val="00834442"/>
    <w:rsid w:val="00836B6C"/>
    <w:rsid w:val="00842DF4"/>
    <w:rsid w:val="00847E4C"/>
    <w:rsid w:val="008647A6"/>
    <w:rsid w:val="008665BF"/>
    <w:rsid w:val="00866D0D"/>
    <w:rsid w:val="00866DBD"/>
    <w:rsid w:val="008702EF"/>
    <w:rsid w:val="00871B3D"/>
    <w:rsid w:val="0087467D"/>
    <w:rsid w:val="00876549"/>
    <w:rsid w:val="008803DF"/>
    <w:rsid w:val="00885CD4"/>
    <w:rsid w:val="008A21F6"/>
    <w:rsid w:val="008A2E11"/>
    <w:rsid w:val="008A3EE8"/>
    <w:rsid w:val="008A5081"/>
    <w:rsid w:val="008C1A98"/>
    <w:rsid w:val="008C5CE1"/>
    <w:rsid w:val="008D018B"/>
    <w:rsid w:val="008D141A"/>
    <w:rsid w:val="008D1C9C"/>
    <w:rsid w:val="008D6980"/>
    <w:rsid w:val="008E438E"/>
    <w:rsid w:val="008F0F0D"/>
    <w:rsid w:val="00904D0C"/>
    <w:rsid w:val="009058BC"/>
    <w:rsid w:val="00907C6A"/>
    <w:rsid w:val="00920EC6"/>
    <w:rsid w:val="00922C9C"/>
    <w:rsid w:val="009245EC"/>
    <w:rsid w:val="00931C0F"/>
    <w:rsid w:val="00982DD5"/>
    <w:rsid w:val="009869D7"/>
    <w:rsid w:val="00990149"/>
    <w:rsid w:val="0099458C"/>
    <w:rsid w:val="009B34D2"/>
    <w:rsid w:val="009B4BC1"/>
    <w:rsid w:val="009B5886"/>
    <w:rsid w:val="009C1459"/>
    <w:rsid w:val="009C188C"/>
    <w:rsid w:val="009C3D02"/>
    <w:rsid w:val="009C4AF4"/>
    <w:rsid w:val="009C7987"/>
    <w:rsid w:val="009E0B6F"/>
    <w:rsid w:val="009E2C6A"/>
    <w:rsid w:val="009F50F9"/>
    <w:rsid w:val="00A04DFE"/>
    <w:rsid w:val="00A121D2"/>
    <w:rsid w:val="00A21737"/>
    <w:rsid w:val="00A255B5"/>
    <w:rsid w:val="00A3503D"/>
    <w:rsid w:val="00A40382"/>
    <w:rsid w:val="00A56B99"/>
    <w:rsid w:val="00A57B4E"/>
    <w:rsid w:val="00A637C2"/>
    <w:rsid w:val="00A63AAD"/>
    <w:rsid w:val="00A63C5E"/>
    <w:rsid w:val="00A9553E"/>
    <w:rsid w:val="00AB01ED"/>
    <w:rsid w:val="00AC07FF"/>
    <w:rsid w:val="00AC1F24"/>
    <w:rsid w:val="00AC7118"/>
    <w:rsid w:val="00AD051B"/>
    <w:rsid w:val="00AE173B"/>
    <w:rsid w:val="00AF1F6D"/>
    <w:rsid w:val="00AF292A"/>
    <w:rsid w:val="00B1134A"/>
    <w:rsid w:val="00B1616D"/>
    <w:rsid w:val="00B23D3C"/>
    <w:rsid w:val="00B2421D"/>
    <w:rsid w:val="00B26EA3"/>
    <w:rsid w:val="00B5599D"/>
    <w:rsid w:val="00B61BC6"/>
    <w:rsid w:val="00B641F5"/>
    <w:rsid w:val="00B67F61"/>
    <w:rsid w:val="00B745B3"/>
    <w:rsid w:val="00B9154B"/>
    <w:rsid w:val="00BA2728"/>
    <w:rsid w:val="00BA3D00"/>
    <w:rsid w:val="00BB147E"/>
    <w:rsid w:val="00BC614F"/>
    <w:rsid w:val="00BD000F"/>
    <w:rsid w:val="00BE4EF2"/>
    <w:rsid w:val="00BF4546"/>
    <w:rsid w:val="00C01BB3"/>
    <w:rsid w:val="00C176B8"/>
    <w:rsid w:val="00C20CA1"/>
    <w:rsid w:val="00C228B0"/>
    <w:rsid w:val="00C2503D"/>
    <w:rsid w:val="00C2553A"/>
    <w:rsid w:val="00C27666"/>
    <w:rsid w:val="00C30475"/>
    <w:rsid w:val="00C527F8"/>
    <w:rsid w:val="00C53217"/>
    <w:rsid w:val="00C558FC"/>
    <w:rsid w:val="00C64D76"/>
    <w:rsid w:val="00C743D2"/>
    <w:rsid w:val="00C761B0"/>
    <w:rsid w:val="00C85725"/>
    <w:rsid w:val="00CA1698"/>
    <w:rsid w:val="00CA1BF1"/>
    <w:rsid w:val="00CB3BF7"/>
    <w:rsid w:val="00CD1A10"/>
    <w:rsid w:val="00CD4DD2"/>
    <w:rsid w:val="00CF6D8E"/>
    <w:rsid w:val="00D03B0C"/>
    <w:rsid w:val="00D04989"/>
    <w:rsid w:val="00D16249"/>
    <w:rsid w:val="00D205FB"/>
    <w:rsid w:val="00D42B9C"/>
    <w:rsid w:val="00D43D7B"/>
    <w:rsid w:val="00D50A32"/>
    <w:rsid w:val="00D512D3"/>
    <w:rsid w:val="00D54BDE"/>
    <w:rsid w:val="00D71B73"/>
    <w:rsid w:val="00D725EF"/>
    <w:rsid w:val="00D779B7"/>
    <w:rsid w:val="00D85DF6"/>
    <w:rsid w:val="00D86E42"/>
    <w:rsid w:val="00DB17EE"/>
    <w:rsid w:val="00DB3AAB"/>
    <w:rsid w:val="00DD08E6"/>
    <w:rsid w:val="00DD181E"/>
    <w:rsid w:val="00DD4E50"/>
    <w:rsid w:val="00DE0B2B"/>
    <w:rsid w:val="00E036AE"/>
    <w:rsid w:val="00E12D9B"/>
    <w:rsid w:val="00E30A7E"/>
    <w:rsid w:val="00E36BCF"/>
    <w:rsid w:val="00E37F30"/>
    <w:rsid w:val="00E65D99"/>
    <w:rsid w:val="00E6770D"/>
    <w:rsid w:val="00E835A8"/>
    <w:rsid w:val="00E96884"/>
    <w:rsid w:val="00EA0653"/>
    <w:rsid w:val="00EA464E"/>
    <w:rsid w:val="00EB1DB6"/>
    <w:rsid w:val="00EC650C"/>
    <w:rsid w:val="00ED0087"/>
    <w:rsid w:val="00EE6039"/>
    <w:rsid w:val="00EF2566"/>
    <w:rsid w:val="00EF5063"/>
    <w:rsid w:val="00EF7836"/>
    <w:rsid w:val="00F00615"/>
    <w:rsid w:val="00F03C5A"/>
    <w:rsid w:val="00F101CF"/>
    <w:rsid w:val="00F16E66"/>
    <w:rsid w:val="00F21B1F"/>
    <w:rsid w:val="00F436FF"/>
    <w:rsid w:val="00F454FA"/>
    <w:rsid w:val="00F474CD"/>
    <w:rsid w:val="00F60709"/>
    <w:rsid w:val="00F60A77"/>
    <w:rsid w:val="00F84ED0"/>
    <w:rsid w:val="00F8528C"/>
    <w:rsid w:val="00F85638"/>
    <w:rsid w:val="00F9606C"/>
    <w:rsid w:val="00FA7FD2"/>
    <w:rsid w:val="00FD0063"/>
    <w:rsid w:val="00FD18DA"/>
    <w:rsid w:val="00FE3657"/>
    <w:rsid w:val="00FF0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A00"/>
  </w:style>
  <w:style w:type="paragraph" w:styleId="Heading1">
    <w:name w:val="heading 1"/>
    <w:basedOn w:val="Normal"/>
    <w:next w:val="Normal"/>
    <w:link w:val="Heading1Char"/>
    <w:uiPriority w:val="9"/>
    <w:qFormat/>
    <w:rsid w:val="00EA4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3D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245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245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semiHidden/>
    <w:unhideWhenUsed/>
    <w:rsid w:val="00663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3145"/>
  </w:style>
  <w:style w:type="paragraph" w:styleId="Footer">
    <w:name w:val="footer"/>
    <w:basedOn w:val="Normal"/>
    <w:link w:val="FooterChar"/>
    <w:uiPriority w:val="99"/>
    <w:unhideWhenUsed/>
    <w:rsid w:val="00663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145"/>
  </w:style>
  <w:style w:type="paragraph" w:styleId="BalloonText">
    <w:name w:val="Balloon Text"/>
    <w:basedOn w:val="Normal"/>
    <w:link w:val="BalloonTextChar"/>
    <w:uiPriority w:val="99"/>
    <w:semiHidden/>
    <w:unhideWhenUsed/>
    <w:rsid w:val="00663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1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55B5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162BDE"/>
    <w:rPr>
      <w:i/>
      <w:iCs/>
      <w:color w:val="808080" w:themeColor="text1" w:themeTint="7F"/>
    </w:rPr>
  </w:style>
  <w:style w:type="character" w:styleId="Emphasis">
    <w:name w:val="Emphasis"/>
    <w:basedOn w:val="DefaultParagraphFont"/>
    <w:qFormat/>
    <w:rsid w:val="0067184B"/>
    <w:rPr>
      <w:i/>
      <w:iCs/>
    </w:rPr>
  </w:style>
  <w:style w:type="paragraph" w:styleId="NoSpacing">
    <w:name w:val="No Spacing"/>
    <w:link w:val="NoSpacingChar"/>
    <w:uiPriority w:val="1"/>
    <w:qFormat/>
    <w:rsid w:val="00D1624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16249"/>
  </w:style>
  <w:style w:type="character" w:customStyle="1" w:styleId="Heading2Char">
    <w:name w:val="Heading 2 Char"/>
    <w:basedOn w:val="DefaultParagraphFont"/>
    <w:link w:val="Heading2"/>
    <w:uiPriority w:val="9"/>
    <w:rsid w:val="003F3D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7B2B29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EA464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A464E"/>
    <w:rPr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EA464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A4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2012-06-02T00:00:00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98F47E-9592-48D9-828F-7A32B4E25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7</Pages>
  <Words>1804</Words>
  <Characters>10283</Characters>
  <Application>Microsoft Office Word</Application>
  <DocSecurity>0</DocSecurity>
  <Lines>85</Lines>
  <Paragraphs>24</Paragraphs>
  <ScaleCrop>false</ScaleCrop>
  <Company/>
  <LinksUpToDate>false</LinksUpToDate>
  <CharactersWithSpaces>12063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Revised Schedule VI:AN Overview &amp; Comparative Study</dc:title>
  <dc:subject/>
  <dc:creator>Saswani mata</dc:creator>
  <cp:keywords/>
  <dc:description/>
  <cp:lastModifiedBy>Saswani mata</cp:lastModifiedBy>
  <cp:revision>574</cp:revision>
  <cp:lastPrinted>2012-05-25T09:37:00Z</cp:lastPrinted>
  <dcterms:created xsi:type="dcterms:W3CDTF">2012-05-24T19:24:00Z</dcterms:created>
  <dcterms:modified xsi:type="dcterms:W3CDTF">2012-06-03T11:55:00Z</dcterms:modified>
</cp:coreProperties>
</file>