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9C" w:rsidRDefault="00D27B9C" w:rsidP="00D27B9C">
      <w:pPr>
        <w:pStyle w:val="Header"/>
        <w:jc w:val="center"/>
        <w:rPr>
          <w:rFonts w:ascii="Book Antiqua" w:hAnsi="Book Antiqua"/>
          <w:b/>
        </w:rPr>
      </w:pPr>
      <w:r w:rsidRPr="0057111E">
        <w:rPr>
          <w:rFonts w:ascii="Book Antiqua" w:hAnsi="Book Antiqua"/>
          <w:b/>
        </w:rPr>
        <w:t>REVISED SCHEDULE VI</w:t>
      </w:r>
      <w:r>
        <w:rPr>
          <w:rFonts w:ascii="Book Antiqua" w:hAnsi="Book Antiqua"/>
          <w:b/>
        </w:rPr>
        <w:t xml:space="preserve"> MATERIAL</w:t>
      </w:r>
    </w:p>
    <w:p w:rsidR="00D27B9C" w:rsidRDefault="00D27B9C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D3013" w:rsidRP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Applicability:</w:t>
      </w: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It is applicable t</w:t>
      </w:r>
      <w:r w:rsidRPr="00DD3013">
        <w:rPr>
          <w:rFonts w:ascii="Book Antiqua" w:hAnsi="Book Antiqua"/>
        </w:rPr>
        <w:t>o all Companies registered under the Companies Act (excluding banking, insurance and electricity companies)</w:t>
      </w:r>
    </w:p>
    <w:p w:rsidR="00DD3013" w:rsidRPr="00734149" w:rsidRDefault="00DD3013" w:rsidP="00D331E1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DD3013" w:rsidRP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Effective Date of Application:</w:t>
      </w:r>
    </w:p>
    <w:p w:rsidR="00DD3013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As per notification no S.O. 447(E), dated 28-2-2011 issued by MCA, Revised Schedule VI shall be applicable for the year commencing on or after 01/04/2011.</w:t>
      </w:r>
    </w:p>
    <w:p w:rsidR="00D331E1" w:rsidRPr="00734149" w:rsidRDefault="00D331E1" w:rsidP="00D331E1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In case of mismatch between the requirements of Act / ASs and Revised Schedule VI, requirements of the Act / ASs will prevail</w:t>
      </w: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</w:rPr>
      </w:pP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Structure of Revised Schedule VI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General Instructions (both Balance Sheet and Statement of Profit and Loss)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Part I – Form of Balance Sheet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General Instructions for Preparation of Balance Sheet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Part II – Form of Statement of Profit and Loss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General Instructions for Preparation of Statement of Profit and Loss</w:t>
      </w: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Rounding off</w:t>
      </w:r>
      <w:r>
        <w:rPr>
          <w:rFonts w:ascii="Book Antiqua" w:hAnsi="Book Antiqua"/>
          <w:b/>
        </w:rPr>
        <w:t xml:space="preserve"> conditions</w:t>
      </w:r>
    </w:p>
    <w:p w:rsidR="00DD3013" w:rsidRPr="00734149" w:rsidRDefault="00DD3013" w:rsidP="00D331E1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tbl>
      <w:tblPr>
        <w:tblW w:w="9998" w:type="dxa"/>
        <w:tblCellMar>
          <w:left w:w="0" w:type="dxa"/>
          <w:right w:w="0" w:type="dxa"/>
        </w:tblCellMar>
        <w:tblLook w:val="04A0"/>
      </w:tblPr>
      <w:tblGrid>
        <w:gridCol w:w="1969"/>
        <w:gridCol w:w="8029"/>
      </w:tblGrid>
      <w:tr w:rsidR="00DD3013" w:rsidRPr="00DD3013" w:rsidTr="00734149">
        <w:trPr>
          <w:trHeight w:val="216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Turnover </w:t>
            </w:r>
          </w:p>
        </w:tc>
        <w:tc>
          <w:tcPr>
            <w:tcW w:w="80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Rounding off </w:t>
            </w:r>
          </w:p>
        </w:tc>
      </w:tr>
      <w:tr w:rsidR="00DD3013" w:rsidRPr="00DD3013" w:rsidTr="00734149">
        <w:trPr>
          <w:trHeight w:val="196"/>
        </w:trPr>
        <w:tc>
          <w:tcPr>
            <w:tcW w:w="1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&lt; </w:t>
            </w:r>
            <w:r w:rsidRPr="00DD3013">
              <w:rPr>
                <w:rFonts w:ascii="Rupee Foradian" w:eastAsia="Times New Roman" w:hAnsi="Rupee Foradian" w:cs="Arial"/>
                <w:b/>
                <w:bCs/>
                <w:color w:val="000000"/>
                <w:kern w:val="24"/>
              </w:rPr>
              <w:t>`</w:t>
            </w:r>
            <w:r w:rsidRPr="00DD3013">
              <w:rPr>
                <w:rFonts w:ascii="Rupee Foradian" w:eastAsia="Times New Roman" w:hAnsi="Rupee Foradian" w:cs="Arial"/>
                <w:color w:val="000000"/>
                <w:kern w:val="24"/>
              </w:rPr>
              <w:t xml:space="preserve"> </w:t>
            </w: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>100 crores</w:t>
            </w:r>
          </w:p>
        </w:tc>
        <w:tc>
          <w:tcPr>
            <w:tcW w:w="80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>To the nearest hundreds, thousands, lakhs or millions, or decimals thereof.</w:t>
            </w:r>
          </w:p>
        </w:tc>
      </w:tr>
      <w:tr w:rsidR="00DD3013" w:rsidRPr="00DD3013" w:rsidTr="00734149">
        <w:trPr>
          <w:trHeight w:val="428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&gt; = </w:t>
            </w:r>
            <w:r w:rsidRPr="00DD3013">
              <w:rPr>
                <w:rFonts w:ascii="Rupee Foradian" w:eastAsia="Times New Roman" w:hAnsi="Rupee Foradian" w:cs="Arial"/>
                <w:b/>
                <w:bCs/>
                <w:color w:val="000000"/>
                <w:kern w:val="24"/>
              </w:rPr>
              <w:t>`</w:t>
            </w: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 xml:space="preserve"> 100 crores</w:t>
            </w:r>
          </w:p>
        </w:tc>
        <w:tc>
          <w:tcPr>
            <w:tcW w:w="80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>To the nearest, lakhs, millions or crores, or decimals thereof.</w:t>
            </w:r>
          </w:p>
        </w:tc>
      </w:tr>
    </w:tbl>
    <w:p w:rsidR="00734149" w:rsidRDefault="00734149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D3013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Overview of Changes – Balance Sheet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Any debit balance in the statement of profit and loss will be disclosed under the head “Reserves and surplus”.</w:t>
      </w:r>
    </w:p>
    <w:p w:rsid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“Sundry debtors” replaced with “trade receivables”.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 xml:space="preserve">“Sundry </w:t>
      </w:r>
      <w:r>
        <w:rPr>
          <w:rFonts w:ascii="Book Antiqua" w:hAnsi="Book Antiqua"/>
        </w:rPr>
        <w:t>creditors</w:t>
      </w:r>
      <w:r w:rsidRPr="00E02D64">
        <w:rPr>
          <w:rFonts w:ascii="Book Antiqua" w:hAnsi="Book Antiqua"/>
        </w:rPr>
        <w:t xml:space="preserve">” replaced with “trade </w:t>
      </w:r>
      <w:r>
        <w:rPr>
          <w:rFonts w:ascii="Book Antiqua" w:hAnsi="Book Antiqua"/>
        </w:rPr>
        <w:t>payables</w:t>
      </w:r>
      <w:r w:rsidRPr="00E02D64">
        <w:rPr>
          <w:rFonts w:ascii="Book Antiqua" w:hAnsi="Book Antiqua"/>
        </w:rPr>
        <w:t>”.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 xml:space="preserve">Separate disclosure of trade receivables outstanding for period &gt; 6 months from the </w:t>
      </w:r>
      <w:r w:rsidRPr="00E02D64">
        <w:rPr>
          <w:rFonts w:ascii="Book Antiqua" w:hAnsi="Book Antiqua"/>
          <w:b/>
          <w:i/>
          <w:u w:val="single"/>
        </w:rPr>
        <w:t>date the bill / invoice is due for receipt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“Capital advances” to be presented under “Loans and advances”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Other commitments to be disclosed along with Capital commitments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all defaults in repayment of loans and interest to be specified in each case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Specific disclosures for share application money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Overview of Changes Statement of Profit and Loss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 xml:space="preserve">Name changed to “Statement of Profit and Loss” as against “Profit and Loss Account” 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Format specified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Appropriations to form part of “Reserves and surplus”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Change in principle for recognition of dividend from subsidiaries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b/>
          <w:i/>
        </w:rPr>
      </w:pPr>
      <w:r w:rsidRPr="00E02D64">
        <w:rPr>
          <w:rFonts w:ascii="Book Antiqua" w:hAnsi="Book Antiqua"/>
          <w:b/>
          <w:i/>
        </w:rPr>
        <w:t>Certain disclosure requirements removed like: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managerial remuneration and computation of net profit for calculation of commission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licensed capacity, installed capacity and actual production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investments purchased and sold during the year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lastRenderedPageBreak/>
        <w:t>Balances pertaining to companies under same management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Part IV of the old schedule VI.</w:t>
      </w:r>
    </w:p>
    <w:p w:rsidR="00734149" w:rsidRDefault="00734149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Current Asset: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An asset shall be classified as “Current” if it satisfie</w:t>
      </w:r>
      <w:r>
        <w:rPr>
          <w:rFonts w:ascii="Book Antiqua" w:hAnsi="Book Antiqua"/>
        </w:rPr>
        <w:t>s any of the following criteria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expected to be realised in or is intended for sale or consumption in the company’s normal operating cycle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held primarily for trading purpose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expected to be realized within twelve months after the reporting date or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cash or cash equivalent unless it is restricted from being exchanged or used to settle a liability for at least twelve months after the reporting date.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Non-current Asset: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Assets other than current are classified as “Non-current”.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Current liability: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Liability which satisfies any of the following criteria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Expected to be settled in the company’s normal operating cycle;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Held primarily for traded purpose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Due to be settled within twelve months after the reporting date;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The company does not have an unconditional right to defer settlement of the liability for at least twelve months after the reporting date.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Non-current</w:t>
      </w:r>
      <w:r w:rsidR="00734149">
        <w:rPr>
          <w:rFonts w:ascii="Book Antiqua" w:hAnsi="Book Antiqua"/>
          <w:b/>
        </w:rPr>
        <w:t xml:space="preserve"> </w:t>
      </w:r>
      <w:r w:rsidR="00734149" w:rsidRPr="00E02D64">
        <w:rPr>
          <w:rFonts w:ascii="Book Antiqua" w:hAnsi="Book Antiqua"/>
          <w:b/>
        </w:rPr>
        <w:t>liability</w:t>
      </w:r>
      <w:r w:rsidRPr="00E02D64">
        <w:rPr>
          <w:rFonts w:ascii="Book Antiqua" w:hAnsi="Book Antiqua"/>
          <w:b/>
        </w:rPr>
        <w:t>: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Liabilities other than current are classified as “Non-current”.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Operating Cycle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An operating cycle is the time between the acquisition of assets for processing and their realization in cash or cash equivalents.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Where the normal operating cycle cannot be identified, it is assumed to have a duration of 12 months.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Operating cycle may be longer than 12 months (wine manufacturing)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Where a company is engaged in multiple businesses, operating cycle could be different for each line of business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3C7371" w:rsidRPr="00DD3013" w:rsidRDefault="00AA1AE8" w:rsidP="00734149">
      <w:pPr>
        <w:spacing w:after="0" w:line="240" w:lineRule="auto"/>
        <w:jc w:val="center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lastRenderedPageBreak/>
        <w:t>Format of Balance sheet</w:t>
      </w:r>
    </w:p>
    <w:tbl>
      <w:tblPr>
        <w:tblStyle w:val="TableGrid"/>
        <w:tblW w:w="0" w:type="auto"/>
        <w:tblLook w:val="04A0"/>
      </w:tblPr>
      <w:tblGrid>
        <w:gridCol w:w="5868"/>
        <w:gridCol w:w="1080"/>
        <w:gridCol w:w="1530"/>
        <w:gridCol w:w="1620"/>
      </w:tblGrid>
      <w:tr w:rsidR="00AA1AE8" w:rsidTr="00310A3C">
        <w:tc>
          <w:tcPr>
            <w:tcW w:w="5868" w:type="dxa"/>
            <w:tcBorders>
              <w:bottom w:val="single" w:sz="4" w:space="0" w:color="000000" w:themeColor="text1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Particulars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AA1AE8" w:rsidRPr="00AA1AE8" w:rsidRDefault="00AA1AE8" w:rsidP="00D331E1">
            <w:pPr>
              <w:jc w:val="both"/>
              <w:rPr>
                <w:rFonts w:ascii="Book Antiqua" w:hAnsi="Book Antiqua"/>
              </w:rPr>
            </w:pPr>
            <w:r w:rsidRPr="00AA1AE8">
              <w:rPr>
                <w:rFonts w:ascii="Book Antiqua" w:hAnsi="Book Antiqua"/>
              </w:rPr>
              <w:t>Note</w:t>
            </w:r>
          </w:p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  <w:r w:rsidRPr="00AA1AE8">
              <w:rPr>
                <w:rFonts w:ascii="Book Antiqua" w:hAnsi="Book Antiqua"/>
              </w:rPr>
              <w:t>No.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</w:tcPr>
          <w:p w:rsidR="00AA1AE8" w:rsidRDefault="00864C48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At the end of </w:t>
            </w:r>
            <w:r w:rsidR="006B04A9">
              <w:rPr>
                <w:rFonts w:ascii="Book Antiqua" w:hAnsi="Book Antiqua"/>
              </w:rPr>
              <w:t xml:space="preserve">Current year 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</w:tcPr>
          <w:p w:rsidR="00AA1AE8" w:rsidRDefault="00864C48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At the end of </w:t>
            </w:r>
            <w:r w:rsidR="006B04A9">
              <w:rPr>
                <w:rFonts w:ascii="Book Antiqua" w:hAnsi="Book Antiqua"/>
              </w:rPr>
              <w:t>Last year figures</w:t>
            </w:r>
          </w:p>
        </w:tc>
      </w:tr>
      <w:tr w:rsidR="00AA1AE8" w:rsidTr="00310A3C">
        <w:tc>
          <w:tcPr>
            <w:tcW w:w="5868" w:type="dxa"/>
            <w:tcBorders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I. EQUITY AND LIABILITIES</w:t>
            </w:r>
          </w:p>
        </w:tc>
        <w:tc>
          <w:tcPr>
            <w:tcW w:w="1080" w:type="dxa"/>
            <w:tcBorders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(1) Shareholders’ funds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Share capital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Reserves and surplus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Money received against share</w:t>
            </w:r>
            <w:r>
              <w:rPr>
                <w:rFonts w:ascii="Book Antiqua" w:hAnsi="Book Antiqua"/>
              </w:rPr>
              <w:t xml:space="preserve"> </w:t>
            </w:r>
            <w:r w:rsidRPr="006B04A9">
              <w:rPr>
                <w:rFonts w:ascii="Book Antiqua" w:hAnsi="Book Antiqua"/>
              </w:rPr>
              <w:t>warrants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(2) Share application money pending allotment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(3) Non-current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(a)Long-term borrowings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Deferred tax liabilities (Net)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Other Long term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Long-term provisions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(4) Current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Short-term borrowings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Trade payables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Other current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Short-term provisions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single" w:sz="4" w:space="0" w:color="000000" w:themeColor="text1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108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bottom w:val="nil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II. ASSETS</w:t>
            </w:r>
          </w:p>
        </w:tc>
        <w:tc>
          <w:tcPr>
            <w:tcW w:w="108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(1) Non-current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Fixed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(i) Tangible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(ii) Intangible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(iii) Capital work-in-progress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(iv)Intangible assets under</w:t>
            </w:r>
            <w:r>
              <w:rPr>
                <w:rFonts w:ascii="Book Antiqua" w:hAnsi="Book Antiqua"/>
              </w:rPr>
              <w:t xml:space="preserve"> </w:t>
            </w:r>
            <w:r w:rsidRPr="006B04A9">
              <w:rPr>
                <w:rFonts w:ascii="Book Antiqua" w:hAnsi="Book Antiqua"/>
              </w:rPr>
              <w:t>development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Non-current investments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Deferred tax assets (net)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Long-term loans and advances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(e) Other non-current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DD3013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DD3013">
              <w:rPr>
                <w:rFonts w:ascii="Book Antiqua" w:hAnsi="Book Antiqua"/>
                <w:b/>
              </w:rPr>
              <w:t>(2) Current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Current investments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Inventories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Trade receivables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Cash and cash equivalents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(e) Short-term loans and advances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(f) Other current assets</w:t>
            </w:r>
          </w:p>
        </w:tc>
        <w:tc>
          <w:tcPr>
            <w:tcW w:w="108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AA1AE8">
        <w:tc>
          <w:tcPr>
            <w:tcW w:w="5868" w:type="dxa"/>
          </w:tcPr>
          <w:p w:rsidR="006B04A9" w:rsidRPr="00DD3013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DD3013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108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</w:tbl>
    <w:p w:rsidR="00AA1AE8" w:rsidRDefault="00AA1AE8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734149">
      <w:pPr>
        <w:spacing w:after="0" w:line="240" w:lineRule="auto"/>
        <w:jc w:val="center"/>
        <w:rPr>
          <w:rFonts w:ascii="Book Antiqua" w:hAnsi="Book Antiqua"/>
          <w:b/>
        </w:rPr>
      </w:pPr>
      <w:r w:rsidRPr="006B04A9">
        <w:rPr>
          <w:rFonts w:ascii="Book Antiqua" w:hAnsi="Book Antiqua"/>
          <w:b/>
        </w:rPr>
        <w:t>Statement of profit and loss</w:t>
      </w:r>
    </w:p>
    <w:tbl>
      <w:tblPr>
        <w:tblStyle w:val="TableGrid"/>
        <w:tblW w:w="0" w:type="auto"/>
        <w:tblLook w:val="04A0"/>
      </w:tblPr>
      <w:tblGrid>
        <w:gridCol w:w="7308"/>
        <w:gridCol w:w="720"/>
        <w:gridCol w:w="1080"/>
        <w:gridCol w:w="990"/>
      </w:tblGrid>
      <w:tr w:rsidR="00263573" w:rsidTr="00263573">
        <w:tc>
          <w:tcPr>
            <w:tcW w:w="7308" w:type="dxa"/>
          </w:tcPr>
          <w:p w:rsidR="006B04A9" w:rsidRPr="0011568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Particulars</w:t>
            </w:r>
          </w:p>
        </w:tc>
        <w:tc>
          <w:tcPr>
            <w:tcW w:w="720" w:type="dxa"/>
          </w:tcPr>
          <w:p w:rsidR="006B04A9" w:rsidRPr="0011568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Note</w:t>
            </w:r>
          </w:p>
          <w:p w:rsidR="006B04A9" w:rsidRPr="0011568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No.</w:t>
            </w:r>
          </w:p>
        </w:tc>
        <w:tc>
          <w:tcPr>
            <w:tcW w:w="1080" w:type="dxa"/>
          </w:tcPr>
          <w:p w:rsidR="006B04A9" w:rsidRPr="0011568C" w:rsidRDefault="00864C48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 xml:space="preserve">For the </w:t>
            </w:r>
            <w:r w:rsidR="006B04A9" w:rsidRPr="0011568C">
              <w:rPr>
                <w:rFonts w:ascii="Book Antiqua" w:hAnsi="Book Antiqua"/>
                <w:b/>
              </w:rPr>
              <w:t xml:space="preserve">Current year </w:t>
            </w:r>
          </w:p>
        </w:tc>
        <w:tc>
          <w:tcPr>
            <w:tcW w:w="990" w:type="dxa"/>
          </w:tcPr>
          <w:p w:rsidR="006B04A9" w:rsidRPr="0011568C" w:rsidRDefault="00864C48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 xml:space="preserve">For the </w:t>
            </w:r>
            <w:r w:rsidR="006B04A9" w:rsidRPr="0011568C">
              <w:rPr>
                <w:rFonts w:ascii="Book Antiqua" w:hAnsi="Book Antiqua"/>
                <w:b/>
              </w:rPr>
              <w:t>Last year</w:t>
            </w:r>
          </w:p>
        </w:tc>
      </w:tr>
      <w:tr w:rsidR="00263573" w:rsidTr="00263573">
        <w:tc>
          <w:tcPr>
            <w:tcW w:w="7308" w:type="dxa"/>
          </w:tcPr>
          <w:p w:rsid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>I. Revenue from operations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>II. Other income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bottom w:val="single" w:sz="4" w:space="0" w:color="000000" w:themeColor="text1"/>
            </w:tcBorders>
          </w:tcPr>
          <w:p w:rsidR="006B04A9" w:rsidRPr="00864C48" w:rsidRDefault="0011568C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III. Total Revenue (I + II)</w:t>
            </w: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bottom w:val="nil"/>
            </w:tcBorders>
          </w:tcPr>
          <w:p w:rsidR="006B04A9" w:rsidRPr="00864C48" w:rsidRDefault="0011568C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IV. Expenses:</w:t>
            </w:r>
          </w:p>
        </w:tc>
        <w:tc>
          <w:tcPr>
            <w:tcW w:w="72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Cost of materials consumed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Purchases of Stock-in-Trade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Changes in inventories of</w:t>
            </w:r>
            <w:r>
              <w:rPr>
                <w:rFonts w:ascii="Book Antiqua" w:hAnsi="Book Antiqua"/>
              </w:rPr>
              <w:t xml:space="preserve"> </w:t>
            </w:r>
            <w:r w:rsidRPr="00864C48">
              <w:rPr>
                <w:rFonts w:ascii="Book Antiqua" w:hAnsi="Book Antiqua"/>
              </w:rPr>
              <w:t>finished goods</w:t>
            </w:r>
            <w:r w:rsidR="00263573">
              <w:rPr>
                <w:rFonts w:ascii="Book Antiqua" w:hAnsi="Book Antiqua"/>
              </w:rPr>
              <w:t xml:space="preserve">, WIP </w:t>
            </w:r>
            <w:r w:rsidRPr="00864C48">
              <w:rPr>
                <w:rFonts w:ascii="Book Antiqua" w:hAnsi="Book Antiqua"/>
              </w:rPr>
              <w:t>and Stock-in-Trade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Employee benefits expense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Finance costs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Depreciation and</w:t>
            </w:r>
            <w:r>
              <w:rPr>
                <w:rFonts w:ascii="Book Antiqua" w:hAnsi="Book Antiqua"/>
              </w:rPr>
              <w:t xml:space="preserve"> </w:t>
            </w:r>
            <w:r w:rsidRPr="00864C48">
              <w:rPr>
                <w:rFonts w:ascii="Book Antiqua" w:hAnsi="Book Antiqua"/>
              </w:rPr>
              <w:t>amortization expense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single" w:sz="4" w:space="0" w:color="000000" w:themeColor="text1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Other expenses</w:t>
            </w:r>
          </w:p>
        </w:tc>
        <w:tc>
          <w:tcPr>
            <w:tcW w:w="72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single" w:sz="4" w:space="0" w:color="000000" w:themeColor="text1"/>
            </w:tcBorders>
          </w:tcPr>
          <w:p w:rsidR="006B04A9" w:rsidRPr="00263573" w:rsidRDefault="00864C48" w:rsidP="00D331E1">
            <w:pPr>
              <w:jc w:val="both"/>
              <w:rPr>
                <w:rFonts w:ascii="Book Antiqua" w:hAnsi="Book Antiqua"/>
                <w:b/>
              </w:rPr>
            </w:pPr>
            <w:r w:rsidRPr="00263573">
              <w:rPr>
                <w:rFonts w:ascii="Book Antiqua" w:hAnsi="Book Antiqua"/>
                <w:b/>
              </w:rPr>
              <w:t>Total expenses</w:t>
            </w:r>
          </w:p>
        </w:tc>
        <w:tc>
          <w:tcPr>
            <w:tcW w:w="720" w:type="dxa"/>
            <w:tcBorders>
              <w:top w:val="single" w:sz="4" w:space="0" w:color="000000" w:themeColor="text1"/>
            </w:tcBorders>
          </w:tcPr>
          <w:p w:rsidR="006B04A9" w:rsidRPr="00263573" w:rsidRDefault="006B04A9" w:rsidP="00D331E1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:rsidR="006B04A9" w:rsidRPr="00263573" w:rsidRDefault="00263573" w:rsidP="00D331E1">
            <w:pPr>
              <w:jc w:val="both"/>
              <w:rPr>
                <w:rFonts w:ascii="Book Antiqua" w:hAnsi="Book Antiqua"/>
                <w:b/>
              </w:rPr>
            </w:pPr>
            <w:r w:rsidRPr="00263573">
              <w:rPr>
                <w:rFonts w:ascii="Book Antiqua" w:hAnsi="Book Antiqua"/>
                <w:b/>
              </w:rPr>
              <w:t>XXX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:rsidR="006B04A9" w:rsidRPr="00263573" w:rsidRDefault="00263573" w:rsidP="00D331E1">
            <w:pPr>
              <w:jc w:val="both"/>
              <w:rPr>
                <w:rFonts w:ascii="Book Antiqua" w:hAnsi="Book Antiqua"/>
                <w:b/>
              </w:rPr>
            </w:pPr>
            <w:r w:rsidRPr="00263573">
              <w:rPr>
                <w:rFonts w:ascii="Book Antiqua" w:hAnsi="Book Antiqua"/>
                <w:b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 xml:space="preserve">V. Profit before </w:t>
            </w:r>
            <w:r w:rsidRPr="007A6A38">
              <w:rPr>
                <w:rFonts w:ascii="Book Antiqua" w:hAnsi="Book Antiqua"/>
                <w:b/>
              </w:rPr>
              <w:t>exceptional</w:t>
            </w:r>
            <w:r w:rsidRPr="0011568C">
              <w:rPr>
                <w:rFonts w:ascii="Book Antiqua" w:hAnsi="Book Antiqua"/>
              </w:rPr>
              <w:t xml:space="preserve"> and</w:t>
            </w:r>
            <w:r>
              <w:rPr>
                <w:rFonts w:ascii="Book Antiqua" w:hAnsi="Book Antiqua"/>
              </w:rPr>
              <w:t xml:space="preserve"> </w:t>
            </w:r>
            <w:r w:rsidRPr="007A6A38">
              <w:rPr>
                <w:rFonts w:ascii="Book Antiqua" w:hAnsi="Book Antiqua"/>
                <w:b/>
              </w:rPr>
              <w:t>extraordinary items</w:t>
            </w:r>
            <w:r w:rsidRPr="0011568C">
              <w:rPr>
                <w:rFonts w:ascii="Book Antiqua" w:hAnsi="Book Antiqua"/>
              </w:rPr>
              <w:t xml:space="preserve"> and </w:t>
            </w:r>
            <w:r w:rsidRPr="007A6A38">
              <w:rPr>
                <w:rFonts w:ascii="Book Antiqua" w:hAnsi="Book Antiqua"/>
                <w:b/>
              </w:rPr>
              <w:t>tax</w:t>
            </w:r>
            <w:r>
              <w:rPr>
                <w:rFonts w:ascii="Book Antiqua" w:hAnsi="Book Antiqua"/>
              </w:rPr>
              <w:t xml:space="preserve"> </w:t>
            </w:r>
            <w:r w:rsidRPr="0011568C">
              <w:rPr>
                <w:rFonts w:ascii="Book Antiqua" w:hAnsi="Book Antiqua"/>
              </w:rPr>
              <w:t>(III-IV)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VI. </w:t>
            </w:r>
            <w:r w:rsidR="00864C48" w:rsidRPr="00864C48">
              <w:rPr>
                <w:rFonts w:ascii="Book Antiqua" w:hAnsi="Book Antiqua"/>
              </w:rPr>
              <w:t>Exceptional items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VII. </w:t>
            </w:r>
            <w:r w:rsidR="00864C48" w:rsidRPr="00864C48">
              <w:rPr>
                <w:rFonts w:ascii="Book Antiqua" w:hAnsi="Book Antiqua"/>
              </w:rPr>
              <w:t>Profit before extraordinary</w:t>
            </w:r>
            <w:r w:rsidR="00864C48">
              <w:rPr>
                <w:rFonts w:ascii="Book Antiqua" w:hAnsi="Book Antiqua"/>
              </w:rPr>
              <w:t xml:space="preserve"> </w:t>
            </w:r>
            <w:r w:rsidR="00864C48" w:rsidRPr="00864C48">
              <w:rPr>
                <w:rFonts w:ascii="Book Antiqua" w:hAnsi="Book Antiqua"/>
              </w:rPr>
              <w:t>items and tax</w:t>
            </w:r>
            <w:r>
              <w:rPr>
                <w:rFonts w:ascii="Book Antiqua" w:hAnsi="Book Antiqua"/>
              </w:rPr>
              <w:t xml:space="preserve"> </w:t>
            </w:r>
            <w:r w:rsidRPr="0011568C">
              <w:rPr>
                <w:rFonts w:ascii="Book Antiqua" w:hAnsi="Book Antiqua"/>
              </w:rPr>
              <w:t>(V - VI)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>VIII. Extraordinary Items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bottom w:val="single" w:sz="4" w:space="0" w:color="000000" w:themeColor="text1"/>
            </w:tcBorders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IX. Profit before tax (VII- VIII)</w:t>
            </w: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bottom w:val="nil"/>
            </w:tcBorders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</w:t>
            </w:r>
            <w:r w:rsidR="00263573">
              <w:rPr>
                <w:rFonts w:ascii="Book Antiqua" w:hAnsi="Book Antiqua"/>
              </w:rPr>
              <w:t xml:space="preserve">. </w:t>
            </w:r>
            <w:r w:rsidRPr="00023149">
              <w:rPr>
                <w:rFonts w:ascii="Book Antiqua" w:hAnsi="Book Antiqua"/>
              </w:rPr>
              <w:t>Tax expense:</w:t>
            </w:r>
          </w:p>
        </w:tc>
        <w:tc>
          <w:tcPr>
            <w:tcW w:w="72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023149" w:rsidRDefault="00864C48" w:rsidP="00D331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Current tax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</w:tcBorders>
          </w:tcPr>
          <w:p w:rsidR="006B04A9" w:rsidRPr="00023149" w:rsidRDefault="00864C48" w:rsidP="00D331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Deferred tax</w:t>
            </w:r>
          </w:p>
        </w:tc>
        <w:tc>
          <w:tcPr>
            <w:tcW w:w="72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XI. Profit (Loss) for the period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from continuing operations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(VII-VIII)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XII Profit/(loss) from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discontinuing operations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XIII. Tax expense of discontinuing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operations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XIV. Profit/(loss) from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Discontinuing operations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(after tax) (XII-XIII)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XV. Profit (Loss) for the period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(XI + XIV)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</w:tbl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Default="00D331E1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:rsidR="00E02D64" w:rsidRDefault="00734149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lastRenderedPageBreak/>
        <w:t>SUB HEADS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Reserves and Surplus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Capital Reserves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Capital Redemption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Securities Premium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Debenture Redemption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Revaluation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Other Reserves</w:t>
      </w:r>
    </w:p>
    <w:p w:rsid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Surplus i.e. balance in Statement of Profit and Loss disclosing allocations and appropriations such as dividend, bonus shares and transfer to/from reserves, etc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331E1" w:rsidRDefault="00D331E1" w:rsidP="00734149">
      <w:pPr>
        <w:shd w:val="clear" w:color="auto" w:fill="F2F2F2" w:themeFill="background1" w:themeFillShade="F2"/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NON-CURRENT LIABILITIES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Long-term borrowings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(a) </w:t>
      </w:r>
      <w:r w:rsidRPr="00D331E1">
        <w:rPr>
          <w:rFonts w:ascii="Book Antiqua" w:hAnsi="Book Antiqua"/>
        </w:rPr>
        <w:t>Bonds/debentures;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(b) Term loans;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banks;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other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(c) Deferred payment liabilities;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(d) Deposits;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(e) Loans and advances from related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(f) Long term maturities of finance lease obligations;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(g) Other loans and advances (specify nature).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Other Long-term liabilities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a) Trade payables; and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b) Others.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Long-Term Provisions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a) P</w:t>
      </w:r>
      <w:r w:rsidRPr="00D331E1">
        <w:rPr>
          <w:rFonts w:ascii="Book Antiqua" w:hAnsi="Book Antiqua"/>
        </w:rPr>
        <w:t xml:space="preserve">rovision for employee benefits 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</w:r>
      <w:r w:rsidRPr="00D331E1">
        <w:rPr>
          <w:rFonts w:ascii="Book Antiqua" w:hAnsi="Book Antiqua"/>
        </w:rPr>
        <w:t>others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Default="00D331E1" w:rsidP="00734149">
      <w:pPr>
        <w:shd w:val="clear" w:color="auto" w:fill="F2F2F2" w:themeFill="background1" w:themeFillShade="F2"/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CURRENT LIABILITIES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Short-term borrowings;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(a) Loans repayable on demand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banks;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other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(b) Loans and advances from related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(c) Deposits;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(d) Other loans and advances (specify nature).</w:t>
      </w:r>
    </w:p>
    <w:p w:rsidR="001F5BFC" w:rsidRDefault="001F5BFC" w:rsidP="00D331E1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current liabilities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Current maturities of long-term debt;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Current maturities of finance lease obligations;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Interest accrued but not due on borrowings;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Interest accrued and due on borrowings;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Income received in advance;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Unpaid dividends;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lastRenderedPageBreak/>
        <w:t>(g) Application money received for allotment of securities and due for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refund and interest accrued thereon;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(h) Unpaid matured deposits and interest accrued thereon;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(i) Unpaid matured debentures and interest accrued thereon;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(j) Other payables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Short-term provisions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Provision for employee benefits;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734149" w:rsidRPr="00734149" w:rsidRDefault="00734149" w:rsidP="00734149">
      <w:pPr>
        <w:shd w:val="clear" w:color="auto" w:fill="D9D9D9" w:themeFill="background1" w:themeFillShade="D9"/>
        <w:spacing w:after="0" w:line="240" w:lineRule="auto"/>
        <w:jc w:val="both"/>
        <w:rPr>
          <w:rFonts w:ascii="Book Antiqua" w:hAnsi="Book Antiqua"/>
          <w:b/>
        </w:rPr>
      </w:pPr>
      <w:r w:rsidRPr="00734149">
        <w:rPr>
          <w:rFonts w:ascii="Book Antiqua" w:hAnsi="Book Antiqua"/>
          <w:b/>
        </w:rPr>
        <w:t>NON CURRENT ASSETS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FIXED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Tangible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Land;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Buildings;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Plant and Equipment;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Furniture and Fixtures;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Vehicles;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Office equipment;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Intangible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Goodwill;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Brands /trademarks;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Computer software;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Mastheads and publishing titles;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Mining rights;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Copyrights, and patents and other intellectual property rights,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services and operating rights;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Recipes, formulae, models, designs and prototypes;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(h) Licenses and franchise;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Non-current investments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Investment property;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Investments in Equity Instruments;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Investments in preference shares;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Investments in Government or trust securities;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Investments in debentures or bonds;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Investments in Mutual Funds;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Investments in partnership firms;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(h) Other non-current investments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Long-term loans &amp; advances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Capital Advances;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Security Deposits;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Loans and advances to related parties (giving details thereof);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Other loans and advances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lastRenderedPageBreak/>
        <w:t>Other non-current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(i) Long term Trade Receivables (including trade receivables on deferred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credit terms);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(ii) Others (specify nature)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Current investments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Investments in Equity Instruments;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Investment in Preference Shares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Investments in government or trust securities;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Investments in debentures or bonds;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Investments in Mutual Funds;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Investments in partnership firms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Other investments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Inventories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Raw materials;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Work-in-progress;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Finished goods;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Stock-in-trade (in respect of goods acquired for trading);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Stores and spares;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Loose tools;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Cash and cash equivalents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Balances with banks;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Cheques, drafts on hand;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Cash on hand;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Short-term loans &amp; Advances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Loans and advances to related parties (giving details thereof);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REVENUE FROM OPERATIONS: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revenue from: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Sale of products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Sale of services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Other operating revenues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Less: Excise duty</w:t>
      </w:r>
    </w:p>
    <w:p w:rsidR="001F5BFC" w:rsidRPr="00D27B9C" w:rsidRDefault="001F5BFC" w:rsidP="001F5BFC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income: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Interest Income (in case of a company other than a finance company);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Dividend Income;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Net gain / loss on sale of investments;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Other non-operating income (net of expenses directly attributable to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such income).</w:t>
      </w:r>
    </w:p>
    <w:p w:rsidR="001F5BFC" w:rsidRPr="00D27B9C" w:rsidRDefault="001F5BFC" w:rsidP="001F5BFC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Employee benefits expense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Salaries and wages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Contribution to provident and other funds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Expense on Employee Stock Option Scheme (ESOP) and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Employee Stock Purchase Plan (ESPP)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Staff welfare expense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lastRenderedPageBreak/>
        <w:t>Finance costs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(A)</w:t>
      </w:r>
      <w:r w:rsidRPr="001F5BFC">
        <w:rPr>
          <w:rFonts w:ascii="Book Antiqua" w:hAnsi="Book Antiqua"/>
        </w:rPr>
        <w:t>Interest expense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Other borrowing costs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Applicable net gain/loss on foreign currency transactions and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translation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Expenses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Consumption of stores and spare parts;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Power and fuel;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Rent;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Repairs to buildings;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Repairs to machinery;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Insurance;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Rates and taxes, excluding taxes on income;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Miscellaneous expenses.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sectPr w:rsidR="001F5BFC" w:rsidRPr="001F5BFC" w:rsidSect="00E02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4BF" w:rsidRDefault="00D174BF" w:rsidP="00E02D64">
      <w:pPr>
        <w:spacing w:after="0" w:line="240" w:lineRule="auto"/>
      </w:pPr>
      <w:r>
        <w:separator/>
      </w:r>
    </w:p>
  </w:endnote>
  <w:endnote w:type="continuationSeparator" w:id="1">
    <w:p w:rsidR="00D174BF" w:rsidRDefault="00D174BF" w:rsidP="00E0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EB" w:rsidRDefault="00821B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5157"/>
      <w:docPartObj>
        <w:docPartGallery w:val="Page Numbers (Bottom of Page)"/>
        <w:docPartUnique/>
      </w:docPartObj>
    </w:sdtPr>
    <w:sdtContent>
      <w:p w:rsidR="00734149" w:rsidRDefault="00734149">
        <w:pPr>
          <w:pStyle w:val="Footer"/>
          <w:jc w:val="right"/>
        </w:pPr>
        <w:r>
          <w:t xml:space="preserve">Page | </w:t>
        </w:r>
        <w:fldSimple w:instr=" PAGE   \* MERGEFORMAT ">
          <w:r w:rsidR="00821BEB">
            <w:rPr>
              <w:noProof/>
            </w:rPr>
            <w:t>1</w:t>
          </w:r>
        </w:fldSimple>
        <w:r>
          <w:t xml:space="preserve"> </w:t>
        </w:r>
      </w:p>
    </w:sdtContent>
  </w:sdt>
  <w:p w:rsidR="00734149" w:rsidRDefault="007341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EB" w:rsidRDefault="00821B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4BF" w:rsidRDefault="00D174BF" w:rsidP="00E02D64">
      <w:pPr>
        <w:spacing w:after="0" w:line="240" w:lineRule="auto"/>
      </w:pPr>
      <w:r>
        <w:separator/>
      </w:r>
    </w:p>
  </w:footnote>
  <w:footnote w:type="continuationSeparator" w:id="1">
    <w:p w:rsidR="00D174BF" w:rsidRDefault="00D174BF" w:rsidP="00E0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EB" w:rsidRDefault="00821BE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4422" o:spid="_x0000_s4098" type="#_x0000_t136" style="position:absolute;margin-left:0;margin-top:0;width:566.25pt;height:154.4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SHAKYAMUNI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D64" w:rsidRPr="00D27B9C" w:rsidRDefault="00821BEB" w:rsidP="00D27B9C">
    <w:pPr>
      <w:pStyle w:val="Header"/>
      <w:rPr>
        <w:rFonts w:ascii="Book Antiqua" w:hAnsi="Book Antiqua"/>
        <w:b/>
        <w:sz w:val="26"/>
        <w:szCs w:val="2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4423" o:spid="_x0000_s4099" type="#_x0000_t136" style="position:absolute;margin-left:0;margin-top:0;width:566.25pt;height:154.4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SHAKYAMUNI"/>
        </v:shape>
      </w:pict>
    </w:r>
    <w:r w:rsidR="00D27B9C" w:rsidRPr="00D27B9C">
      <w:rPr>
        <w:rFonts w:ascii="Book Antiqua" w:hAnsi="Book Antiqua"/>
        <w:b/>
        <w:sz w:val="26"/>
        <w:szCs w:val="26"/>
      </w:rPr>
      <w:t xml:space="preserve">SHAKYAMUNI ACADEMY FOR CA </w:t>
    </w:r>
    <w:r w:rsidR="00D27B9C" w:rsidRPr="00D27B9C">
      <w:rPr>
        <w:rFonts w:ascii="Book Antiqua" w:hAnsi="Book Antiqua"/>
        <w:b/>
        <w:sz w:val="26"/>
        <w:szCs w:val="26"/>
      </w:rPr>
      <w:tab/>
    </w:r>
    <w:r w:rsidR="00D27B9C" w:rsidRPr="00D27B9C">
      <w:rPr>
        <w:rFonts w:ascii="Book Antiqua" w:hAnsi="Book Antiqua"/>
        <w:b/>
        <w:sz w:val="26"/>
        <w:szCs w:val="26"/>
      </w:rPr>
      <w:tab/>
      <w:t>PH NO. 9000 354841</w:t>
    </w:r>
  </w:p>
  <w:p w:rsidR="0057111E" w:rsidRPr="0057111E" w:rsidRDefault="0057111E" w:rsidP="0057111E">
    <w:pPr>
      <w:pStyle w:val="Header"/>
      <w:jc w:val="center"/>
      <w:rPr>
        <w:rFonts w:ascii="Book Antiqua" w:hAnsi="Book Antiqua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EB" w:rsidRDefault="00821BE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4421" o:spid="_x0000_s4097" type="#_x0000_t136" style="position:absolute;margin-left:0;margin-top:0;width:566.25pt;height:154.4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SHAKYAMUNI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EFD"/>
    <w:multiLevelType w:val="hybridMultilevel"/>
    <w:tmpl w:val="90E0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A2871"/>
    <w:multiLevelType w:val="hybridMultilevel"/>
    <w:tmpl w:val="5088E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6E01"/>
    <w:multiLevelType w:val="hybridMultilevel"/>
    <w:tmpl w:val="B9B01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2913"/>
    <w:multiLevelType w:val="hybridMultilevel"/>
    <w:tmpl w:val="BA76CA54"/>
    <w:lvl w:ilvl="0" w:tplc="C694C1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116BF"/>
    <w:multiLevelType w:val="hybridMultilevel"/>
    <w:tmpl w:val="A09AC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140E4"/>
    <w:multiLevelType w:val="hybridMultilevel"/>
    <w:tmpl w:val="6EF41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56A42"/>
    <w:multiLevelType w:val="hybridMultilevel"/>
    <w:tmpl w:val="448A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21E43"/>
    <w:multiLevelType w:val="hybridMultilevel"/>
    <w:tmpl w:val="4FEED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774A6"/>
    <w:multiLevelType w:val="hybridMultilevel"/>
    <w:tmpl w:val="8F2887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7E7CA6"/>
    <w:multiLevelType w:val="hybridMultilevel"/>
    <w:tmpl w:val="6B06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A1AE8"/>
    <w:rsid w:val="00023149"/>
    <w:rsid w:val="000E3A09"/>
    <w:rsid w:val="0011568C"/>
    <w:rsid w:val="001F5BFC"/>
    <w:rsid w:val="00263573"/>
    <w:rsid w:val="00310A3C"/>
    <w:rsid w:val="003C7371"/>
    <w:rsid w:val="0057111E"/>
    <w:rsid w:val="006B04A9"/>
    <w:rsid w:val="00734149"/>
    <w:rsid w:val="007A6A38"/>
    <w:rsid w:val="00821BEB"/>
    <w:rsid w:val="00864C48"/>
    <w:rsid w:val="009970BF"/>
    <w:rsid w:val="00AA1AE8"/>
    <w:rsid w:val="00D174BF"/>
    <w:rsid w:val="00D27B9C"/>
    <w:rsid w:val="00D331E1"/>
    <w:rsid w:val="00DD3013"/>
    <w:rsid w:val="00DF2CD3"/>
    <w:rsid w:val="00E0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1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01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D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0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2D64"/>
  </w:style>
  <w:style w:type="paragraph" w:styleId="Footer">
    <w:name w:val="footer"/>
    <w:basedOn w:val="Normal"/>
    <w:link w:val="FooterChar"/>
    <w:uiPriority w:val="99"/>
    <w:unhideWhenUsed/>
    <w:rsid w:val="00E0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D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55CE-8874-4589-B95B-D4D04090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Naveenab</dc:creator>
  <cp:keywords/>
  <dc:description/>
  <cp:lastModifiedBy>Naveenab</cp:lastModifiedBy>
  <cp:revision>8</cp:revision>
  <dcterms:created xsi:type="dcterms:W3CDTF">2012-06-23T07:23:00Z</dcterms:created>
  <dcterms:modified xsi:type="dcterms:W3CDTF">2012-06-26T11:00:00Z</dcterms:modified>
</cp:coreProperties>
</file>