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E61" w:rsidRDefault="009559F1">
      <w:pPr>
        <w:rPr>
          <w:b/>
          <w:i/>
          <w:sz w:val="24"/>
          <w:szCs w:val="24"/>
        </w:rPr>
      </w:pPr>
      <w:r w:rsidRPr="009559F1">
        <w:rPr>
          <w:b/>
          <w:i/>
          <w:sz w:val="24"/>
          <w:szCs w:val="24"/>
        </w:rPr>
        <w:object w:dxaOrig="9586" w:dyaOrig="12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642pt" o:ole="">
            <v:imagedata r:id="rId4" o:title=""/>
          </v:shape>
          <o:OLEObject Type="Embed" ProgID="Word.Document.12" ShapeID="_x0000_i1025" DrawAspect="Content" ObjectID="_1394390353" r:id="rId5"/>
        </w:object>
      </w:r>
      <w:r w:rsidR="00093247">
        <w:rPr>
          <w:b/>
          <w:i/>
          <w:sz w:val="24"/>
          <w:szCs w:val="24"/>
        </w:rPr>
        <w:t>SUMMARY OF RECENT DIRECT TAX LAWS FOR MAY 2012</w:t>
      </w:r>
    </w:p>
    <w:tbl>
      <w:tblPr>
        <w:tblStyle w:val="TableGrid"/>
        <w:tblW w:w="0" w:type="auto"/>
        <w:tblLook w:val="04A0"/>
      </w:tblPr>
      <w:tblGrid>
        <w:gridCol w:w="733"/>
        <w:gridCol w:w="3169"/>
        <w:gridCol w:w="3254"/>
        <w:gridCol w:w="2420"/>
      </w:tblGrid>
      <w:tr w:rsidR="00D81451" w:rsidTr="00D81451">
        <w:tc>
          <w:tcPr>
            <w:tcW w:w="738" w:type="dxa"/>
          </w:tcPr>
          <w:p w:rsidR="00D81451" w:rsidRDefault="00D81451">
            <w:pPr>
              <w:rPr>
                <w:b/>
                <w:sz w:val="24"/>
                <w:szCs w:val="24"/>
              </w:rPr>
            </w:pPr>
            <w:r>
              <w:rPr>
                <w:b/>
                <w:sz w:val="24"/>
                <w:szCs w:val="24"/>
              </w:rPr>
              <w:t>S.NO</w:t>
            </w:r>
          </w:p>
        </w:tc>
        <w:tc>
          <w:tcPr>
            <w:tcW w:w="3240" w:type="dxa"/>
          </w:tcPr>
          <w:p w:rsidR="00D81451" w:rsidRDefault="00D81451">
            <w:pPr>
              <w:rPr>
                <w:b/>
                <w:sz w:val="24"/>
                <w:szCs w:val="24"/>
              </w:rPr>
            </w:pPr>
            <w:r>
              <w:rPr>
                <w:b/>
                <w:sz w:val="24"/>
                <w:szCs w:val="24"/>
              </w:rPr>
              <w:t>ISSUE</w:t>
            </w:r>
          </w:p>
        </w:tc>
        <w:tc>
          <w:tcPr>
            <w:tcW w:w="3510" w:type="dxa"/>
          </w:tcPr>
          <w:p w:rsidR="00D81451" w:rsidRDefault="00D81451">
            <w:pPr>
              <w:rPr>
                <w:b/>
                <w:sz w:val="24"/>
                <w:szCs w:val="24"/>
              </w:rPr>
            </w:pPr>
            <w:r>
              <w:rPr>
                <w:b/>
                <w:sz w:val="24"/>
                <w:szCs w:val="24"/>
              </w:rPr>
              <w:t>DECISION</w:t>
            </w:r>
          </w:p>
        </w:tc>
        <w:tc>
          <w:tcPr>
            <w:tcW w:w="2088" w:type="dxa"/>
          </w:tcPr>
          <w:p w:rsidR="00D81451" w:rsidRDefault="00D81451">
            <w:pPr>
              <w:rPr>
                <w:b/>
                <w:sz w:val="24"/>
                <w:szCs w:val="24"/>
              </w:rPr>
            </w:pPr>
            <w:r>
              <w:rPr>
                <w:b/>
                <w:sz w:val="24"/>
                <w:szCs w:val="24"/>
              </w:rPr>
              <w:t>CASE LAW</w:t>
            </w:r>
          </w:p>
        </w:tc>
      </w:tr>
      <w:tr w:rsidR="008A3AD4" w:rsidTr="00D81451">
        <w:tc>
          <w:tcPr>
            <w:tcW w:w="738" w:type="dxa"/>
          </w:tcPr>
          <w:p w:rsidR="008A3AD4" w:rsidRDefault="008A3AD4">
            <w:pPr>
              <w:rPr>
                <w:b/>
                <w:sz w:val="24"/>
                <w:szCs w:val="24"/>
              </w:rPr>
            </w:pPr>
            <w:r>
              <w:rPr>
                <w:b/>
                <w:sz w:val="24"/>
                <w:szCs w:val="24"/>
              </w:rPr>
              <w:t>1</w:t>
            </w:r>
          </w:p>
        </w:tc>
        <w:tc>
          <w:tcPr>
            <w:tcW w:w="3240" w:type="dxa"/>
          </w:tcPr>
          <w:p w:rsidR="008A3AD4" w:rsidRPr="003B1A40" w:rsidRDefault="003B1A40" w:rsidP="003B1A40">
            <w:pPr>
              <w:jc w:val="both"/>
            </w:pPr>
            <w:r>
              <w:t>Would refund of excise duty &amp; grant of interest subsidy under the incentive scheme formulated by CG for public interest,namely, to accelerate industrial development, generate employment &amp; create opportunities for self-employment in State of J.&amp; K be treated as a revenue receipt or a capital receipt.</w:t>
            </w:r>
          </w:p>
        </w:tc>
        <w:tc>
          <w:tcPr>
            <w:tcW w:w="3510" w:type="dxa"/>
          </w:tcPr>
          <w:p w:rsidR="008A3AD4" w:rsidRPr="003B1A40" w:rsidRDefault="003B1A40" w:rsidP="003B1A40">
            <w:r>
              <w:t>The Court observed that the fact  that incentives were provided to achieve a public purpose and hence such subsidy could not be construed as a production or operational incentive .  Hence, the aforesaid incentives are capital receipts not liable to taxation.</w:t>
            </w:r>
          </w:p>
        </w:tc>
        <w:tc>
          <w:tcPr>
            <w:tcW w:w="2088" w:type="dxa"/>
          </w:tcPr>
          <w:p w:rsidR="008A3AD4" w:rsidRPr="003B1A40" w:rsidRDefault="003B1A40">
            <w:r w:rsidRPr="003B1A40">
              <w:t>Shree Balaji Alloys v. CIT(2011) 333 ITR 335(J&amp;K)</w:t>
            </w:r>
          </w:p>
        </w:tc>
      </w:tr>
      <w:tr w:rsidR="003B1A40" w:rsidTr="00D81451">
        <w:tc>
          <w:tcPr>
            <w:tcW w:w="738" w:type="dxa"/>
          </w:tcPr>
          <w:p w:rsidR="003B1A40" w:rsidRDefault="003B1A40">
            <w:pPr>
              <w:rPr>
                <w:b/>
                <w:sz w:val="24"/>
                <w:szCs w:val="24"/>
              </w:rPr>
            </w:pPr>
            <w:r>
              <w:rPr>
                <w:b/>
                <w:sz w:val="24"/>
                <w:szCs w:val="24"/>
              </w:rPr>
              <w:t>2</w:t>
            </w:r>
          </w:p>
        </w:tc>
        <w:tc>
          <w:tcPr>
            <w:tcW w:w="3240" w:type="dxa"/>
          </w:tcPr>
          <w:p w:rsidR="003B1A40" w:rsidRDefault="003B1A40" w:rsidP="00A20141">
            <w:pPr>
              <w:jc w:val="both"/>
            </w:pPr>
            <w:r>
              <w:t>Can an assessee engaged in letting out of rooms in a lodging house also treat the income from renting of a building to bank on long term lease as business income?</w:t>
            </w:r>
          </w:p>
        </w:tc>
        <w:tc>
          <w:tcPr>
            <w:tcW w:w="3510" w:type="dxa"/>
          </w:tcPr>
          <w:p w:rsidR="003B1A40" w:rsidRDefault="00A20141" w:rsidP="00A20141">
            <w:r>
              <w:t>It was decided that while lodging is a business, letting out of bldg to a bank on long-term lease could not be treated as business.  Hence rental income from bank has to be assessed as income form house property.</w:t>
            </w:r>
          </w:p>
        </w:tc>
        <w:tc>
          <w:tcPr>
            <w:tcW w:w="2088" w:type="dxa"/>
          </w:tcPr>
          <w:p w:rsidR="003B1A40" w:rsidRPr="003B1A40" w:rsidRDefault="00A20141">
            <w:r>
              <w:t>Joseph George &amp; Co. V. ITO(2010) 328 ITR 161(Kerala)</w:t>
            </w:r>
          </w:p>
        </w:tc>
      </w:tr>
      <w:tr w:rsidR="00A20141" w:rsidTr="00D81451">
        <w:tc>
          <w:tcPr>
            <w:tcW w:w="738" w:type="dxa"/>
          </w:tcPr>
          <w:p w:rsidR="00A20141" w:rsidRDefault="00A20141">
            <w:pPr>
              <w:rPr>
                <w:b/>
                <w:sz w:val="24"/>
                <w:szCs w:val="24"/>
              </w:rPr>
            </w:pPr>
            <w:r>
              <w:rPr>
                <w:b/>
                <w:sz w:val="24"/>
                <w:szCs w:val="24"/>
              </w:rPr>
              <w:t>3</w:t>
            </w:r>
          </w:p>
        </w:tc>
        <w:tc>
          <w:tcPr>
            <w:tcW w:w="3240" w:type="dxa"/>
          </w:tcPr>
          <w:p w:rsidR="00A20141" w:rsidRDefault="00A20141" w:rsidP="00A20141">
            <w:pPr>
              <w:jc w:val="both"/>
            </w:pPr>
            <w:r>
              <w:t xml:space="preserve">Would the phrase </w:t>
            </w:r>
            <w:r w:rsidRPr="00A20141">
              <w:rPr>
                <w:b/>
              </w:rPr>
              <w:t>“ used for purpose of busines</w:t>
            </w:r>
            <w:r>
              <w:t>s” in respect of discarded machine include use of such asset in the earlier years for claim of depreciation under Sec 32?</w:t>
            </w:r>
          </w:p>
        </w:tc>
        <w:tc>
          <w:tcPr>
            <w:tcW w:w="3510" w:type="dxa"/>
          </w:tcPr>
          <w:p w:rsidR="00A20141" w:rsidRDefault="00A20141" w:rsidP="00454589">
            <w:r>
              <w:t xml:space="preserve">It was observed that the expression’used for purpose of business” w.r.t discarded machinery would mean use in the earlier financial </w:t>
            </w:r>
            <w:r w:rsidR="00454589">
              <w:t>years provided the block continues t</w:t>
            </w:r>
            <w:r>
              <w:t>o exist in the relevant previous year</w:t>
            </w:r>
            <w:r w:rsidR="00454589">
              <w:t xml:space="preserve">.  Hence </w:t>
            </w:r>
            <w:r>
              <w:t xml:space="preserve"> the condition </w:t>
            </w:r>
            <w:r w:rsidR="00454589">
              <w:t>for claiming depreci</w:t>
            </w:r>
            <w:r>
              <w:t>ation</w:t>
            </w:r>
            <w:r w:rsidR="00454589">
              <w:t xml:space="preserve"> for discarded machine would be satisfied if it is used  in the earlier previous years for the business.</w:t>
            </w:r>
          </w:p>
        </w:tc>
        <w:tc>
          <w:tcPr>
            <w:tcW w:w="2088" w:type="dxa"/>
          </w:tcPr>
          <w:p w:rsidR="00A20141" w:rsidRDefault="00A20141">
            <w:r>
              <w:t>CIT V Yamaha Motor India Pvt. Ltd (2010) 328 ITR 297(Delhi)</w:t>
            </w:r>
          </w:p>
        </w:tc>
      </w:tr>
      <w:tr w:rsidR="00454589" w:rsidTr="00D81451">
        <w:tc>
          <w:tcPr>
            <w:tcW w:w="738" w:type="dxa"/>
          </w:tcPr>
          <w:p w:rsidR="00454589" w:rsidRDefault="00454589">
            <w:pPr>
              <w:rPr>
                <w:b/>
                <w:sz w:val="24"/>
                <w:szCs w:val="24"/>
              </w:rPr>
            </w:pPr>
            <w:r>
              <w:rPr>
                <w:b/>
                <w:sz w:val="24"/>
                <w:szCs w:val="24"/>
              </w:rPr>
              <w:t>4</w:t>
            </w:r>
          </w:p>
        </w:tc>
        <w:tc>
          <w:tcPr>
            <w:tcW w:w="3240" w:type="dxa"/>
          </w:tcPr>
          <w:p w:rsidR="00454589" w:rsidRDefault="00454589" w:rsidP="00454589">
            <w:pPr>
              <w:jc w:val="both"/>
            </w:pPr>
            <w:r>
              <w:t>Is the assessee entitled to depreciation in value of goodwill considering it as ‘ other business or commercial rights of similar nature” within the meaning of an intangible asset?</w:t>
            </w:r>
          </w:p>
        </w:tc>
        <w:tc>
          <w:tcPr>
            <w:tcW w:w="3510" w:type="dxa"/>
          </w:tcPr>
          <w:p w:rsidR="007528F5" w:rsidRDefault="00454589" w:rsidP="00454589">
            <w:r>
              <w:t>U/s 32(1)(ii)depreciation is allowable on intangible assets.  Prior to purchase by assessee a hospital was run in the same bldg. It was observed that while</w:t>
            </w:r>
            <w:r w:rsidR="00C734C2">
              <w:t xml:space="preserve"> transferring the right to use the name of the hospital itself, also transferred the goodwill to the assessee.  Hence </w:t>
            </w:r>
            <w:r w:rsidR="007528F5">
              <w:t xml:space="preserve"> the assessee is entitled for depreciation</w:t>
            </w:r>
          </w:p>
          <w:p w:rsidR="00454589" w:rsidRDefault="00454589" w:rsidP="00454589"/>
        </w:tc>
        <w:tc>
          <w:tcPr>
            <w:tcW w:w="2088" w:type="dxa"/>
          </w:tcPr>
          <w:p w:rsidR="00454589" w:rsidRDefault="00454589" w:rsidP="00454589">
            <w:r>
              <w:t>B. Raveendran Pillai v CIT (2011)332 ITR 531(Kerala)</w:t>
            </w:r>
          </w:p>
        </w:tc>
      </w:tr>
      <w:tr w:rsidR="007528F5" w:rsidTr="00D81451">
        <w:tc>
          <w:tcPr>
            <w:tcW w:w="738" w:type="dxa"/>
          </w:tcPr>
          <w:p w:rsidR="007528F5" w:rsidRDefault="007528F5">
            <w:pPr>
              <w:rPr>
                <w:b/>
                <w:sz w:val="24"/>
                <w:szCs w:val="24"/>
              </w:rPr>
            </w:pPr>
            <w:r>
              <w:rPr>
                <w:b/>
                <w:sz w:val="24"/>
                <w:szCs w:val="24"/>
              </w:rPr>
              <w:t>5</w:t>
            </w:r>
          </w:p>
        </w:tc>
        <w:tc>
          <w:tcPr>
            <w:tcW w:w="3240" w:type="dxa"/>
          </w:tcPr>
          <w:p w:rsidR="007528F5" w:rsidRDefault="007528F5" w:rsidP="007528F5">
            <w:pPr>
              <w:jc w:val="both"/>
            </w:pPr>
            <w:r>
              <w:t xml:space="preserve">Can EPABX &amp; Mobile phones be treated as computers to be entitled to higher depreciation </w:t>
            </w:r>
            <w:r>
              <w:lastRenderedPageBreak/>
              <w:t>at 60%?</w:t>
            </w:r>
          </w:p>
        </w:tc>
        <w:tc>
          <w:tcPr>
            <w:tcW w:w="3510" w:type="dxa"/>
          </w:tcPr>
          <w:p w:rsidR="007528F5" w:rsidRPr="007528F5" w:rsidRDefault="007528F5" w:rsidP="007528F5">
            <w:pPr>
              <w:rPr>
                <w:sz w:val="20"/>
                <w:szCs w:val="20"/>
              </w:rPr>
            </w:pPr>
            <w:r w:rsidRPr="007528F5">
              <w:rPr>
                <w:sz w:val="20"/>
                <w:szCs w:val="20"/>
              </w:rPr>
              <w:lastRenderedPageBreak/>
              <w:t xml:space="preserve">It was held that 60% depn. is available to computers but communication equipment cannot be treated as computers. Hence </w:t>
            </w:r>
            <w:r w:rsidRPr="007528F5">
              <w:rPr>
                <w:sz w:val="20"/>
                <w:szCs w:val="20"/>
              </w:rPr>
              <w:lastRenderedPageBreak/>
              <w:t>EPABX &amp; Mobile phones are not computers . Hence not entitled to higher depn. at 60%</w:t>
            </w:r>
          </w:p>
        </w:tc>
        <w:tc>
          <w:tcPr>
            <w:tcW w:w="2088" w:type="dxa"/>
          </w:tcPr>
          <w:p w:rsidR="007528F5" w:rsidRDefault="007528F5" w:rsidP="007528F5">
            <w:r>
              <w:lastRenderedPageBreak/>
              <w:t>Federal Bank Ltd V ACIT(2011)332 ITR 319(Kerala)</w:t>
            </w:r>
          </w:p>
        </w:tc>
      </w:tr>
      <w:tr w:rsidR="007528F5" w:rsidTr="00D81451">
        <w:tc>
          <w:tcPr>
            <w:tcW w:w="738" w:type="dxa"/>
          </w:tcPr>
          <w:p w:rsidR="007528F5" w:rsidRDefault="007528F5">
            <w:pPr>
              <w:rPr>
                <w:b/>
                <w:sz w:val="24"/>
                <w:szCs w:val="24"/>
              </w:rPr>
            </w:pPr>
            <w:r>
              <w:rPr>
                <w:b/>
                <w:sz w:val="24"/>
                <w:szCs w:val="24"/>
              </w:rPr>
              <w:lastRenderedPageBreak/>
              <w:t>6</w:t>
            </w:r>
          </w:p>
        </w:tc>
        <w:tc>
          <w:tcPr>
            <w:tcW w:w="3240" w:type="dxa"/>
          </w:tcPr>
          <w:p w:rsidR="007528F5" w:rsidRDefault="007528F5" w:rsidP="007528F5">
            <w:pPr>
              <w:jc w:val="both"/>
            </w:pPr>
            <w:r>
              <w:t>Would expenditure incurred on feasibility study conducted for examining proposals for technological advancement relating to the existing business be classified as a revenue expenditure, where the project was abandoned without creating a new asset?</w:t>
            </w:r>
          </w:p>
        </w:tc>
        <w:tc>
          <w:tcPr>
            <w:tcW w:w="3510" w:type="dxa"/>
          </w:tcPr>
          <w:p w:rsidR="007528F5" w:rsidRPr="007528F5" w:rsidRDefault="007528F5" w:rsidP="007528F5">
            <w:r w:rsidRPr="007528F5">
              <w:t>It was observed by Court that since there is no creation of a new asset, then the expenditure incurred  would be of revenue nature.</w:t>
            </w:r>
          </w:p>
        </w:tc>
        <w:tc>
          <w:tcPr>
            <w:tcW w:w="2088" w:type="dxa"/>
          </w:tcPr>
          <w:p w:rsidR="007528F5" w:rsidRDefault="007528F5" w:rsidP="007528F5">
            <w:r>
              <w:t xml:space="preserve">CIT  v Priya Village Roadshows Ltd (2011) 332 ITR 594(Delhi) </w:t>
            </w:r>
          </w:p>
        </w:tc>
      </w:tr>
      <w:tr w:rsidR="007528F5" w:rsidTr="00D81451">
        <w:tc>
          <w:tcPr>
            <w:tcW w:w="738" w:type="dxa"/>
          </w:tcPr>
          <w:p w:rsidR="007528F5" w:rsidRDefault="007528F5">
            <w:pPr>
              <w:rPr>
                <w:b/>
                <w:sz w:val="24"/>
                <w:szCs w:val="24"/>
              </w:rPr>
            </w:pPr>
            <w:r>
              <w:rPr>
                <w:b/>
                <w:sz w:val="24"/>
                <w:szCs w:val="24"/>
              </w:rPr>
              <w:t>7</w:t>
            </w:r>
          </w:p>
        </w:tc>
        <w:tc>
          <w:tcPr>
            <w:tcW w:w="3240" w:type="dxa"/>
          </w:tcPr>
          <w:p w:rsidR="007528F5" w:rsidRDefault="007528F5" w:rsidP="00AB53DF">
            <w:pPr>
              <w:jc w:val="both"/>
            </w:pPr>
            <w:r>
              <w:t xml:space="preserve">Can expenditure incurred b y a company on higher studies of the director’s son abroad be claimed as business expenditure u/s 37 on the contention that he was appointed as a trainee in the company under </w:t>
            </w:r>
            <w:r w:rsidR="00AB53DF">
              <w:t xml:space="preserve">“ </w:t>
            </w:r>
            <w:r>
              <w:t>apprentice training scheme</w:t>
            </w:r>
            <w:r w:rsidR="00AB53DF">
              <w:t xml:space="preserve">”, where there was no proof of existence </w:t>
            </w:r>
            <w:r>
              <w:t>of such scheme?</w:t>
            </w:r>
          </w:p>
        </w:tc>
        <w:tc>
          <w:tcPr>
            <w:tcW w:w="3510" w:type="dxa"/>
          </w:tcPr>
          <w:p w:rsidR="007528F5" w:rsidRPr="007528F5" w:rsidRDefault="00AB53DF" w:rsidP="00AB53DF">
            <w:r>
              <w:t>The Court ruled that since no other person at any point of time was appointed as trainee or sent abroad for higher education, &amp; neither was there by supporting appointment letter there was no nexus between the education expenditure incurred aboard for the director’s son &amp; the business of the assess company  The aforesaid expenditure was not deductible.</w:t>
            </w:r>
          </w:p>
        </w:tc>
        <w:tc>
          <w:tcPr>
            <w:tcW w:w="2088" w:type="dxa"/>
          </w:tcPr>
          <w:p w:rsidR="007528F5" w:rsidRDefault="00AB53DF" w:rsidP="007528F5">
            <w:r>
              <w:t>Echjay Forgings Ltd V ACIT (2010)328 itr 286(Bom)</w:t>
            </w:r>
          </w:p>
        </w:tc>
      </w:tr>
      <w:tr w:rsidR="00E03817" w:rsidTr="00D81451">
        <w:tc>
          <w:tcPr>
            <w:tcW w:w="738" w:type="dxa"/>
          </w:tcPr>
          <w:p w:rsidR="00E03817" w:rsidRDefault="00E03817">
            <w:pPr>
              <w:rPr>
                <w:b/>
                <w:sz w:val="24"/>
                <w:szCs w:val="24"/>
              </w:rPr>
            </w:pPr>
            <w:r>
              <w:rPr>
                <w:b/>
                <w:sz w:val="24"/>
                <w:szCs w:val="24"/>
              </w:rPr>
              <w:t>8</w:t>
            </w:r>
          </w:p>
        </w:tc>
        <w:tc>
          <w:tcPr>
            <w:tcW w:w="3240" w:type="dxa"/>
          </w:tcPr>
          <w:p w:rsidR="00E03817" w:rsidRDefault="00E03817" w:rsidP="00AB53DF">
            <w:pPr>
              <w:jc w:val="both"/>
            </w:pPr>
            <w:r>
              <w:t>Can the waiver of principal amount of loan taken for purchase of capital asset by the bank be treated as “benefit arising out business” or “ a remission o trading liability” for taxability as business income of the company?</w:t>
            </w:r>
          </w:p>
        </w:tc>
        <w:tc>
          <w:tcPr>
            <w:tcW w:w="3510" w:type="dxa"/>
          </w:tcPr>
          <w:p w:rsidR="00E03817" w:rsidRDefault="00E03817" w:rsidP="00AB53DF">
            <w:r>
              <w:t>It was observed  that the bank loan was taken for purchase of capital assets. Hence this was a capital receipt &amp; not a trading receipt.As such waiver  of a portion of principal would not amount to remission of trading liability to attract provisions of Sec.41(1).   Such waiver alos cannot be treated as “benefit arising out of business” &amp; hence Sec.28(iv) will not apply  to such transaction.</w:t>
            </w:r>
          </w:p>
        </w:tc>
        <w:tc>
          <w:tcPr>
            <w:tcW w:w="2088" w:type="dxa"/>
          </w:tcPr>
          <w:p w:rsidR="00E03817" w:rsidRDefault="00E03817" w:rsidP="007528F5">
            <w:r>
              <w:t>Iskraemeco Regent Ltd v CIT(2011)331 ITR 317(Mad)</w:t>
            </w:r>
          </w:p>
        </w:tc>
      </w:tr>
      <w:tr w:rsidR="00E03817" w:rsidTr="00D81451">
        <w:tc>
          <w:tcPr>
            <w:tcW w:w="738" w:type="dxa"/>
          </w:tcPr>
          <w:p w:rsidR="00E03817" w:rsidRDefault="00E03817">
            <w:pPr>
              <w:rPr>
                <w:b/>
                <w:sz w:val="24"/>
                <w:szCs w:val="24"/>
              </w:rPr>
            </w:pPr>
            <w:r>
              <w:rPr>
                <w:b/>
                <w:sz w:val="24"/>
                <w:szCs w:val="24"/>
              </w:rPr>
              <w:t>9</w:t>
            </w:r>
          </w:p>
        </w:tc>
        <w:tc>
          <w:tcPr>
            <w:tcW w:w="3240" w:type="dxa"/>
          </w:tcPr>
          <w:p w:rsidR="00E03817" w:rsidRDefault="00E03817" w:rsidP="00E03817">
            <w:pPr>
              <w:jc w:val="both"/>
            </w:pPr>
            <w:r>
              <w:t>Would the special provisions for computing profits u/s 44BB be applicable to a non-resident carrying on business of seismic data acquisition &amp; processing under contract with Indian concerns?</w:t>
            </w:r>
          </w:p>
        </w:tc>
        <w:tc>
          <w:tcPr>
            <w:tcW w:w="3510" w:type="dxa"/>
          </w:tcPr>
          <w:p w:rsidR="00E03817" w:rsidRPr="00861753" w:rsidRDefault="00861753" w:rsidP="00AB53DF">
            <w:r>
              <w:t xml:space="preserve">It was  earlier observed in </w:t>
            </w:r>
            <w:r>
              <w:rPr>
                <w:i/>
              </w:rPr>
              <w:t>Geofizyka Torun SP.Z.O.I.(2010)320 ITR 0268(AAR)</w:t>
            </w:r>
            <w:r>
              <w:t xml:space="preserve"> that without seismic data acquisition &amp; interpretation, it is impractical to carry out the activity of prospecting of mineral oil &amp; gas which is a step in aid to its exploration.  Hence the Court rules that since the activities of the applicant fell within </w:t>
            </w:r>
            <w:r w:rsidR="00780F61">
              <w:t xml:space="preserve">the </w:t>
            </w:r>
            <w:r w:rsidR="00780F61">
              <w:lastRenderedPageBreak/>
              <w:t>desc</w:t>
            </w:r>
            <w:r>
              <w:t>r</w:t>
            </w:r>
            <w:r w:rsidR="00D004E6">
              <w:t xml:space="preserve">iption of Sec.44BB, were to be </w:t>
            </w:r>
            <w:r>
              <w:t>computed under the provisions of Sec.44BB.</w:t>
            </w:r>
          </w:p>
        </w:tc>
        <w:tc>
          <w:tcPr>
            <w:tcW w:w="2088" w:type="dxa"/>
          </w:tcPr>
          <w:p w:rsidR="00E03817" w:rsidRDefault="00861753" w:rsidP="007528F5">
            <w:r>
              <w:lastRenderedPageBreak/>
              <w:t>Global Geophysical Services Ltd, In re(2011)332 ITR 418(AAR)</w:t>
            </w:r>
          </w:p>
        </w:tc>
      </w:tr>
      <w:tr w:rsidR="00D004E6" w:rsidTr="00D81451">
        <w:tc>
          <w:tcPr>
            <w:tcW w:w="738" w:type="dxa"/>
          </w:tcPr>
          <w:p w:rsidR="00D004E6" w:rsidRDefault="00D004E6">
            <w:pPr>
              <w:rPr>
                <w:b/>
                <w:sz w:val="24"/>
                <w:szCs w:val="24"/>
              </w:rPr>
            </w:pPr>
            <w:r>
              <w:rPr>
                <w:b/>
                <w:sz w:val="24"/>
                <w:szCs w:val="24"/>
              </w:rPr>
              <w:lastRenderedPageBreak/>
              <w:t>10</w:t>
            </w:r>
          </w:p>
        </w:tc>
        <w:tc>
          <w:tcPr>
            <w:tcW w:w="3240" w:type="dxa"/>
          </w:tcPr>
          <w:p w:rsidR="00D004E6" w:rsidRDefault="00D004E6" w:rsidP="00E03817">
            <w:pPr>
              <w:jc w:val="both"/>
            </w:pPr>
            <w:r>
              <w:t>Can the Assessing Officer bring to tax the actual profits as per books of accounts, if the same is higher than 10% of receipts which are deemed to be profits under Sec.44BBB in case of foreign company engaged in turnkey projects?</w:t>
            </w:r>
          </w:p>
        </w:tc>
        <w:tc>
          <w:tcPr>
            <w:tcW w:w="3510" w:type="dxa"/>
          </w:tcPr>
          <w:p w:rsidR="00D004E6" w:rsidRDefault="00BA5D9F" w:rsidP="00BA5D9F">
            <w:r>
              <w:t>The Delhi High Court held that if an assessee fulfills all the conditions mentioned in Sec.44BBB(1) the provisions of Sections 28</w:t>
            </w:r>
            <w:r w:rsidR="008743E1">
              <w:t xml:space="preserve"> to 44AA of the A ct would not be </w:t>
            </w:r>
            <w:r>
              <w:t>applicable for computation of its business income &amp; a sum equal to 10% of the amount paid or payable to such foreign company would be deemed as its business income.</w:t>
            </w:r>
          </w:p>
        </w:tc>
        <w:tc>
          <w:tcPr>
            <w:tcW w:w="2088" w:type="dxa"/>
          </w:tcPr>
          <w:p w:rsidR="00D004E6" w:rsidRDefault="00D004E6" w:rsidP="007528F5">
            <w:r>
              <w:t>DIT v DSD Noell GmbH(2011)333 ITR 304(Delhi)</w:t>
            </w:r>
          </w:p>
        </w:tc>
      </w:tr>
      <w:tr w:rsidR="008743E1" w:rsidTr="00D81451">
        <w:tc>
          <w:tcPr>
            <w:tcW w:w="738" w:type="dxa"/>
          </w:tcPr>
          <w:p w:rsidR="008743E1" w:rsidRDefault="008743E1">
            <w:pPr>
              <w:rPr>
                <w:b/>
                <w:sz w:val="24"/>
                <w:szCs w:val="24"/>
              </w:rPr>
            </w:pPr>
            <w:r>
              <w:rPr>
                <w:b/>
                <w:sz w:val="24"/>
                <w:szCs w:val="24"/>
              </w:rPr>
              <w:t>11</w:t>
            </w:r>
          </w:p>
        </w:tc>
        <w:tc>
          <w:tcPr>
            <w:tcW w:w="3240" w:type="dxa"/>
          </w:tcPr>
          <w:p w:rsidR="008743E1" w:rsidRDefault="008743E1" w:rsidP="00E03817">
            <w:pPr>
              <w:jc w:val="both"/>
            </w:pPr>
            <w:r>
              <w:t>Can exemption under Sec. 54 be claimed in respect of more than one residential flat acquired by the assessee under a joint development agreement with a builder, wherein the property owned by the assessee was developed by the builder who constructed eight residential flats in the said property, four of which were given to the assessee?</w:t>
            </w:r>
          </w:p>
        </w:tc>
        <w:tc>
          <w:tcPr>
            <w:tcW w:w="3510" w:type="dxa"/>
          </w:tcPr>
          <w:p w:rsidR="008743E1" w:rsidRPr="008743E1" w:rsidRDefault="008743E1" w:rsidP="008743E1">
            <w:pPr>
              <w:jc w:val="both"/>
            </w:pPr>
            <w:r>
              <w:t xml:space="preserve">Issue under consideration is whether  capital gain exemption under Sec.54 can be claimed in respect of the four residential flats treating them as ‘ a residential house’.  Karnataka High Court, applying decision in </w:t>
            </w:r>
            <w:r>
              <w:rPr>
                <w:b/>
                <w:i/>
              </w:rPr>
              <w:t>Anand Basappa(2009)309 ITR 329(Kar)</w:t>
            </w:r>
            <w:r>
              <w:t xml:space="preserve"> held that all the four flats are situated in the same residential bldg &amp; hence will constitute “ a residential house” for purpose of Sec.54. Hence Assessee wud be entitled to deduction under Sec. 54 in respect of all four flats.</w:t>
            </w:r>
          </w:p>
        </w:tc>
        <w:tc>
          <w:tcPr>
            <w:tcW w:w="2088" w:type="dxa"/>
          </w:tcPr>
          <w:p w:rsidR="008743E1" w:rsidRDefault="008743E1" w:rsidP="007528F5">
            <w:r>
              <w:t>CIT  v  Smt K.G. Rukminiamma(2011)331 ITR 211(Kar)</w:t>
            </w:r>
          </w:p>
        </w:tc>
      </w:tr>
      <w:tr w:rsidR="008743E1" w:rsidTr="00D81451">
        <w:tc>
          <w:tcPr>
            <w:tcW w:w="738" w:type="dxa"/>
          </w:tcPr>
          <w:p w:rsidR="008743E1" w:rsidRDefault="008743E1">
            <w:pPr>
              <w:rPr>
                <w:b/>
                <w:sz w:val="24"/>
                <w:szCs w:val="24"/>
              </w:rPr>
            </w:pPr>
            <w:r>
              <w:rPr>
                <w:b/>
                <w:sz w:val="24"/>
                <w:szCs w:val="24"/>
              </w:rPr>
              <w:t>12</w:t>
            </w:r>
          </w:p>
        </w:tc>
        <w:tc>
          <w:tcPr>
            <w:tcW w:w="3240" w:type="dxa"/>
          </w:tcPr>
          <w:p w:rsidR="008743E1" w:rsidRDefault="008743E1" w:rsidP="00E03817">
            <w:pPr>
              <w:jc w:val="both"/>
            </w:pPr>
            <w:r>
              <w:t>What can be the tests to determine “ substantial part of business” of lending company for the purpose of application of exclusion provision under Sec. 2(22)?</w:t>
            </w:r>
          </w:p>
        </w:tc>
        <w:tc>
          <w:tcPr>
            <w:tcW w:w="3510" w:type="dxa"/>
          </w:tcPr>
          <w:p w:rsidR="008743E1" w:rsidRPr="00521EC0" w:rsidRDefault="00521EC0" w:rsidP="008743E1">
            <w:pPr>
              <w:jc w:val="both"/>
            </w:pPr>
            <w:r>
              <w:t xml:space="preserve">Under Sec. 2(22) dividend does not include, </w:t>
            </w:r>
            <w:r>
              <w:rPr>
                <w:i/>
              </w:rPr>
              <w:t>inter alia</w:t>
            </w:r>
            <w:r>
              <w:t>, any advance or loan made to a shareholder by a company in the ordinary course of the company.  Since lending money was a substantial part of the business of the lending company, the money given by it by way of advance or loan to the assessee could not be regarded as a dividend,</w:t>
            </w:r>
            <w:r w:rsidR="00C620CE">
              <w:t xml:space="preserve"> as  it had to be excluded from the definition of ‘ dividend’ by virtue of the specific exclusion in Sec. 2(22)</w:t>
            </w:r>
          </w:p>
        </w:tc>
        <w:tc>
          <w:tcPr>
            <w:tcW w:w="2088" w:type="dxa"/>
          </w:tcPr>
          <w:p w:rsidR="008743E1" w:rsidRDefault="008743E1" w:rsidP="007528F5">
            <w:r>
              <w:t>CIT v Parle Plastics Ltd(2011)332 ITR 63(Bom)</w:t>
            </w:r>
          </w:p>
        </w:tc>
      </w:tr>
      <w:tr w:rsidR="00C620CE" w:rsidTr="00D81451">
        <w:tc>
          <w:tcPr>
            <w:tcW w:w="738" w:type="dxa"/>
          </w:tcPr>
          <w:p w:rsidR="00C620CE" w:rsidRDefault="00C620CE">
            <w:pPr>
              <w:rPr>
                <w:b/>
                <w:sz w:val="24"/>
                <w:szCs w:val="24"/>
              </w:rPr>
            </w:pPr>
            <w:r>
              <w:rPr>
                <w:b/>
                <w:sz w:val="24"/>
                <w:szCs w:val="24"/>
              </w:rPr>
              <w:t>13</w:t>
            </w:r>
          </w:p>
        </w:tc>
        <w:tc>
          <w:tcPr>
            <w:tcW w:w="3240" w:type="dxa"/>
          </w:tcPr>
          <w:p w:rsidR="00C620CE" w:rsidRDefault="00C620CE" w:rsidP="00E03817">
            <w:pPr>
              <w:jc w:val="both"/>
            </w:pPr>
            <w:r>
              <w:t xml:space="preserve">Would the procurements of parts &amp; assembling them to make windmill fall within the </w:t>
            </w:r>
            <w:r>
              <w:lastRenderedPageBreak/>
              <w:t>meaning of “ manufacture” &amp; “ production” to be entitled for deduction under Sec. 80-1B</w:t>
            </w:r>
          </w:p>
        </w:tc>
        <w:tc>
          <w:tcPr>
            <w:tcW w:w="3510" w:type="dxa"/>
          </w:tcPr>
          <w:p w:rsidR="00C620CE" w:rsidRPr="00C620CE" w:rsidRDefault="00C620CE" w:rsidP="008743E1">
            <w:pPr>
              <w:jc w:val="both"/>
            </w:pPr>
            <w:r>
              <w:lastRenderedPageBreak/>
              <w:t xml:space="preserve">The Supreme Court, in </w:t>
            </w:r>
            <w:r>
              <w:rPr>
                <w:b/>
                <w:i/>
              </w:rPr>
              <w:t>India Cine Agencies V CIT(2009)308 ITR 98,</w:t>
            </w:r>
            <w:r>
              <w:t xml:space="preserve"> laid down that the test to </w:t>
            </w:r>
            <w:r>
              <w:lastRenderedPageBreak/>
              <w:t xml:space="preserve">determine whether  a particular activity amounts to “manufacture” or not is whether new &amp; different goods emerge having distinct name, use &amp; character.  In this case, the Madras High Court observed </w:t>
            </w:r>
            <w:r w:rsidR="006E3CCC">
              <w:t>that the different parts procured by the assessee could not be treated as a windmill individually.   Those different parts had distinctive names &amp; only when assembled together, they got transformed into an ultimate product which was commercially known as a “windmill”. Hence, such an activity carried on by the assessee would amount to ‘ manufacture’ as well as “ production” of a thing or article to qualify for deduction u/s 80 1-B</w:t>
            </w:r>
          </w:p>
        </w:tc>
        <w:tc>
          <w:tcPr>
            <w:tcW w:w="2088" w:type="dxa"/>
          </w:tcPr>
          <w:p w:rsidR="00C620CE" w:rsidRDefault="00C620CE" w:rsidP="007528F5">
            <w:r>
              <w:lastRenderedPageBreak/>
              <w:t>CIT v Chiranijeevi Wind Energy Ltd(2011) 333 ITR 192(Mad)</w:t>
            </w:r>
          </w:p>
        </w:tc>
      </w:tr>
      <w:tr w:rsidR="006E3CCC" w:rsidTr="00D81451">
        <w:tc>
          <w:tcPr>
            <w:tcW w:w="738" w:type="dxa"/>
          </w:tcPr>
          <w:p w:rsidR="006E3CCC" w:rsidRDefault="006E3CCC">
            <w:pPr>
              <w:rPr>
                <w:b/>
                <w:sz w:val="24"/>
                <w:szCs w:val="24"/>
              </w:rPr>
            </w:pPr>
            <w:r>
              <w:rPr>
                <w:b/>
                <w:sz w:val="24"/>
                <w:szCs w:val="24"/>
              </w:rPr>
              <w:lastRenderedPageBreak/>
              <w:t>14</w:t>
            </w:r>
          </w:p>
        </w:tc>
        <w:tc>
          <w:tcPr>
            <w:tcW w:w="3240" w:type="dxa"/>
          </w:tcPr>
          <w:p w:rsidR="006E3CCC" w:rsidRDefault="00C73E75" w:rsidP="00E03817">
            <w:pPr>
              <w:jc w:val="both"/>
            </w:pPr>
            <w:r>
              <w:t>Can an assessee not claiming deduction u/s 80 1-B in the initial years claim  the said deduction for the remaining years during the period of eligibility, if the conditions are satisfied.</w:t>
            </w:r>
          </w:p>
        </w:tc>
        <w:tc>
          <w:tcPr>
            <w:tcW w:w="3510" w:type="dxa"/>
          </w:tcPr>
          <w:p w:rsidR="006E3CCC" w:rsidRDefault="00C73E75" w:rsidP="008743E1">
            <w:pPr>
              <w:jc w:val="both"/>
            </w:pPr>
            <w:r>
              <w:t>The Delhi High court ruled that since nowhere in Sec. 80 -1B stipulated that for claim of deduction,</w:t>
            </w:r>
            <w:r w:rsidR="001E5578">
              <w:t xml:space="preserve"> had to be made fro</w:t>
            </w:r>
            <w:r>
              <w:t>m the first year of qualification of deduction, the Assessee should be allowed deduction u/s 80- 1B provided conditions mentioned u/s 80 1-B</w:t>
            </w:r>
            <w:r w:rsidR="001E5578">
              <w:t xml:space="preserve"> are fulfilled.</w:t>
            </w:r>
          </w:p>
        </w:tc>
        <w:tc>
          <w:tcPr>
            <w:tcW w:w="2088" w:type="dxa"/>
          </w:tcPr>
          <w:p w:rsidR="006E3CCC" w:rsidRDefault="00C73E75" w:rsidP="007528F5">
            <w:r>
              <w:t>Praveen Soni Vs CIT (2011)333 ITR 324(Delhi)</w:t>
            </w:r>
          </w:p>
        </w:tc>
      </w:tr>
      <w:tr w:rsidR="001E5578" w:rsidTr="00D81451">
        <w:tc>
          <w:tcPr>
            <w:tcW w:w="738" w:type="dxa"/>
          </w:tcPr>
          <w:p w:rsidR="001E5578" w:rsidRDefault="001E5578">
            <w:pPr>
              <w:rPr>
                <w:b/>
                <w:sz w:val="24"/>
                <w:szCs w:val="24"/>
              </w:rPr>
            </w:pPr>
            <w:r>
              <w:rPr>
                <w:b/>
                <w:sz w:val="24"/>
                <w:szCs w:val="24"/>
              </w:rPr>
              <w:t>15</w:t>
            </w:r>
          </w:p>
        </w:tc>
        <w:tc>
          <w:tcPr>
            <w:tcW w:w="3240" w:type="dxa"/>
          </w:tcPr>
          <w:p w:rsidR="001E5578" w:rsidRDefault="001E5578" w:rsidP="00E03817">
            <w:pPr>
              <w:jc w:val="both"/>
            </w:pPr>
            <w:r>
              <w:t>Does income derived from sale of export incentive qualify for deduction u/s 80-1B</w:t>
            </w:r>
          </w:p>
        </w:tc>
        <w:tc>
          <w:tcPr>
            <w:tcW w:w="3510" w:type="dxa"/>
          </w:tcPr>
          <w:p w:rsidR="001E5578" w:rsidRDefault="001E5578" w:rsidP="008743E1">
            <w:pPr>
              <w:jc w:val="both"/>
            </w:pPr>
            <w:r>
              <w:t>High Court held that income derived from sale of export incentive cannot be said to be income “ derived from” the industrial undertaking &amp; hence such income not eligible for deduction u/s 80-1B</w:t>
            </w:r>
          </w:p>
        </w:tc>
        <w:tc>
          <w:tcPr>
            <w:tcW w:w="2088" w:type="dxa"/>
          </w:tcPr>
          <w:p w:rsidR="001E5578" w:rsidRDefault="001E5578" w:rsidP="007528F5">
            <w:r>
              <w:t>CIT vs Jaswand Sons(2010) 328 ITR 442( P &amp; H)</w:t>
            </w:r>
          </w:p>
        </w:tc>
      </w:tr>
      <w:tr w:rsidR="001E5578" w:rsidTr="00D81451">
        <w:tc>
          <w:tcPr>
            <w:tcW w:w="738" w:type="dxa"/>
          </w:tcPr>
          <w:p w:rsidR="001E5578" w:rsidRDefault="001E5578">
            <w:pPr>
              <w:rPr>
                <w:b/>
                <w:sz w:val="24"/>
                <w:szCs w:val="24"/>
              </w:rPr>
            </w:pPr>
            <w:r>
              <w:rPr>
                <w:b/>
                <w:sz w:val="24"/>
                <w:szCs w:val="24"/>
              </w:rPr>
              <w:t>16</w:t>
            </w:r>
          </w:p>
        </w:tc>
        <w:tc>
          <w:tcPr>
            <w:tcW w:w="3240" w:type="dxa"/>
          </w:tcPr>
          <w:p w:rsidR="001E5578" w:rsidRDefault="001E5578" w:rsidP="00E03817">
            <w:pPr>
              <w:jc w:val="both"/>
            </w:pPr>
            <w:r>
              <w:t>Would grant of transport subsidy, interest subsidy &amp; refund of excise duty qualify for deduction u/s 80- 1B?</w:t>
            </w:r>
          </w:p>
        </w:tc>
        <w:tc>
          <w:tcPr>
            <w:tcW w:w="3510" w:type="dxa"/>
          </w:tcPr>
          <w:p w:rsidR="001E5578" w:rsidRDefault="001E5578" w:rsidP="008743E1">
            <w:pPr>
              <w:jc w:val="both"/>
            </w:pPr>
            <w:r>
              <w:t xml:space="preserve">The High Court observed that </w:t>
            </w:r>
            <w:r w:rsidRPr="00630513">
              <w:rPr>
                <w:b/>
              </w:rPr>
              <w:t>the transport &amp; interest subsidies</w:t>
            </w:r>
            <w:r>
              <w:t xml:space="preserve"> were revenue receipts which were granted after setting up of the new industries &amp; after commencement of production.  Since these subsidies were not directly relatable to the industrial activity of the assessee, the subsidies could not be taken into </w:t>
            </w:r>
            <w:r>
              <w:lastRenderedPageBreak/>
              <w:t>account for the purposes of deduction u/s 80-1B.</w:t>
            </w:r>
          </w:p>
          <w:p w:rsidR="00630513" w:rsidRDefault="00630513" w:rsidP="008743E1">
            <w:pPr>
              <w:jc w:val="both"/>
            </w:pPr>
            <w:r>
              <w:t>However, payment of Central excise duty had a direct nexus with the manufacturing activity &amp; similarly the refund of the Central excise duty also had a direct nexus with the manufacturing activity. Hence refund of excise duty had to be taken into account for purposes of Sec. 80-1B</w:t>
            </w:r>
          </w:p>
          <w:p w:rsidR="001E5578" w:rsidRDefault="001E5578" w:rsidP="008743E1">
            <w:pPr>
              <w:jc w:val="both"/>
            </w:pPr>
          </w:p>
        </w:tc>
        <w:tc>
          <w:tcPr>
            <w:tcW w:w="2088" w:type="dxa"/>
          </w:tcPr>
          <w:p w:rsidR="001E5578" w:rsidRDefault="001E5578" w:rsidP="007528F5">
            <w:r>
              <w:lastRenderedPageBreak/>
              <w:t>CIT v Meghalaya Steels Ltd (2011)332 ITR 91(Gauhati)</w:t>
            </w:r>
          </w:p>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p w:rsidR="00630513" w:rsidRDefault="00630513" w:rsidP="007528F5"/>
        </w:tc>
      </w:tr>
      <w:tr w:rsidR="00630513" w:rsidTr="00D81451">
        <w:tc>
          <w:tcPr>
            <w:tcW w:w="738" w:type="dxa"/>
          </w:tcPr>
          <w:p w:rsidR="00630513" w:rsidRDefault="00630513">
            <w:pPr>
              <w:rPr>
                <w:b/>
                <w:sz w:val="24"/>
                <w:szCs w:val="24"/>
              </w:rPr>
            </w:pPr>
            <w:r>
              <w:rPr>
                <w:b/>
                <w:sz w:val="24"/>
                <w:szCs w:val="24"/>
              </w:rPr>
              <w:lastRenderedPageBreak/>
              <w:t>17</w:t>
            </w:r>
          </w:p>
        </w:tc>
        <w:tc>
          <w:tcPr>
            <w:tcW w:w="3240" w:type="dxa"/>
          </w:tcPr>
          <w:p w:rsidR="00630513" w:rsidRDefault="00630513" w:rsidP="00E03817">
            <w:pPr>
              <w:jc w:val="both"/>
            </w:pPr>
            <w:r>
              <w:t>Can interest u/s 234B &amp; 234C be levied where a company is assessed on the basis of book profits u/s 115JB?</w:t>
            </w:r>
          </w:p>
        </w:tc>
        <w:tc>
          <w:tcPr>
            <w:tcW w:w="3510" w:type="dxa"/>
          </w:tcPr>
          <w:p w:rsidR="00630513" w:rsidRDefault="00630513" w:rsidP="008743E1">
            <w:pPr>
              <w:jc w:val="both"/>
            </w:pPr>
            <w:r>
              <w:t>The Supreme Court observed that there is a specific provison in Sec. 115JB(5) providing that all other provisions of the Income Tax Act 1961 shall apply to every assessee.  Therefore, if a company defaults in payment of advance tax in respect of tax payable u/s 115JB, it would be liable to pay interest u/s 234B &amp; 234C.</w:t>
            </w:r>
          </w:p>
        </w:tc>
        <w:tc>
          <w:tcPr>
            <w:tcW w:w="2088" w:type="dxa"/>
          </w:tcPr>
          <w:p w:rsidR="00630513" w:rsidRDefault="00630513" w:rsidP="007528F5">
            <w:r>
              <w:t>Joint CIT v Rolta India Ltd(2011)330 ITR 470(SC)</w:t>
            </w:r>
          </w:p>
        </w:tc>
      </w:tr>
      <w:tr w:rsidR="00630513" w:rsidTr="00D81451">
        <w:tc>
          <w:tcPr>
            <w:tcW w:w="738" w:type="dxa"/>
          </w:tcPr>
          <w:p w:rsidR="00630513" w:rsidRDefault="00630513">
            <w:pPr>
              <w:rPr>
                <w:b/>
                <w:sz w:val="24"/>
                <w:szCs w:val="24"/>
              </w:rPr>
            </w:pPr>
            <w:r>
              <w:rPr>
                <w:b/>
                <w:sz w:val="24"/>
                <w:szCs w:val="24"/>
              </w:rPr>
              <w:t>18</w:t>
            </w:r>
          </w:p>
        </w:tc>
        <w:tc>
          <w:tcPr>
            <w:tcW w:w="3240" w:type="dxa"/>
          </w:tcPr>
          <w:p w:rsidR="00630513" w:rsidRDefault="00630513" w:rsidP="00630513">
            <w:pPr>
              <w:jc w:val="both"/>
            </w:pPr>
            <w:r>
              <w:t>Would the interest earned on surplus funds of a club deposited with institutional members satisfy the principle of mutuality to escape taxability?</w:t>
            </w:r>
          </w:p>
        </w:tc>
        <w:tc>
          <w:tcPr>
            <w:tcW w:w="3510" w:type="dxa"/>
          </w:tcPr>
          <w:p w:rsidR="00630513" w:rsidRDefault="00B8686A" w:rsidP="008743E1">
            <w:pPr>
              <w:jc w:val="both"/>
            </w:pPr>
            <w:r>
              <w:t>The High Court held that interest earned from investment of surplus funds in the form of fixed deposits with institutional members does not satisfy the principle of mutuality &amp; hence cannot be claimed as exempt on this ground.  The interest earned is, therefore, taxable.</w:t>
            </w:r>
          </w:p>
        </w:tc>
        <w:tc>
          <w:tcPr>
            <w:tcW w:w="2088" w:type="dxa"/>
          </w:tcPr>
          <w:p w:rsidR="00630513" w:rsidRDefault="00630513" w:rsidP="007528F5">
            <w:r>
              <w:t>Madras Gymkhana Club V DCIT(2010) 328 ITR 348(Mad)</w:t>
            </w:r>
          </w:p>
        </w:tc>
      </w:tr>
      <w:tr w:rsidR="00B8686A" w:rsidTr="00D81451">
        <w:tc>
          <w:tcPr>
            <w:tcW w:w="738" w:type="dxa"/>
          </w:tcPr>
          <w:p w:rsidR="00B8686A" w:rsidRDefault="00B8686A">
            <w:pPr>
              <w:rPr>
                <w:b/>
                <w:sz w:val="24"/>
                <w:szCs w:val="24"/>
              </w:rPr>
            </w:pPr>
            <w:r>
              <w:rPr>
                <w:b/>
                <w:sz w:val="24"/>
                <w:szCs w:val="24"/>
              </w:rPr>
              <w:t>19</w:t>
            </w:r>
          </w:p>
        </w:tc>
        <w:tc>
          <w:tcPr>
            <w:tcW w:w="3240" w:type="dxa"/>
          </w:tcPr>
          <w:p w:rsidR="00B8686A" w:rsidRDefault="002C34A4" w:rsidP="00630513">
            <w:pPr>
              <w:jc w:val="both"/>
            </w:pPr>
            <w:r>
              <w:t>Would the payments made by a company to BSNL/MTNL for the services provided through interconnect/port/access/toll be treated as “ fees for technical services” to attract the provisions of tax deduction at source u/s 194J?</w:t>
            </w:r>
          </w:p>
        </w:tc>
        <w:tc>
          <w:tcPr>
            <w:tcW w:w="3510" w:type="dxa"/>
          </w:tcPr>
          <w:p w:rsidR="00B8686A" w:rsidRDefault="002C34A4" w:rsidP="008743E1">
            <w:pPr>
              <w:jc w:val="both"/>
            </w:pPr>
            <w:r>
              <w:t>Delhi High Court held that the  services rendered in relation to interconnection, port access did not involve any human interface &amp; therefore, the services could not be regarded as “technical services” as contemplated u/s 194J.  Hence TDS provisions u/s 194J were not attracted.</w:t>
            </w:r>
          </w:p>
        </w:tc>
        <w:tc>
          <w:tcPr>
            <w:tcW w:w="2088" w:type="dxa"/>
          </w:tcPr>
          <w:p w:rsidR="00B8686A" w:rsidRDefault="002C34A4" w:rsidP="007528F5">
            <w:r>
              <w:t>CIT v Bharti Cellular Ltd &amp; Hutchison Essar Telecom Ltd (2011) 330ITR 239(SC)</w:t>
            </w:r>
          </w:p>
        </w:tc>
      </w:tr>
      <w:tr w:rsidR="002C34A4" w:rsidRPr="00DC625E" w:rsidTr="00D81451">
        <w:tc>
          <w:tcPr>
            <w:tcW w:w="738" w:type="dxa"/>
          </w:tcPr>
          <w:p w:rsidR="002C34A4" w:rsidRPr="00DC625E" w:rsidRDefault="002C34A4">
            <w:pPr>
              <w:rPr>
                <w:rFonts w:ascii="Times New Roman" w:hAnsi="Times New Roman" w:cs="Times New Roman"/>
                <w:b/>
                <w:sz w:val="24"/>
                <w:szCs w:val="24"/>
              </w:rPr>
            </w:pPr>
            <w:r w:rsidRPr="00DC625E">
              <w:rPr>
                <w:rFonts w:ascii="Times New Roman" w:hAnsi="Times New Roman" w:cs="Times New Roman"/>
                <w:b/>
                <w:sz w:val="24"/>
                <w:szCs w:val="24"/>
              </w:rPr>
              <w:t>20</w:t>
            </w:r>
          </w:p>
        </w:tc>
        <w:tc>
          <w:tcPr>
            <w:tcW w:w="3240" w:type="dxa"/>
          </w:tcPr>
          <w:p w:rsidR="002C34A4" w:rsidRPr="00DC625E" w:rsidRDefault="002C34A4" w:rsidP="002C34A4">
            <w:pPr>
              <w:jc w:val="both"/>
              <w:rPr>
                <w:rFonts w:ascii="Times New Roman" w:hAnsi="Times New Roman" w:cs="Times New Roman"/>
                <w:sz w:val="24"/>
                <w:szCs w:val="24"/>
              </w:rPr>
            </w:pPr>
            <w:r w:rsidRPr="00DC625E">
              <w:rPr>
                <w:rFonts w:ascii="Times New Roman" w:hAnsi="Times New Roman" w:cs="Times New Roman"/>
                <w:sz w:val="24"/>
                <w:szCs w:val="24"/>
              </w:rPr>
              <w:t xml:space="preserve">Can difference between published price &amp; minimum fixed commercial price be treated as additional commission in the hands of the agents of an airline </w:t>
            </w:r>
            <w:r w:rsidRPr="00DC625E">
              <w:rPr>
                <w:rFonts w:ascii="Times New Roman" w:hAnsi="Times New Roman" w:cs="Times New Roman"/>
                <w:sz w:val="24"/>
                <w:szCs w:val="24"/>
              </w:rPr>
              <w:lastRenderedPageBreak/>
              <w:t>company to attract TDS provisions u/s 194H?</w:t>
            </w:r>
          </w:p>
        </w:tc>
        <w:tc>
          <w:tcPr>
            <w:tcW w:w="3510" w:type="dxa"/>
          </w:tcPr>
          <w:p w:rsidR="002C34A4" w:rsidRPr="00DC625E" w:rsidRDefault="00DC625E" w:rsidP="008743E1">
            <w:pPr>
              <w:jc w:val="both"/>
              <w:rPr>
                <w:rFonts w:ascii="Times New Roman" w:hAnsi="Times New Roman" w:cs="Times New Roman"/>
                <w:sz w:val="24"/>
                <w:szCs w:val="24"/>
              </w:rPr>
            </w:pPr>
            <w:r w:rsidRPr="00DC625E">
              <w:rPr>
                <w:rFonts w:ascii="Times New Roman" w:hAnsi="Times New Roman" w:cs="Times New Roman"/>
                <w:sz w:val="24"/>
                <w:szCs w:val="24"/>
              </w:rPr>
              <w:lastRenderedPageBreak/>
              <w:t xml:space="preserve">Bombay High Court obsrvd that the difference between the published price &amp; minimum fixed commercial price cannot be taken as additional special commission in the hands of the </w:t>
            </w:r>
            <w:r w:rsidRPr="00DC625E">
              <w:rPr>
                <w:rFonts w:ascii="Times New Roman" w:hAnsi="Times New Roman" w:cs="Times New Roman"/>
                <w:sz w:val="24"/>
                <w:szCs w:val="24"/>
              </w:rPr>
              <w:lastRenderedPageBreak/>
              <w:t>agents, since the published price was the maximum price &amp; airline company had granted permission to the agents to sell the tickets at a price lower than the published price.  Hence tax at source was not deductible on the difference between the actual sale price &amp; the minimum fixed commercial price, even though the amount earned by the agent over &amp; above minimum fixed commercial price would be taxable as income in the hands.</w:t>
            </w:r>
          </w:p>
        </w:tc>
        <w:tc>
          <w:tcPr>
            <w:tcW w:w="2088" w:type="dxa"/>
          </w:tcPr>
          <w:p w:rsidR="002C34A4" w:rsidRDefault="002C34A4" w:rsidP="007528F5">
            <w:pPr>
              <w:rPr>
                <w:rFonts w:ascii="Times New Roman" w:hAnsi="Times New Roman" w:cs="Times New Roman"/>
                <w:sz w:val="24"/>
                <w:szCs w:val="24"/>
              </w:rPr>
            </w:pPr>
            <w:r w:rsidRPr="00DC625E">
              <w:rPr>
                <w:rFonts w:ascii="Times New Roman" w:hAnsi="Times New Roman" w:cs="Times New Roman"/>
                <w:sz w:val="24"/>
                <w:szCs w:val="24"/>
              </w:rPr>
              <w:lastRenderedPageBreak/>
              <w:t>CIT v Qatar Airways(2011)332 ITR 253(Bom)</w:t>
            </w: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Default="00DC625E" w:rsidP="007528F5">
            <w:pPr>
              <w:rPr>
                <w:rFonts w:ascii="Times New Roman" w:hAnsi="Times New Roman" w:cs="Times New Roman"/>
                <w:sz w:val="24"/>
                <w:szCs w:val="24"/>
              </w:rPr>
            </w:pPr>
          </w:p>
          <w:p w:rsidR="00DC625E" w:rsidRPr="00DC625E" w:rsidRDefault="00DC625E" w:rsidP="007528F5">
            <w:pPr>
              <w:rPr>
                <w:rFonts w:ascii="Times New Roman" w:hAnsi="Times New Roman" w:cs="Times New Roman"/>
                <w:sz w:val="24"/>
                <w:szCs w:val="24"/>
              </w:rPr>
            </w:pPr>
          </w:p>
        </w:tc>
      </w:tr>
      <w:tr w:rsidR="00DC625E" w:rsidRPr="00DC625E" w:rsidTr="00D81451">
        <w:tc>
          <w:tcPr>
            <w:tcW w:w="738" w:type="dxa"/>
          </w:tcPr>
          <w:p w:rsidR="00DC625E" w:rsidRPr="00DC625E" w:rsidRDefault="00DC625E">
            <w:pPr>
              <w:rPr>
                <w:rFonts w:ascii="Times New Roman" w:hAnsi="Times New Roman" w:cs="Times New Roman"/>
                <w:b/>
                <w:sz w:val="24"/>
                <w:szCs w:val="24"/>
              </w:rPr>
            </w:pPr>
            <w:r>
              <w:rPr>
                <w:rFonts w:ascii="Times New Roman" w:hAnsi="Times New Roman" w:cs="Times New Roman"/>
                <w:b/>
                <w:sz w:val="24"/>
                <w:szCs w:val="24"/>
              </w:rPr>
              <w:lastRenderedPageBreak/>
              <w:t>21</w:t>
            </w:r>
          </w:p>
        </w:tc>
        <w:tc>
          <w:tcPr>
            <w:tcW w:w="3240" w:type="dxa"/>
          </w:tcPr>
          <w:p w:rsidR="00DC625E" w:rsidRPr="00DC625E" w:rsidRDefault="00DC625E" w:rsidP="002C34A4">
            <w:pPr>
              <w:jc w:val="both"/>
              <w:rPr>
                <w:rFonts w:cs="Times New Roman"/>
              </w:rPr>
            </w:pPr>
            <w:r w:rsidRPr="00DC625E">
              <w:rPr>
                <w:rFonts w:cs="Times New Roman"/>
              </w:rPr>
              <w:t>Can discount given on supply of SIM cards &amp; recharge coupons by a telecom company to it distributors under a prepaid scheme be treated as commission to attract the TDS provisions u/s 194H</w:t>
            </w:r>
          </w:p>
        </w:tc>
        <w:tc>
          <w:tcPr>
            <w:tcW w:w="3510" w:type="dxa"/>
          </w:tcPr>
          <w:p w:rsidR="00DC625E" w:rsidRPr="00DC625E" w:rsidRDefault="00DC625E" w:rsidP="008743E1">
            <w:pPr>
              <w:jc w:val="both"/>
              <w:rPr>
                <w:rFonts w:ascii="Times New Roman" w:hAnsi="Times New Roman" w:cs="Times New Roman"/>
                <w:sz w:val="24"/>
                <w:szCs w:val="24"/>
              </w:rPr>
            </w:pPr>
            <w:r>
              <w:rPr>
                <w:rFonts w:ascii="Times New Roman" w:hAnsi="Times New Roman" w:cs="Times New Roman"/>
                <w:sz w:val="24"/>
                <w:szCs w:val="24"/>
              </w:rPr>
              <w:t>Kerala High Court observed that it was the SIM card which linked the mobile subscriber to the assesee’s network</w:t>
            </w:r>
            <w:r w:rsidR="00CE00BC">
              <w:rPr>
                <w:rFonts w:ascii="Times New Roman" w:hAnsi="Times New Roman" w:cs="Times New Roman"/>
                <w:sz w:val="24"/>
                <w:szCs w:val="24"/>
              </w:rPr>
              <w:t xml:space="preserve"> for rendering continued services to the subscriber of the mobile phone.  Position same so far as recharge coupons or e-topups were concerned.  The distributor only acted as a middleman on behalf of the assessee for procuring &amp; retaining customers &amp; therefore, the discount given to him was within the meaning of commission u/s 194H on which tax was deductible.</w:t>
            </w:r>
          </w:p>
        </w:tc>
        <w:tc>
          <w:tcPr>
            <w:tcW w:w="2088" w:type="dxa"/>
          </w:tcPr>
          <w:p w:rsidR="00DC625E" w:rsidRPr="00DC625E" w:rsidRDefault="00DC625E" w:rsidP="007528F5">
            <w:pPr>
              <w:rPr>
                <w:rFonts w:ascii="Times New Roman" w:hAnsi="Times New Roman" w:cs="Times New Roman"/>
                <w:sz w:val="24"/>
                <w:szCs w:val="24"/>
              </w:rPr>
            </w:pPr>
            <w:r>
              <w:rPr>
                <w:rFonts w:ascii="Times New Roman" w:hAnsi="Times New Roman" w:cs="Times New Roman"/>
                <w:sz w:val="24"/>
                <w:szCs w:val="24"/>
              </w:rPr>
              <w:t>Vodafone Essar Cellular Ltd v ACIT(TDS)(2011)332 ITR 255(Kerala)</w:t>
            </w:r>
          </w:p>
        </w:tc>
      </w:tr>
      <w:tr w:rsidR="00CE00BC" w:rsidRPr="00DC625E" w:rsidTr="00D81451">
        <w:tc>
          <w:tcPr>
            <w:tcW w:w="738" w:type="dxa"/>
          </w:tcPr>
          <w:p w:rsidR="00CE00BC" w:rsidRDefault="00CE00BC">
            <w:pPr>
              <w:rPr>
                <w:rFonts w:ascii="Times New Roman" w:hAnsi="Times New Roman" w:cs="Times New Roman"/>
                <w:b/>
                <w:sz w:val="24"/>
                <w:szCs w:val="24"/>
              </w:rPr>
            </w:pPr>
            <w:r>
              <w:rPr>
                <w:rFonts w:ascii="Times New Roman" w:hAnsi="Times New Roman" w:cs="Times New Roman"/>
                <w:b/>
                <w:sz w:val="24"/>
                <w:szCs w:val="24"/>
              </w:rPr>
              <w:t>22</w:t>
            </w:r>
          </w:p>
        </w:tc>
        <w:tc>
          <w:tcPr>
            <w:tcW w:w="3240" w:type="dxa"/>
          </w:tcPr>
          <w:p w:rsidR="00CE00BC" w:rsidRPr="00DC625E" w:rsidRDefault="00CE00BC" w:rsidP="002C34A4">
            <w:pPr>
              <w:jc w:val="both"/>
              <w:rPr>
                <w:rFonts w:cs="Times New Roman"/>
              </w:rPr>
            </w:pPr>
            <w:r>
              <w:rPr>
                <w:rFonts w:cs="Times New Roman"/>
              </w:rPr>
              <w:t>Is disallowance u/s 40(a)(i) or non deduction of tax at source attracted in respect of payment for purchase of software from a non-resident, by treating the same as royalty incase where the purchase is for subsequent resale in the Indian market.</w:t>
            </w:r>
          </w:p>
        </w:tc>
        <w:tc>
          <w:tcPr>
            <w:tcW w:w="3510" w:type="dxa"/>
          </w:tcPr>
          <w:p w:rsidR="00CE00BC" w:rsidRDefault="00CE00BC" w:rsidP="00CE00BC">
            <w:pPr>
              <w:jc w:val="both"/>
              <w:rPr>
                <w:rFonts w:ascii="Times New Roman" w:hAnsi="Times New Roman" w:cs="Times New Roman"/>
                <w:sz w:val="24"/>
                <w:szCs w:val="24"/>
              </w:rPr>
            </w:pPr>
            <w:r>
              <w:rPr>
                <w:rFonts w:ascii="Times New Roman" w:hAnsi="Times New Roman" w:cs="Times New Roman"/>
                <w:sz w:val="24"/>
                <w:szCs w:val="24"/>
              </w:rPr>
              <w:t>Delhi High Court ruled since assessee had purchased the software from Microsoft &amp; subsequently sold the same in the Indian market, he had acted as a dealer &amp; payment to Microsoft, the non resident, cannot be termed  as royalty. Hence, Sec. 40(a)(i) wud have no application in this case.</w:t>
            </w:r>
          </w:p>
        </w:tc>
        <w:tc>
          <w:tcPr>
            <w:tcW w:w="2088" w:type="dxa"/>
          </w:tcPr>
          <w:p w:rsidR="00CE00BC" w:rsidRDefault="00CE00BC" w:rsidP="007528F5">
            <w:pPr>
              <w:rPr>
                <w:rFonts w:ascii="Times New Roman" w:hAnsi="Times New Roman" w:cs="Times New Roman"/>
                <w:sz w:val="24"/>
                <w:szCs w:val="24"/>
              </w:rPr>
            </w:pPr>
            <w:r>
              <w:rPr>
                <w:rFonts w:ascii="Times New Roman" w:hAnsi="Times New Roman" w:cs="Times New Roman"/>
                <w:sz w:val="24"/>
                <w:szCs w:val="24"/>
              </w:rPr>
              <w:t>CIT vs Dynamic Vertical Software India P.Ltd(2011)332 ITR 0222(Delhi)</w:t>
            </w:r>
          </w:p>
        </w:tc>
      </w:tr>
      <w:tr w:rsidR="00CE00BC" w:rsidRPr="00DC625E" w:rsidTr="00D81451">
        <w:tc>
          <w:tcPr>
            <w:tcW w:w="738" w:type="dxa"/>
          </w:tcPr>
          <w:p w:rsidR="00CE00BC" w:rsidRDefault="00CE00BC">
            <w:pPr>
              <w:rPr>
                <w:rFonts w:ascii="Times New Roman" w:hAnsi="Times New Roman" w:cs="Times New Roman"/>
                <w:b/>
                <w:sz w:val="24"/>
                <w:szCs w:val="24"/>
              </w:rPr>
            </w:pPr>
            <w:r>
              <w:rPr>
                <w:rFonts w:ascii="Times New Roman" w:hAnsi="Times New Roman" w:cs="Times New Roman"/>
                <w:b/>
                <w:sz w:val="24"/>
                <w:szCs w:val="24"/>
              </w:rPr>
              <w:t>23</w:t>
            </w:r>
          </w:p>
        </w:tc>
        <w:tc>
          <w:tcPr>
            <w:tcW w:w="3240" w:type="dxa"/>
          </w:tcPr>
          <w:p w:rsidR="00CE00BC" w:rsidRDefault="00CE00BC" w:rsidP="002C34A4">
            <w:pPr>
              <w:jc w:val="both"/>
              <w:rPr>
                <w:rFonts w:cs="Times New Roman"/>
              </w:rPr>
            </w:pPr>
            <w:r>
              <w:rPr>
                <w:rFonts w:cs="Times New Roman"/>
              </w:rPr>
              <w:t xml:space="preserve">Can penalty u/s 271(1)( c)  for concealment of income be imposed in a case where the </w:t>
            </w:r>
            <w:r>
              <w:rPr>
                <w:rFonts w:cs="Times New Roman"/>
              </w:rPr>
              <w:lastRenderedPageBreak/>
              <w:t>assessee has raided a debatable issue?</w:t>
            </w:r>
          </w:p>
        </w:tc>
        <w:tc>
          <w:tcPr>
            <w:tcW w:w="3510" w:type="dxa"/>
          </w:tcPr>
          <w:p w:rsidR="00CE00BC" w:rsidRDefault="00CE00BC" w:rsidP="00CE00B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High Court observed that mere raising of a debatable issue would not amount to </w:t>
            </w:r>
            <w:r>
              <w:rPr>
                <w:rFonts w:ascii="Times New Roman" w:hAnsi="Times New Roman" w:cs="Times New Roman"/>
                <w:sz w:val="24"/>
                <w:szCs w:val="24"/>
              </w:rPr>
              <w:lastRenderedPageBreak/>
              <w:t>concealment of income or furnishing inaccurate particulars &amp; therefore penalty u/s 27(1) (c) cannot be imposed.</w:t>
            </w:r>
          </w:p>
        </w:tc>
        <w:tc>
          <w:tcPr>
            <w:tcW w:w="2088" w:type="dxa"/>
          </w:tcPr>
          <w:p w:rsidR="00CE00BC" w:rsidRDefault="00CE00BC" w:rsidP="007528F5">
            <w:pPr>
              <w:rPr>
                <w:rFonts w:ascii="Times New Roman" w:hAnsi="Times New Roman" w:cs="Times New Roman"/>
                <w:sz w:val="24"/>
                <w:szCs w:val="24"/>
              </w:rPr>
            </w:pPr>
            <w:r>
              <w:rPr>
                <w:rFonts w:ascii="Times New Roman" w:hAnsi="Times New Roman" w:cs="Times New Roman"/>
                <w:sz w:val="24"/>
                <w:szCs w:val="24"/>
              </w:rPr>
              <w:lastRenderedPageBreak/>
              <w:t xml:space="preserve">CIT v Indersons Leather P.Ltd(2010)328 ITR </w:t>
            </w:r>
            <w:r>
              <w:rPr>
                <w:rFonts w:ascii="Times New Roman" w:hAnsi="Times New Roman" w:cs="Times New Roman"/>
                <w:sz w:val="24"/>
                <w:szCs w:val="24"/>
              </w:rPr>
              <w:lastRenderedPageBreak/>
              <w:t>167(P &amp; H)</w:t>
            </w:r>
          </w:p>
        </w:tc>
      </w:tr>
      <w:tr w:rsidR="00CE00BC" w:rsidRPr="00DC625E" w:rsidTr="00D81451">
        <w:tc>
          <w:tcPr>
            <w:tcW w:w="738" w:type="dxa"/>
          </w:tcPr>
          <w:p w:rsidR="00CE00BC" w:rsidRDefault="00CE00BC">
            <w:pPr>
              <w:rPr>
                <w:rFonts w:ascii="Times New Roman" w:hAnsi="Times New Roman" w:cs="Times New Roman"/>
                <w:b/>
                <w:sz w:val="24"/>
                <w:szCs w:val="24"/>
              </w:rPr>
            </w:pPr>
            <w:r>
              <w:rPr>
                <w:rFonts w:ascii="Times New Roman" w:hAnsi="Times New Roman" w:cs="Times New Roman"/>
                <w:b/>
                <w:sz w:val="24"/>
                <w:szCs w:val="24"/>
              </w:rPr>
              <w:lastRenderedPageBreak/>
              <w:t>24</w:t>
            </w:r>
          </w:p>
        </w:tc>
        <w:tc>
          <w:tcPr>
            <w:tcW w:w="3240" w:type="dxa"/>
          </w:tcPr>
          <w:p w:rsidR="00CE00BC" w:rsidRDefault="00B50876" w:rsidP="002C34A4">
            <w:pPr>
              <w:jc w:val="both"/>
              <w:rPr>
                <w:rFonts w:cs="Times New Roman"/>
              </w:rPr>
            </w:pPr>
            <w:r>
              <w:rPr>
                <w:rFonts w:cs="Times New Roman"/>
              </w:rPr>
              <w:t>Can the Tribunal exercise its power of rectification u/s 254(2) to recall its order in entirety?</w:t>
            </w:r>
          </w:p>
        </w:tc>
        <w:tc>
          <w:tcPr>
            <w:tcW w:w="3510" w:type="dxa"/>
          </w:tcPr>
          <w:p w:rsidR="00CE00BC" w:rsidRDefault="00B50876" w:rsidP="00CE00BC">
            <w:pPr>
              <w:jc w:val="both"/>
              <w:rPr>
                <w:rFonts w:ascii="Times New Roman" w:hAnsi="Times New Roman" w:cs="Times New Roman"/>
                <w:sz w:val="24"/>
                <w:szCs w:val="24"/>
              </w:rPr>
            </w:pPr>
            <w:r>
              <w:rPr>
                <w:rFonts w:ascii="Times New Roman" w:hAnsi="Times New Roman" w:cs="Times New Roman"/>
                <w:sz w:val="24"/>
                <w:szCs w:val="24"/>
              </w:rPr>
              <w:t>Taking recourse to Apex Court’s decision, the Delhi High Court observed that the Tribunal, while exercising the power of rectification u/s 254(2) can recall its order in entirety if it is satisfied that prejudice has resulted to the party which is attributable to the Tribunbal’s mistake, error or omission &amp; the error committed is apparent.</w:t>
            </w:r>
          </w:p>
        </w:tc>
        <w:tc>
          <w:tcPr>
            <w:tcW w:w="2088" w:type="dxa"/>
          </w:tcPr>
          <w:p w:rsidR="00CE00BC" w:rsidRDefault="00B50876" w:rsidP="007528F5">
            <w:pPr>
              <w:rPr>
                <w:rFonts w:ascii="Times New Roman" w:hAnsi="Times New Roman" w:cs="Times New Roman"/>
                <w:sz w:val="24"/>
                <w:szCs w:val="24"/>
              </w:rPr>
            </w:pPr>
            <w:r>
              <w:rPr>
                <w:rFonts w:ascii="Times New Roman" w:hAnsi="Times New Roman" w:cs="Times New Roman"/>
                <w:sz w:val="24"/>
                <w:szCs w:val="24"/>
              </w:rPr>
              <w:t>Lachman Dass Bhata Hingwala(P)Ltd v ACIT(2011)330 ITR 243(Delhi)(FB)</w:t>
            </w:r>
          </w:p>
        </w:tc>
      </w:tr>
      <w:tr w:rsidR="00B50876" w:rsidRPr="00DC625E" w:rsidTr="00D81451">
        <w:tc>
          <w:tcPr>
            <w:tcW w:w="738" w:type="dxa"/>
          </w:tcPr>
          <w:p w:rsidR="00B50876" w:rsidRDefault="00B50876">
            <w:pPr>
              <w:rPr>
                <w:rFonts w:ascii="Times New Roman" w:hAnsi="Times New Roman" w:cs="Times New Roman"/>
                <w:b/>
                <w:sz w:val="24"/>
                <w:szCs w:val="24"/>
              </w:rPr>
            </w:pPr>
            <w:r>
              <w:rPr>
                <w:rFonts w:ascii="Times New Roman" w:hAnsi="Times New Roman" w:cs="Times New Roman"/>
                <w:b/>
                <w:sz w:val="24"/>
                <w:szCs w:val="24"/>
              </w:rPr>
              <w:t>25</w:t>
            </w:r>
          </w:p>
        </w:tc>
        <w:tc>
          <w:tcPr>
            <w:tcW w:w="3240" w:type="dxa"/>
          </w:tcPr>
          <w:p w:rsidR="00B50876" w:rsidRDefault="00B50876" w:rsidP="002C34A4">
            <w:pPr>
              <w:jc w:val="both"/>
              <w:rPr>
                <w:rFonts w:cs="Times New Roman"/>
              </w:rPr>
            </w:pPr>
            <w:r>
              <w:rPr>
                <w:rFonts w:cs="Times New Roman"/>
              </w:rPr>
              <w:t>In a case where there is a transfer of shares in a non-resident company from one non-resident to another non-resident, is it possible to infer that the transaction has significant nexus with India to attract the taxability provisions, if it ultimately resulted in transfer of controlling interest in Indian company?</w:t>
            </w:r>
          </w:p>
        </w:tc>
        <w:tc>
          <w:tcPr>
            <w:tcW w:w="3510" w:type="dxa"/>
          </w:tcPr>
          <w:p w:rsidR="00B50876" w:rsidRDefault="00293C87" w:rsidP="00CE00BC">
            <w:pPr>
              <w:jc w:val="both"/>
              <w:rPr>
                <w:rFonts w:ascii="Times New Roman" w:hAnsi="Times New Roman" w:cs="Times New Roman"/>
                <w:sz w:val="24"/>
                <w:szCs w:val="24"/>
              </w:rPr>
            </w:pPr>
            <w:r>
              <w:rPr>
                <w:rFonts w:ascii="Times New Roman" w:hAnsi="Times New Roman" w:cs="Times New Roman"/>
                <w:sz w:val="24"/>
                <w:szCs w:val="24"/>
              </w:rPr>
              <w:t>It was observed that the rights &amp; entitlements of Hutchison Telecommunication Intl.Ltd(HTIL) in Hutchison Essar Ltd(HEL) constituted capital assets within the meaning of sec.2(14) to be covered in the phrase “ property of any kind held by an assessee”.  The consideration that was paid to HTIL by Vodafone International Holdings B.V.(VIH BV) included consideration for acquisition of diversified rights &amp; entitlements.  Therefore, the transaction had a significant nexus with India.  The essence of the transaction was a change of controlling interest in HEL which represented a source of income in India.</w:t>
            </w:r>
          </w:p>
        </w:tc>
        <w:tc>
          <w:tcPr>
            <w:tcW w:w="2088" w:type="dxa"/>
          </w:tcPr>
          <w:p w:rsidR="00B50876" w:rsidRDefault="00B50876" w:rsidP="007528F5">
            <w:pPr>
              <w:rPr>
                <w:rFonts w:ascii="Times New Roman" w:hAnsi="Times New Roman" w:cs="Times New Roman"/>
                <w:sz w:val="24"/>
                <w:szCs w:val="24"/>
              </w:rPr>
            </w:pPr>
            <w:r>
              <w:rPr>
                <w:rFonts w:ascii="Times New Roman" w:hAnsi="Times New Roman" w:cs="Times New Roman"/>
                <w:sz w:val="24"/>
                <w:szCs w:val="24"/>
              </w:rPr>
              <w:t>Vodafone International Holdings B.V. v UOI(2010)329 ITR 126(Bom)</w:t>
            </w:r>
          </w:p>
        </w:tc>
      </w:tr>
      <w:tr w:rsidR="00293C87" w:rsidRPr="00DC625E" w:rsidTr="00D81451">
        <w:tc>
          <w:tcPr>
            <w:tcW w:w="738" w:type="dxa"/>
          </w:tcPr>
          <w:p w:rsidR="00293C87" w:rsidRDefault="00293C87">
            <w:pPr>
              <w:rPr>
                <w:rFonts w:ascii="Times New Roman" w:hAnsi="Times New Roman" w:cs="Times New Roman"/>
                <w:b/>
                <w:sz w:val="24"/>
                <w:szCs w:val="24"/>
              </w:rPr>
            </w:pPr>
            <w:r>
              <w:rPr>
                <w:rFonts w:ascii="Times New Roman" w:hAnsi="Times New Roman" w:cs="Times New Roman"/>
                <w:b/>
                <w:sz w:val="24"/>
                <w:szCs w:val="24"/>
              </w:rPr>
              <w:t>26</w:t>
            </w:r>
          </w:p>
        </w:tc>
        <w:tc>
          <w:tcPr>
            <w:tcW w:w="3240" w:type="dxa"/>
          </w:tcPr>
          <w:p w:rsidR="00293C87" w:rsidRDefault="00293C87" w:rsidP="002C34A4">
            <w:pPr>
              <w:jc w:val="both"/>
              <w:rPr>
                <w:rFonts w:cs="Times New Roman"/>
              </w:rPr>
            </w:pPr>
            <w:r>
              <w:rPr>
                <w:rFonts w:cs="Times New Roman"/>
              </w:rPr>
              <w:t>Is wealth-tax leviable on the value of house under construction, where the construction was still incomplete on the relevant valuation date?</w:t>
            </w:r>
          </w:p>
        </w:tc>
        <w:tc>
          <w:tcPr>
            <w:tcW w:w="3510" w:type="dxa"/>
          </w:tcPr>
          <w:p w:rsidR="00293C87" w:rsidRPr="00C666D7" w:rsidRDefault="00C666D7" w:rsidP="00CE00BC">
            <w:pPr>
              <w:jc w:val="both"/>
              <w:rPr>
                <w:rFonts w:ascii="Times New Roman" w:hAnsi="Times New Roman" w:cs="Times New Roman"/>
              </w:rPr>
            </w:pPr>
            <w:r w:rsidRPr="00C666D7">
              <w:rPr>
                <w:rFonts w:ascii="Times New Roman" w:hAnsi="Times New Roman" w:cs="Times New Roman"/>
              </w:rPr>
              <w:t>It was observed that the incomplete building of the assessee neither fell within the meaning of a building nor within the purview of “ urban land” u/s 2(ea).  Consequently, the incomplete building is not an asset chargeable to wealth tax.</w:t>
            </w:r>
          </w:p>
        </w:tc>
        <w:tc>
          <w:tcPr>
            <w:tcW w:w="2088" w:type="dxa"/>
          </w:tcPr>
          <w:p w:rsidR="00293C87" w:rsidRDefault="00293C87" w:rsidP="007528F5">
            <w:pPr>
              <w:rPr>
                <w:rFonts w:ascii="Times New Roman" w:hAnsi="Times New Roman" w:cs="Times New Roman"/>
                <w:sz w:val="24"/>
                <w:szCs w:val="24"/>
              </w:rPr>
            </w:pPr>
            <w:r>
              <w:rPr>
                <w:rFonts w:ascii="Times New Roman" w:hAnsi="Times New Roman" w:cs="Times New Roman"/>
                <w:sz w:val="24"/>
                <w:szCs w:val="24"/>
              </w:rPr>
              <w:t>CIT v Smt. Neena Jain(2011)330 ITR 157(P &amp; H)</w:t>
            </w:r>
          </w:p>
        </w:tc>
      </w:tr>
      <w:tr w:rsidR="00C666D7" w:rsidRPr="00DC625E" w:rsidTr="00D81451">
        <w:tc>
          <w:tcPr>
            <w:tcW w:w="738" w:type="dxa"/>
          </w:tcPr>
          <w:p w:rsidR="00C666D7" w:rsidRDefault="00C666D7">
            <w:pPr>
              <w:rPr>
                <w:rFonts w:ascii="Times New Roman" w:hAnsi="Times New Roman" w:cs="Times New Roman"/>
                <w:b/>
                <w:sz w:val="24"/>
                <w:szCs w:val="24"/>
              </w:rPr>
            </w:pPr>
            <w:r>
              <w:rPr>
                <w:rFonts w:ascii="Times New Roman" w:hAnsi="Times New Roman" w:cs="Times New Roman"/>
                <w:b/>
                <w:sz w:val="24"/>
                <w:szCs w:val="24"/>
              </w:rPr>
              <w:lastRenderedPageBreak/>
              <w:t>27</w:t>
            </w:r>
          </w:p>
        </w:tc>
        <w:tc>
          <w:tcPr>
            <w:tcW w:w="3240" w:type="dxa"/>
          </w:tcPr>
          <w:p w:rsidR="00C666D7" w:rsidRDefault="00C666D7" w:rsidP="002C34A4">
            <w:pPr>
              <w:jc w:val="both"/>
              <w:rPr>
                <w:rFonts w:cs="Times New Roman"/>
              </w:rPr>
            </w:pPr>
            <w:r>
              <w:rPr>
                <w:rFonts w:cs="Times New Roman"/>
              </w:rPr>
              <w:t>Can “ moneys payable” in respect of a building sold by the assessee(which has to be reduced form the opening written down value of the block of assets for calculating depreciation) be constructed as the fair market value of the asset instead of the actual sale price?</w:t>
            </w:r>
          </w:p>
        </w:tc>
        <w:tc>
          <w:tcPr>
            <w:tcW w:w="3510" w:type="dxa"/>
          </w:tcPr>
          <w:p w:rsidR="00C666D7" w:rsidRPr="008353D2" w:rsidRDefault="008353D2" w:rsidP="008353D2">
            <w:pPr>
              <w:jc w:val="both"/>
              <w:rPr>
                <w:rFonts w:ascii="Times New Roman" w:hAnsi="Times New Roman" w:cs="Times New Roman"/>
              </w:rPr>
            </w:pPr>
            <w:r>
              <w:rPr>
                <w:rFonts w:ascii="Times New Roman" w:hAnsi="Times New Roman" w:cs="Times New Roman"/>
              </w:rPr>
              <w:t xml:space="preserve">Bombay High Court observed that the “moneys payable” to be reduced from the W.D.V. of the block assets as per sec.43(6) is to be constructed as per the meaning assigned to the same according to the  </w:t>
            </w:r>
            <w:r>
              <w:rPr>
                <w:rFonts w:ascii="Times New Roman" w:hAnsi="Times New Roman" w:cs="Times New Roman"/>
                <w:i/>
              </w:rPr>
              <w:t>Explanation</w:t>
            </w:r>
            <w:r>
              <w:rPr>
                <w:rFonts w:ascii="Times New Roman" w:hAnsi="Times New Roman" w:cs="Times New Roman"/>
              </w:rPr>
              <w:t xml:space="preserve"> below sec.41(4) which states that the “moneys payable” in relation to the sale of a bldg, machinery,plant or furniture would be price for which it is sold.</w:t>
            </w:r>
          </w:p>
        </w:tc>
        <w:tc>
          <w:tcPr>
            <w:tcW w:w="2088" w:type="dxa"/>
          </w:tcPr>
          <w:p w:rsidR="00C666D7" w:rsidRDefault="00C666D7" w:rsidP="007528F5">
            <w:pPr>
              <w:rPr>
                <w:rFonts w:ascii="Times New Roman" w:hAnsi="Times New Roman" w:cs="Times New Roman"/>
                <w:sz w:val="24"/>
                <w:szCs w:val="24"/>
              </w:rPr>
            </w:pPr>
            <w:r>
              <w:rPr>
                <w:rFonts w:ascii="Times New Roman" w:hAnsi="Times New Roman" w:cs="Times New Roman"/>
                <w:sz w:val="24"/>
                <w:szCs w:val="24"/>
              </w:rPr>
              <w:t>CIT v Cable Corporation of India Ltd(2011)336 ITR 56(Bom)</w:t>
            </w:r>
          </w:p>
        </w:tc>
      </w:tr>
      <w:tr w:rsidR="008353D2" w:rsidRPr="00DC625E" w:rsidTr="00D81451">
        <w:tc>
          <w:tcPr>
            <w:tcW w:w="738" w:type="dxa"/>
          </w:tcPr>
          <w:p w:rsidR="008353D2" w:rsidRDefault="008353D2">
            <w:pPr>
              <w:rPr>
                <w:rFonts w:ascii="Times New Roman" w:hAnsi="Times New Roman" w:cs="Times New Roman"/>
                <w:b/>
                <w:sz w:val="24"/>
                <w:szCs w:val="24"/>
              </w:rPr>
            </w:pPr>
            <w:r>
              <w:rPr>
                <w:rFonts w:ascii="Times New Roman" w:hAnsi="Times New Roman" w:cs="Times New Roman"/>
                <w:b/>
                <w:sz w:val="24"/>
                <w:szCs w:val="24"/>
              </w:rPr>
              <w:t>28</w:t>
            </w:r>
          </w:p>
        </w:tc>
        <w:tc>
          <w:tcPr>
            <w:tcW w:w="3240" w:type="dxa"/>
          </w:tcPr>
          <w:p w:rsidR="008353D2" w:rsidRDefault="008353D2" w:rsidP="002C34A4">
            <w:pPr>
              <w:jc w:val="both"/>
              <w:rPr>
                <w:rFonts w:cs="Times New Roman"/>
              </w:rPr>
            </w:pPr>
            <w:r>
              <w:rPr>
                <w:rFonts w:cs="Times New Roman"/>
              </w:rPr>
              <w:t>Can the Assessing Officer issue notice u/s 154 to rectify a mistake apparent from record in the intimation u/s 143(1) after issue of a valid notice u/s 143(2)</w:t>
            </w:r>
          </w:p>
        </w:tc>
        <w:tc>
          <w:tcPr>
            <w:tcW w:w="3510" w:type="dxa"/>
          </w:tcPr>
          <w:p w:rsidR="008353D2" w:rsidRPr="00F20006" w:rsidRDefault="00F20006" w:rsidP="008353D2">
            <w:pPr>
              <w:jc w:val="both"/>
              <w:rPr>
                <w:rFonts w:ascii="Times New Roman" w:hAnsi="Times New Roman" w:cs="Times New Roman"/>
              </w:rPr>
            </w:pPr>
            <w:r>
              <w:rPr>
                <w:rFonts w:ascii="Times New Roman" w:hAnsi="Times New Roman" w:cs="Times New Roman"/>
              </w:rPr>
              <w:t xml:space="preserve">The Punjab &amp; Haryana High Court relying on the decision of the Delhi High Court in </w:t>
            </w:r>
            <w:r>
              <w:rPr>
                <w:rFonts w:ascii="Times New Roman" w:hAnsi="Times New Roman" w:cs="Times New Roman"/>
                <w:b/>
                <w:i/>
              </w:rPr>
              <w:t>CIT v Punjab National Bank(2001)249 ITR 763</w:t>
            </w:r>
            <w:r>
              <w:rPr>
                <w:rFonts w:ascii="Times New Roman" w:hAnsi="Times New Roman" w:cs="Times New Roman"/>
              </w:rPr>
              <w:t xml:space="preserve"> concluded that proceedings u/s 154 for rectification of intimation u/s 143(1) cannot be initiated after issuance of notice u/s 143(2) by the Assessing Officer to the assessee.</w:t>
            </w:r>
          </w:p>
        </w:tc>
        <w:tc>
          <w:tcPr>
            <w:tcW w:w="2088" w:type="dxa"/>
          </w:tcPr>
          <w:p w:rsidR="008353D2" w:rsidRDefault="008353D2" w:rsidP="007528F5">
            <w:pPr>
              <w:rPr>
                <w:rFonts w:ascii="Times New Roman" w:hAnsi="Times New Roman" w:cs="Times New Roman"/>
                <w:sz w:val="24"/>
                <w:szCs w:val="24"/>
              </w:rPr>
            </w:pPr>
            <w:r>
              <w:rPr>
                <w:rFonts w:ascii="Times New Roman" w:hAnsi="Times New Roman" w:cs="Times New Roman"/>
                <w:sz w:val="24"/>
                <w:szCs w:val="24"/>
              </w:rPr>
              <w:t>CIT v Haryana State Handloom &amp; Handicrafts Corporation Ltd(2011) 336 ITR 699(P &amp; H)</w:t>
            </w:r>
          </w:p>
        </w:tc>
      </w:tr>
      <w:tr w:rsidR="00F20006" w:rsidRPr="00DC625E" w:rsidTr="00D81451">
        <w:tc>
          <w:tcPr>
            <w:tcW w:w="738" w:type="dxa"/>
          </w:tcPr>
          <w:p w:rsidR="00F20006" w:rsidRDefault="00F20006">
            <w:pPr>
              <w:rPr>
                <w:rFonts w:ascii="Times New Roman" w:hAnsi="Times New Roman" w:cs="Times New Roman"/>
                <w:b/>
                <w:sz w:val="24"/>
                <w:szCs w:val="24"/>
              </w:rPr>
            </w:pPr>
            <w:r>
              <w:rPr>
                <w:rFonts w:ascii="Times New Roman" w:hAnsi="Times New Roman" w:cs="Times New Roman"/>
                <w:b/>
                <w:sz w:val="24"/>
                <w:szCs w:val="24"/>
              </w:rPr>
              <w:t>29</w:t>
            </w:r>
          </w:p>
        </w:tc>
        <w:tc>
          <w:tcPr>
            <w:tcW w:w="3240" w:type="dxa"/>
          </w:tcPr>
          <w:p w:rsidR="00F20006" w:rsidRDefault="00F20006" w:rsidP="002C34A4">
            <w:pPr>
              <w:jc w:val="both"/>
              <w:rPr>
                <w:rFonts w:cs="Times New Roman"/>
              </w:rPr>
            </w:pPr>
            <w:r>
              <w:rPr>
                <w:rFonts w:cs="Times New Roman"/>
              </w:rPr>
              <w:t>Can the Assessing Officer reassess issues other than the issues in respect of which proceedings were initiated u/s 147 when the original “ reason to believe” on basis of which the notice was issued ceased to exist?</w:t>
            </w:r>
          </w:p>
        </w:tc>
        <w:tc>
          <w:tcPr>
            <w:tcW w:w="3510" w:type="dxa"/>
          </w:tcPr>
          <w:p w:rsidR="00F20006" w:rsidRDefault="00F20006" w:rsidP="008353D2">
            <w:pPr>
              <w:jc w:val="both"/>
              <w:rPr>
                <w:rFonts w:ascii="Times New Roman" w:hAnsi="Times New Roman" w:cs="Times New Roman"/>
              </w:rPr>
            </w:pPr>
            <w:r>
              <w:rPr>
                <w:rFonts w:ascii="Times New Roman" w:hAnsi="Times New Roman" w:cs="Times New Roman"/>
              </w:rPr>
              <w:t>It was ruled that as per Sec. 147, the A.O. may assess or reassess such income &amp; also any other income chargeable to tax which has escaped assessment &amp; which comes to his notice in the course of proceedings under this section.  The Delhi High Court observed that the words “ and also” used in Sec. 147 are of wide amplitude.</w:t>
            </w:r>
          </w:p>
        </w:tc>
        <w:tc>
          <w:tcPr>
            <w:tcW w:w="2088" w:type="dxa"/>
          </w:tcPr>
          <w:p w:rsidR="00F20006" w:rsidRDefault="00F20006" w:rsidP="007528F5">
            <w:pPr>
              <w:rPr>
                <w:rFonts w:ascii="Times New Roman" w:hAnsi="Times New Roman" w:cs="Times New Roman"/>
                <w:sz w:val="24"/>
                <w:szCs w:val="24"/>
              </w:rPr>
            </w:pPr>
            <w:r>
              <w:rPr>
                <w:rFonts w:ascii="Times New Roman" w:hAnsi="Times New Roman" w:cs="Times New Roman"/>
                <w:sz w:val="24"/>
                <w:szCs w:val="24"/>
              </w:rPr>
              <w:t>Ranbaxy Laboratories Ltd v CIT(2011)336 ITR 136(Delhi)</w:t>
            </w:r>
          </w:p>
        </w:tc>
      </w:tr>
      <w:tr w:rsidR="00F20006" w:rsidRPr="00DC625E" w:rsidTr="00D81451">
        <w:tc>
          <w:tcPr>
            <w:tcW w:w="738" w:type="dxa"/>
          </w:tcPr>
          <w:p w:rsidR="00F20006" w:rsidRDefault="00F20006">
            <w:pPr>
              <w:rPr>
                <w:rFonts w:ascii="Times New Roman" w:hAnsi="Times New Roman" w:cs="Times New Roman"/>
                <w:b/>
                <w:sz w:val="24"/>
                <w:szCs w:val="24"/>
              </w:rPr>
            </w:pPr>
            <w:r>
              <w:rPr>
                <w:rFonts w:ascii="Times New Roman" w:hAnsi="Times New Roman" w:cs="Times New Roman"/>
                <w:b/>
                <w:sz w:val="24"/>
                <w:szCs w:val="24"/>
              </w:rPr>
              <w:t>30</w:t>
            </w:r>
          </w:p>
        </w:tc>
        <w:tc>
          <w:tcPr>
            <w:tcW w:w="3240" w:type="dxa"/>
          </w:tcPr>
          <w:p w:rsidR="00F20006" w:rsidRDefault="00F20006" w:rsidP="002C34A4">
            <w:pPr>
              <w:jc w:val="both"/>
              <w:rPr>
                <w:rFonts w:cs="Times New Roman"/>
              </w:rPr>
            </w:pPr>
            <w:r>
              <w:rPr>
                <w:rFonts w:cs="Times New Roman"/>
              </w:rPr>
              <w:t>Would the words “ shall be issued” used in Sec. 149 mean “ mere signing of notice by the A.O” or “ handing over of the said notice in the hands of the proper officer for serving it to the assessee” to constitute a valid notice issued within the prescribed time limit?</w:t>
            </w:r>
          </w:p>
        </w:tc>
        <w:tc>
          <w:tcPr>
            <w:tcW w:w="3510" w:type="dxa"/>
          </w:tcPr>
          <w:p w:rsidR="00F20006" w:rsidRPr="00C92D08" w:rsidRDefault="00C92D08" w:rsidP="008353D2">
            <w:pPr>
              <w:jc w:val="both"/>
              <w:rPr>
                <w:rFonts w:ascii="Times New Roman" w:hAnsi="Times New Roman" w:cs="Times New Roman"/>
                <w:sz w:val="20"/>
                <w:szCs w:val="20"/>
              </w:rPr>
            </w:pPr>
            <w:r w:rsidRPr="00C92D08">
              <w:rPr>
                <w:rFonts w:ascii="Times New Roman" w:hAnsi="Times New Roman" w:cs="Times New Roman"/>
                <w:sz w:val="20"/>
                <w:szCs w:val="20"/>
              </w:rPr>
              <w:t>The Gujarat High Court observed that the core issue which arises for consideration is the date when the notice u/s 148 can be said to have been issued.  In the said case, the notice has been signed on 31</w:t>
            </w:r>
            <w:r w:rsidRPr="00C92D08">
              <w:rPr>
                <w:rFonts w:ascii="Times New Roman" w:hAnsi="Times New Roman" w:cs="Times New Roman"/>
                <w:sz w:val="20"/>
                <w:szCs w:val="20"/>
                <w:vertAlign w:val="superscript"/>
              </w:rPr>
              <w:t>st</w:t>
            </w:r>
            <w:r w:rsidRPr="00C92D08">
              <w:rPr>
                <w:rFonts w:ascii="Times New Roman" w:hAnsi="Times New Roman" w:cs="Times New Roman"/>
                <w:sz w:val="20"/>
                <w:szCs w:val="20"/>
              </w:rPr>
              <w:t xml:space="preserve"> March 2010, whereas the same was sent o the speed post centre for booking only on 7</w:t>
            </w:r>
            <w:r w:rsidRPr="00C92D08">
              <w:rPr>
                <w:rFonts w:ascii="Times New Roman" w:hAnsi="Times New Roman" w:cs="Times New Roman"/>
                <w:sz w:val="20"/>
                <w:szCs w:val="20"/>
                <w:vertAlign w:val="superscript"/>
              </w:rPr>
              <w:t>th</w:t>
            </w:r>
            <w:r w:rsidRPr="00C92D08">
              <w:rPr>
                <w:rFonts w:ascii="Times New Roman" w:hAnsi="Times New Roman" w:cs="Times New Roman"/>
                <w:sz w:val="20"/>
                <w:szCs w:val="20"/>
              </w:rPr>
              <w:t xml:space="preserve"> April 2010.  It is apparent that mere signing of notices on 31</w:t>
            </w:r>
            <w:r w:rsidRPr="00C92D08">
              <w:rPr>
                <w:rFonts w:ascii="Times New Roman" w:hAnsi="Times New Roman" w:cs="Times New Roman"/>
                <w:sz w:val="20"/>
                <w:szCs w:val="20"/>
                <w:vertAlign w:val="superscript"/>
              </w:rPr>
              <w:t>st</w:t>
            </w:r>
            <w:r w:rsidRPr="00C92D08">
              <w:rPr>
                <w:rFonts w:ascii="Times New Roman" w:hAnsi="Times New Roman" w:cs="Times New Roman"/>
                <w:sz w:val="20"/>
                <w:szCs w:val="20"/>
              </w:rPr>
              <w:t xml:space="preserve"> March 2010, cannot tantamount to issuance of notice as contemplated u/s 149. Therefore, the aforesaid notice u/s 148 in relation the a.Y.2003-04 having been issued on 7</w:t>
            </w:r>
            <w:r w:rsidRPr="00C92D08">
              <w:rPr>
                <w:rFonts w:ascii="Times New Roman" w:hAnsi="Times New Roman" w:cs="Times New Roman"/>
                <w:sz w:val="20"/>
                <w:szCs w:val="20"/>
                <w:vertAlign w:val="superscript"/>
              </w:rPr>
              <w:t>th</w:t>
            </w:r>
            <w:r w:rsidRPr="00C92D08">
              <w:rPr>
                <w:rFonts w:ascii="Times New Roman" w:hAnsi="Times New Roman" w:cs="Times New Roman"/>
                <w:sz w:val="20"/>
                <w:szCs w:val="20"/>
              </w:rPr>
              <w:t xml:space="preserve"> April 2010, is beyond the period of six years form the end of the relevant A.Y &amp; clearly barred by limitation.</w:t>
            </w:r>
          </w:p>
        </w:tc>
        <w:tc>
          <w:tcPr>
            <w:tcW w:w="2088" w:type="dxa"/>
          </w:tcPr>
          <w:p w:rsidR="00F20006" w:rsidRDefault="00F20006" w:rsidP="007528F5">
            <w:pPr>
              <w:rPr>
                <w:rFonts w:ascii="Times New Roman" w:hAnsi="Times New Roman" w:cs="Times New Roman"/>
                <w:sz w:val="24"/>
                <w:szCs w:val="24"/>
              </w:rPr>
            </w:pPr>
            <w:r>
              <w:rPr>
                <w:rFonts w:ascii="Times New Roman" w:hAnsi="Times New Roman" w:cs="Times New Roman"/>
                <w:sz w:val="24"/>
                <w:szCs w:val="24"/>
              </w:rPr>
              <w:t>Kanubhai M Patel(HUF) v Hiren Bhatt or his successors to Office(2011) 334 ITR 0025(Guj)</w:t>
            </w:r>
          </w:p>
        </w:tc>
      </w:tr>
      <w:tr w:rsidR="00C92D08" w:rsidRPr="00DC625E" w:rsidTr="00D81451">
        <w:tc>
          <w:tcPr>
            <w:tcW w:w="738" w:type="dxa"/>
          </w:tcPr>
          <w:p w:rsidR="00C92D08" w:rsidRDefault="00C92D08">
            <w:pPr>
              <w:rPr>
                <w:rFonts w:ascii="Times New Roman" w:hAnsi="Times New Roman" w:cs="Times New Roman"/>
                <w:b/>
                <w:sz w:val="24"/>
                <w:szCs w:val="24"/>
              </w:rPr>
            </w:pPr>
            <w:r>
              <w:rPr>
                <w:rFonts w:ascii="Times New Roman" w:hAnsi="Times New Roman" w:cs="Times New Roman"/>
                <w:b/>
                <w:sz w:val="24"/>
                <w:szCs w:val="24"/>
              </w:rPr>
              <w:lastRenderedPageBreak/>
              <w:t>31</w:t>
            </w:r>
          </w:p>
        </w:tc>
        <w:tc>
          <w:tcPr>
            <w:tcW w:w="3240" w:type="dxa"/>
          </w:tcPr>
          <w:p w:rsidR="00C92D08" w:rsidRDefault="00C92D08" w:rsidP="002C34A4">
            <w:pPr>
              <w:jc w:val="both"/>
              <w:rPr>
                <w:rFonts w:cs="Times New Roman"/>
              </w:rPr>
            </w:pPr>
            <w:r>
              <w:rPr>
                <w:rFonts w:cs="Times New Roman"/>
              </w:rPr>
              <w:t>Can the Commissioner initiate revision proceedings u/s 263 on the ground that the A.O’s order  not initiating penal proceedings was erroneous &amp; prejudicial to the interest of the Revenue, in a case where non-initiation of penal proceedings  was a pre-condition for surrender of income by the assessee?</w:t>
            </w:r>
          </w:p>
        </w:tc>
        <w:tc>
          <w:tcPr>
            <w:tcW w:w="3510" w:type="dxa"/>
          </w:tcPr>
          <w:p w:rsidR="00C92D08" w:rsidRPr="00C92D08" w:rsidRDefault="00C92D08" w:rsidP="00072DDA">
            <w:pPr>
              <w:jc w:val="both"/>
              <w:rPr>
                <w:rFonts w:ascii="Times New Roman" w:hAnsi="Times New Roman" w:cs="Times New Roman"/>
              </w:rPr>
            </w:pPr>
            <w:r>
              <w:rPr>
                <w:rFonts w:ascii="Times New Roman" w:hAnsi="Times New Roman" w:cs="Times New Roman"/>
              </w:rPr>
              <w:t>The Punjab &amp; Haryana High Court observed that, on perusal of the office note issued by the A.O it was clear that the assessee had made surrender of income with a clear condition that no penal action u/s 271(1)( c )</w:t>
            </w:r>
            <w:r w:rsidR="00072DDA">
              <w:rPr>
                <w:rFonts w:ascii="Times New Roman" w:hAnsi="Times New Roman" w:cs="Times New Roman"/>
              </w:rPr>
              <w:t xml:space="preserve"> would be initiated. The office note further depicts that the offer of the assessee was accepted by the Dept.  Once that was so, the Commissioner cannot take a different view &amp; levy penalty.</w:t>
            </w:r>
          </w:p>
        </w:tc>
        <w:tc>
          <w:tcPr>
            <w:tcW w:w="2088" w:type="dxa"/>
          </w:tcPr>
          <w:p w:rsidR="00C92D08" w:rsidRDefault="00C92D08" w:rsidP="007528F5">
            <w:pPr>
              <w:rPr>
                <w:rFonts w:ascii="Times New Roman" w:hAnsi="Times New Roman" w:cs="Times New Roman"/>
                <w:sz w:val="24"/>
                <w:szCs w:val="24"/>
              </w:rPr>
            </w:pPr>
            <w:r>
              <w:rPr>
                <w:rFonts w:ascii="Times New Roman" w:hAnsi="Times New Roman" w:cs="Times New Roman"/>
                <w:sz w:val="24"/>
                <w:szCs w:val="24"/>
              </w:rPr>
              <w:t>CIT v Subhas Kumar Jain(2011)235 ITR 364 (P &amp; H)</w:t>
            </w:r>
          </w:p>
        </w:tc>
      </w:tr>
      <w:tr w:rsidR="00072DDA" w:rsidRPr="00DC625E" w:rsidTr="00D81451">
        <w:tc>
          <w:tcPr>
            <w:tcW w:w="738" w:type="dxa"/>
          </w:tcPr>
          <w:p w:rsidR="00072DDA" w:rsidRDefault="00072DDA">
            <w:pPr>
              <w:rPr>
                <w:rFonts w:ascii="Times New Roman" w:hAnsi="Times New Roman" w:cs="Times New Roman"/>
                <w:b/>
                <w:sz w:val="24"/>
                <w:szCs w:val="24"/>
              </w:rPr>
            </w:pPr>
            <w:r>
              <w:rPr>
                <w:rFonts w:ascii="Times New Roman" w:hAnsi="Times New Roman" w:cs="Times New Roman"/>
                <w:b/>
                <w:sz w:val="24"/>
                <w:szCs w:val="24"/>
              </w:rPr>
              <w:t>32</w:t>
            </w:r>
          </w:p>
        </w:tc>
        <w:tc>
          <w:tcPr>
            <w:tcW w:w="3240" w:type="dxa"/>
          </w:tcPr>
          <w:p w:rsidR="00072DDA" w:rsidRDefault="00072DDA" w:rsidP="002C34A4">
            <w:pPr>
              <w:jc w:val="both"/>
              <w:rPr>
                <w:rFonts w:cs="Times New Roman"/>
              </w:rPr>
            </w:pPr>
            <w:r>
              <w:rPr>
                <w:rFonts w:cs="Times New Roman"/>
              </w:rPr>
              <w:t>Can winnings of prize money on unsold lottery tickets held by the distributor of lottery tickets be assessed as business income &amp; be subject to normal rates of tax instead of the rates prescribed u/s 115BB?</w:t>
            </w:r>
          </w:p>
        </w:tc>
        <w:tc>
          <w:tcPr>
            <w:tcW w:w="3510" w:type="dxa"/>
          </w:tcPr>
          <w:p w:rsidR="00072DDA" w:rsidRDefault="00072DDA" w:rsidP="00072DDA">
            <w:pPr>
              <w:jc w:val="both"/>
              <w:rPr>
                <w:rFonts w:ascii="Times New Roman" w:hAnsi="Times New Roman" w:cs="Times New Roman"/>
              </w:rPr>
            </w:pPr>
            <w:r>
              <w:rPr>
                <w:rFonts w:ascii="Times New Roman" w:hAnsi="Times New Roman" w:cs="Times New Roman"/>
              </w:rPr>
              <w:t>The Kerala High Court observed that winnings from lottery is included in the definition of income by virtue of Sec.2(24)(ix)</w:t>
            </w:r>
          </w:p>
          <w:p w:rsidR="00072DDA" w:rsidRDefault="00072DDA" w:rsidP="00072DDA">
            <w:pPr>
              <w:jc w:val="both"/>
              <w:rPr>
                <w:rFonts w:ascii="Times New Roman" w:hAnsi="Times New Roman" w:cs="Times New Roman"/>
              </w:rPr>
            </w:pPr>
            <w:r>
              <w:rPr>
                <w:rFonts w:ascii="Times New Roman" w:hAnsi="Times New Roman" w:cs="Times New Roman"/>
              </w:rPr>
              <w:t>In practice all prizes from unsold tickets of the lotteries shall be the property of the organizing agent.  Similarly ,all unclaimed prizes shall also be the property of the organizing agent &amp; shall be refunded to the organizing agent.  Further, winnings from lotteries are assessable under the special provisions  of Sec. 115BB, irrespective of the head under which such income falls.  The High Court held that the rate of 30% prescribed u/s 115BB is applicable in respect o winnings from lottery received by the distributor.</w:t>
            </w:r>
          </w:p>
        </w:tc>
        <w:tc>
          <w:tcPr>
            <w:tcW w:w="2088" w:type="dxa"/>
          </w:tcPr>
          <w:p w:rsidR="00072DDA" w:rsidRDefault="00072DDA" w:rsidP="007528F5">
            <w:pPr>
              <w:rPr>
                <w:rFonts w:ascii="Times New Roman" w:hAnsi="Times New Roman" w:cs="Times New Roman"/>
                <w:sz w:val="24"/>
                <w:szCs w:val="24"/>
              </w:rPr>
            </w:pPr>
            <w:r>
              <w:rPr>
                <w:rFonts w:ascii="Times New Roman" w:hAnsi="Times New Roman" w:cs="Times New Roman"/>
                <w:sz w:val="24"/>
                <w:szCs w:val="24"/>
              </w:rPr>
              <w:t>CIT v Manjoo &amp; Co.(2011)335 ITR 527(Kerala)</w:t>
            </w:r>
          </w:p>
        </w:tc>
      </w:tr>
      <w:tr w:rsidR="00072DDA" w:rsidRPr="00084C3E" w:rsidTr="00D81451">
        <w:tc>
          <w:tcPr>
            <w:tcW w:w="738" w:type="dxa"/>
          </w:tcPr>
          <w:p w:rsidR="00072DDA" w:rsidRPr="00084C3E" w:rsidRDefault="00072DDA">
            <w:pPr>
              <w:rPr>
                <w:rFonts w:ascii="Arial Narrow" w:hAnsi="Arial Narrow" w:cs="Times New Roman"/>
                <w:b/>
                <w:sz w:val="20"/>
                <w:szCs w:val="20"/>
              </w:rPr>
            </w:pPr>
            <w:r w:rsidRPr="00084C3E">
              <w:rPr>
                <w:rFonts w:ascii="Arial Narrow" w:hAnsi="Arial Narrow" w:cs="Times New Roman"/>
                <w:b/>
                <w:sz w:val="20"/>
                <w:szCs w:val="20"/>
              </w:rPr>
              <w:t>33</w:t>
            </w:r>
          </w:p>
        </w:tc>
        <w:tc>
          <w:tcPr>
            <w:tcW w:w="3240" w:type="dxa"/>
          </w:tcPr>
          <w:p w:rsidR="00072DDA" w:rsidRPr="00084C3E" w:rsidRDefault="00072DDA" w:rsidP="002C34A4">
            <w:pPr>
              <w:jc w:val="both"/>
              <w:rPr>
                <w:rFonts w:ascii="Arial Narrow" w:hAnsi="Arial Narrow" w:cs="Times New Roman"/>
                <w:sz w:val="20"/>
                <w:szCs w:val="20"/>
              </w:rPr>
            </w:pPr>
            <w:r w:rsidRPr="00084C3E">
              <w:rPr>
                <w:rFonts w:ascii="Arial Narrow" w:hAnsi="Arial Narrow" w:cs="Times New Roman"/>
                <w:sz w:val="20"/>
                <w:szCs w:val="20"/>
              </w:rPr>
              <w:t>Would non-resident match referees &amp; umpires in the games played in India fall within the meaning of sportsmen to attract taxability under the provisions of Sec. 115BBA &amp; consequently attract the TDS provisions u/s 194E in the hands of the payer?</w:t>
            </w:r>
          </w:p>
        </w:tc>
        <w:tc>
          <w:tcPr>
            <w:tcW w:w="3510" w:type="dxa"/>
          </w:tcPr>
          <w:p w:rsidR="00072DDA" w:rsidRPr="00084C3E" w:rsidRDefault="00072DDA" w:rsidP="00072DDA">
            <w:pPr>
              <w:jc w:val="both"/>
              <w:rPr>
                <w:rFonts w:ascii="Arial Narrow" w:hAnsi="Arial Narrow" w:cs="Times New Roman"/>
                <w:sz w:val="20"/>
                <w:szCs w:val="20"/>
              </w:rPr>
            </w:pPr>
            <w:r w:rsidRPr="00084C3E">
              <w:rPr>
                <w:rFonts w:ascii="Arial Narrow" w:hAnsi="Arial Narrow" w:cs="Times New Roman"/>
                <w:sz w:val="20"/>
                <w:szCs w:val="20"/>
              </w:rPr>
              <w:t>The Calcutta High Court observed that in order to attract the provisions of the Sec. 194E, the person should be a non-resident sportsperson or non-resident sports association or institution whose income is taxable as per the provisions of Sec. 115BBA</w:t>
            </w:r>
            <w:r w:rsidR="00084C3E" w:rsidRPr="00084C3E">
              <w:rPr>
                <w:rFonts w:ascii="Arial Narrow" w:hAnsi="Arial Narrow" w:cs="Times New Roman"/>
                <w:sz w:val="20"/>
                <w:szCs w:val="20"/>
              </w:rPr>
              <w:t>.</w:t>
            </w:r>
          </w:p>
          <w:p w:rsidR="00084C3E" w:rsidRPr="00084C3E" w:rsidRDefault="00084C3E" w:rsidP="00072DDA">
            <w:pPr>
              <w:jc w:val="both"/>
              <w:rPr>
                <w:rFonts w:ascii="Arial Narrow" w:hAnsi="Arial Narrow" w:cs="Times New Roman"/>
                <w:sz w:val="20"/>
                <w:szCs w:val="20"/>
              </w:rPr>
            </w:pPr>
            <w:r w:rsidRPr="00084C3E">
              <w:rPr>
                <w:rFonts w:ascii="Arial Narrow" w:hAnsi="Arial Narrow" w:cs="Times New Roman"/>
                <w:sz w:val="20"/>
                <w:szCs w:val="20"/>
              </w:rPr>
              <w:t>The tax deduction provisions are attracted only incase where the deductee is a resident individual, which is not so in the present case.Therefore,although payments made to non-resident umpires &amp; the match referees are “ income” which has accrued &amp; arisen in India, the same are not taxable under the provisions of Sec. 115BBA &amp; hence assessee is not liable to deduct tax u/s 194E</w:t>
            </w:r>
          </w:p>
        </w:tc>
        <w:tc>
          <w:tcPr>
            <w:tcW w:w="2088" w:type="dxa"/>
          </w:tcPr>
          <w:p w:rsidR="00072DDA" w:rsidRPr="00084C3E" w:rsidRDefault="00072DDA" w:rsidP="007528F5">
            <w:pPr>
              <w:rPr>
                <w:rFonts w:ascii="Arial Narrow" w:hAnsi="Arial Narrow" w:cs="Times New Roman"/>
                <w:sz w:val="20"/>
                <w:szCs w:val="20"/>
              </w:rPr>
            </w:pPr>
            <w:r w:rsidRPr="00084C3E">
              <w:rPr>
                <w:rFonts w:ascii="Arial Narrow" w:hAnsi="Arial Narrow" w:cs="Times New Roman"/>
                <w:sz w:val="20"/>
                <w:szCs w:val="20"/>
              </w:rPr>
              <w:t>Indicom V Commissioner of Income Tax (TDS)(2011)335 ITR 485(Calcutta)</w:t>
            </w:r>
          </w:p>
        </w:tc>
      </w:tr>
    </w:tbl>
    <w:p w:rsidR="00D81451" w:rsidRPr="00084C3E" w:rsidRDefault="00D81451">
      <w:pPr>
        <w:rPr>
          <w:rFonts w:ascii="Arial Narrow" w:hAnsi="Arial Narrow" w:cs="Times New Roman"/>
          <w:b/>
          <w:sz w:val="20"/>
          <w:szCs w:val="20"/>
        </w:rPr>
      </w:pPr>
    </w:p>
    <w:sectPr w:rsidR="00D81451" w:rsidRPr="00084C3E" w:rsidSect="00B03E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81451"/>
    <w:rsid w:val="00072DDA"/>
    <w:rsid w:val="00084C3E"/>
    <w:rsid w:val="00093247"/>
    <w:rsid w:val="000D7D3F"/>
    <w:rsid w:val="001E5578"/>
    <w:rsid w:val="001F563E"/>
    <w:rsid w:val="00293C87"/>
    <w:rsid w:val="002B547A"/>
    <w:rsid w:val="002C34A4"/>
    <w:rsid w:val="003B1A40"/>
    <w:rsid w:val="00454589"/>
    <w:rsid w:val="004F29B4"/>
    <w:rsid w:val="00521EC0"/>
    <w:rsid w:val="00546F0F"/>
    <w:rsid w:val="00630513"/>
    <w:rsid w:val="006E3CCC"/>
    <w:rsid w:val="007528F5"/>
    <w:rsid w:val="00780F61"/>
    <w:rsid w:val="008353D2"/>
    <w:rsid w:val="00861753"/>
    <w:rsid w:val="008743E1"/>
    <w:rsid w:val="008A3AD4"/>
    <w:rsid w:val="009178AB"/>
    <w:rsid w:val="009559F1"/>
    <w:rsid w:val="00A20141"/>
    <w:rsid w:val="00AB53DF"/>
    <w:rsid w:val="00B03E61"/>
    <w:rsid w:val="00B50876"/>
    <w:rsid w:val="00B8686A"/>
    <w:rsid w:val="00BA5D9F"/>
    <w:rsid w:val="00C620CE"/>
    <w:rsid w:val="00C666D7"/>
    <w:rsid w:val="00C734C2"/>
    <w:rsid w:val="00C73E75"/>
    <w:rsid w:val="00C92D08"/>
    <w:rsid w:val="00CE00BC"/>
    <w:rsid w:val="00D004E6"/>
    <w:rsid w:val="00D32496"/>
    <w:rsid w:val="00D81451"/>
    <w:rsid w:val="00D818D3"/>
    <w:rsid w:val="00DC625E"/>
    <w:rsid w:val="00DE7028"/>
    <w:rsid w:val="00E03817"/>
    <w:rsid w:val="00F200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14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Word_Document1.doc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10</Pages>
  <Words>3191</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vasantha</dc:creator>
  <cp:lastModifiedBy>vasantha</cp:lastModifiedBy>
  <cp:revision>7</cp:revision>
  <dcterms:created xsi:type="dcterms:W3CDTF">2012-03-22T12:21:00Z</dcterms:created>
  <dcterms:modified xsi:type="dcterms:W3CDTF">2012-03-27T16:23:00Z</dcterms:modified>
</cp:coreProperties>
</file>