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17" w:rsidRDefault="00450917" w:rsidP="00450917">
      <w:pPr>
        <w:pStyle w:val="NormalWeb"/>
      </w:pPr>
      <w:r>
        <w:rPr>
          <w:rStyle w:val="Strong"/>
        </w:rPr>
        <w:t>PCC/IPCC students</w:t>
      </w:r>
      <w:proofErr w:type="gramStart"/>
      <w:r>
        <w:rPr>
          <w:rStyle w:val="Strong"/>
        </w:rPr>
        <w:t>:</w:t>
      </w:r>
      <w:proofErr w:type="gramEnd"/>
      <w:r>
        <w:br/>
        <w:t>1. Initial registration for Professional Competence Course (PCC)/ Integrated</w:t>
      </w:r>
      <w:r>
        <w:br/>
        <w:t>Professional Competence Course (IPCC) is valid for 4 years.</w:t>
      </w:r>
      <w:r>
        <w:br/>
        <w:t>2. Revalidation of registration shall be done for further period of 4 years before</w:t>
      </w:r>
      <w:r>
        <w:br/>
        <w:t>expiry of initial registration. Students who have got their registration revalidated</w:t>
      </w:r>
      <w:r>
        <w:br/>
        <w:t xml:space="preserve">with the concerned </w:t>
      </w:r>
      <w:proofErr w:type="spellStart"/>
      <w:r>
        <w:t>Decentralised</w:t>
      </w:r>
      <w:proofErr w:type="spellEnd"/>
      <w:r>
        <w:t xml:space="preserve"> Offices may have the registration revalidated</w:t>
      </w:r>
      <w:r>
        <w:br/>
        <w:t>every 4 years after the expiry of the earlier revalidated period.</w:t>
      </w:r>
      <w:r>
        <w:br/>
        <w:t>3. Fee for revalidation is Rs. 400/- for each revalidation.</w:t>
      </w:r>
      <w:r>
        <w:br/>
        <w:t>4. Students are required to ensure before applying for admission to PCC/ IPCC</w:t>
      </w:r>
      <w:r>
        <w:br/>
        <w:t>examination that they have valid registration.</w:t>
      </w:r>
      <w:r>
        <w:br/>
        <w:t>5. PCC students who have registered on or before 31st October, 2007 are required to</w:t>
      </w:r>
      <w:r>
        <w:br/>
        <w:t>revalidate their registration before applying for November, 2011 PCC examination.</w:t>
      </w:r>
      <w:r>
        <w:br/>
        <w:t>6. Students who have registered in Intermediate or Professional Education (Course-II</w:t>
      </w:r>
      <w:proofErr w:type="gramStart"/>
      <w:r>
        <w:t>)</w:t>
      </w:r>
      <w:proofErr w:type="gramEnd"/>
      <w:r>
        <w:br/>
        <w:t>are required to switchover to Integrated Professional Competence Course (IPCC) in</w:t>
      </w:r>
      <w:r>
        <w:br/>
        <w:t>order to continue their studies in chartered accountancy course.</w:t>
      </w:r>
    </w:p>
    <w:p w:rsidR="00450917" w:rsidRDefault="00450917" w:rsidP="00450917">
      <w:pPr>
        <w:pStyle w:val="NormalWeb"/>
      </w:pPr>
      <w:r>
        <w:t> </w:t>
      </w:r>
    </w:p>
    <w:p w:rsidR="00450917" w:rsidRDefault="00450917" w:rsidP="00450917">
      <w:pPr>
        <w:pStyle w:val="NormalWeb"/>
      </w:pPr>
      <w:r>
        <w:t>It may be noted that if a student appears in the PCC/IPCC examination without having valid registration, he shall have to pay a penal fee of Rs. 250/- (in addition to the prescribed revalidation fee with retrospective effect) within 30 days prior to the date of declaration of results.</w:t>
      </w:r>
      <w:r>
        <w:br/>
        <w:t xml:space="preserve">Candidates, whose period of initial registration has expired, may apply for revalidation by making an application on plain paper, together with the prescribed fee by way of Demand Draft drawn in </w:t>
      </w:r>
      <w:proofErr w:type="spellStart"/>
      <w:r>
        <w:t>favour</w:t>
      </w:r>
      <w:proofErr w:type="spellEnd"/>
      <w:r>
        <w:t xml:space="preserve"> of “The Secretary, The Institute of Chartered Accountants of India, payable at Mumbai/ Chennai/ Kolkata/ Kanpur/Delhi” as the case may be and forward the same to the </w:t>
      </w:r>
      <w:proofErr w:type="spellStart"/>
      <w:r>
        <w:t>Decentralised</w:t>
      </w:r>
      <w:proofErr w:type="spellEnd"/>
      <w:r>
        <w:t xml:space="preserve"> Office concerned at Mumbai, Chennai, Kolkata, Kanpur and Delhi. The above decision of the Council shall be applicable from November, 2011 examination onwards.</w:t>
      </w:r>
    </w:p>
    <w:p w:rsidR="007F57AD" w:rsidRDefault="007F57AD"/>
    <w:sectPr w:rsidR="007F57AD" w:rsidSect="007F5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50917"/>
    <w:rsid w:val="00450917"/>
    <w:rsid w:val="007F5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0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09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 om</dc:creator>
  <cp:lastModifiedBy>hari om</cp:lastModifiedBy>
  <cp:revision>1</cp:revision>
  <dcterms:created xsi:type="dcterms:W3CDTF">2011-11-20T16:17:00Z</dcterms:created>
  <dcterms:modified xsi:type="dcterms:W3CDTF">2011-11-20T16:18:00Z</dcterms:modified>
</cp:coreProperties>
</file>