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18A" w:rsidRPr="0034318A" w:rsidRDefault="0034318A">
      <w:pPr>
        <w:rPr>
          <w:rFonts w:ascii="Century Gothic" w:hAnsi="Century Gothic"/>
          <w:b/>
          <w:sz w:val="20"/>
          <w:szCs w:val="20"/>
        </w:rPr>
      </w:pPr>
      <w:r w:rsidRPr="0034318A">
        <w:rPr>
          <w:rFonts w:ascii="Century Gothic" w:hAnsi="Century Gothic"/>
          <w:b/>
          <w:sz w:val="20"/>
          <w:szCs w:val="20"/>
        </w:rPr>
        <w:t>KEY POINTS ON NATIONAL SEMINAR ON INTERNATIONAL FINANCIAL REPORTING STANDARD</w:t>
      </w:r>
    </w:p>
    <w:p w:rsidR="0034318A" w:rsidRDefault="0034318A">
      <w:pPr>
        <w:rPr>
          <w:rFonts w:ascii="Century Gothic" w:hAnsi="Century Gothic"/>
          <w:b/>
          <w:sz w:val="20"/>
          <w:szCs w:val="20"/>
        </w:rPr>
      </w:pPr>
      <w:r w:rsidRPr="0034318A">
        <w:rPr>
          <w:rFonts w:ascii="Century Gothic" w:hAnsi="Century Gothic"/>
          <w:b/>
          <w:sz w:val="20"/>
          <w:szCs w:val="20"/>
        </w:rPr>
        <w:t>(Conducted by Institute of Chartered Accountants of India &amp; Shivaji University at Kolhapur)</w:t>
      </w:r>
    </w:p>
    <w:p w:rsidR="0034318A" w:rsidRPr="0034318A" w:rsidRDefault="0034318A">
      <w:pPr>
        <w:rPr>
          <w:rFonts w:ascii="Century Gothic" w:hAnsi="Century Gothic"/>
          <w:b/>
          <w:sz w:val="20"/>
          <w:szCs w:val="20"/>
        </w:rPr>
      </w:pPr>
    </w:p>
    <w:p w:rsidR="00DA3618" w:rsidRPr="006D60BE" w:rsidRDefault="00DA3618">
      <w:pPr>
        <w:rPr>
          <w:rFonts w:ascii="Century Gothic" w:hAnsi="Century Gothic"/>
          <w:sz w:val="20"/>
          <w:szCs w:val="20"/>
        </w:rPr>
      </w:pPr>
      <w:r w:rsidRPr="006D60BE">
        <w:rPr>
          <w:rFonts w:ascii="Century Gothic" w:hAnsi="Century Gothic"/>
          <w:sz w:val="20"/>
          <w:szCs w:val="20"/>
        </w:rPr>
        <w:t>In present era of globalization Indian accounting are mainly divided in two parts:</w:t>
      </w:r>
    </w:p>
    <w:p w:rsidR="00DA3618" w:rsidRPr="006D60BE" w:rsidRDefault="00DA3618" w:rsidP="00DA3618">
      <w:pPr>
        <w:pStyle w:val="ListParagraph"/>
        <w:numPr>
          <w:ilvl w:val="0"/>
          <w:numId w:val="1"/>
        </w:numPr>
        <w:rPr>
          <w:rFonts w:ascii="Century Gothic" w:hAnsi="Century Gothic"/>
          <w:b/>
          <w:sz w:val="20"/>
          <w:szCs w:val="20"/>
        </w:rPr>
      </w:pPr>
      <w:r w:rsidRPr="006D60BE">
        <w:rPr>
          <w:rFonts w:ascii="Century Gothic" w:hAnsi="Century Gothic"/>
          <w:b/>
          <w:sz w:val="20"/>
          <w:szCs w:val="20"/>
        </w:rPr>
        <w:t xml:space="preserve">INDIAN GAAP : </w:t>
      </w:r>
    </w:p>
    <w:p w:rsidR="00DA3618" w:rsidRPr="006D60BE" w:rsidRDefault="00DA3618" w:rsidP="00DA3618">
      <w:pPr>
        <w:pStyle w:val="ListParagraph"/>
        <w:ind w:left="630"/>
        <w:rPr>
          <w:rFonts w:ascii="Century Gothic" w:hAnsi="Century Gothic"/>
          <w:sz w:val="20"/>
          <w:szCs w:val="20"/>
        </w:rPr>
      </w:pPr>
      <w:r w:rsidRPr="006D60BE">
        <w:rPr>
          <w:rFonts w:ascii="Century Gothic" w:hAnsi="Century Gothic"/>
          <w:sz w:val="20"/>
          <w:szCs w:val="20"/>
        </w:rPr>
        <w:t>Indian GAAP presently follows all accounting standards issued by the ICAI (Institute of Chartered Accountants of India), it comprising of total 32 accounting standards and interpretations. Compliance of AS is compulsory for every organization.</w:t>
      </w:r>
    </w:p>
    <w:p w:rsidR="00DA3618" w:rsidRPr="006D60BE" w:rsidRDefault="00DA3618" w:rsidP="00DA3618">
      <w:pPr>
        <w:pStyle w:val="ListParagraph"/>
        <w:ind w:left="630"/>
        <w:rPr>
          <w:rFonts w:ascii="Century Gothic" w:hAnsi="Century Gothic"/>
          <w:sz w:val="20"/>
          <w:szCs w:val="20"/>
        </w:rPr>
      </w:pPr>
    </w:p>
    <w:p w:rsidR="00DA3618" w:rsidRPr="006D60BE" w:rsidRDefault="00DA3618" w:rsidP="00DA3618">
      <w:pPr>
        <w:pStyle w:val="ListParagraph"/>
        <w:numPr>
          <w:ilvl w:val="0"/>
          <w:numId w:val="1"/>
        </w:numPr>
        <w:rPr>
          <w:rFonts w:ascii="Century Gothic" w:hAnsi="Century Gothic"/>
          <w:b/>
          <w:sz w:val="20"/>
          <w:szCs w:val="20"/>
        </w:rPr>
      </w:pPr>
      <w:r w:rsidRPr="006D60BE">
        <w:rPr>
          <w:rFonts w:ascii="Century Gothic" w:hAnsi="Century Gothic"/>
          <w:b/>
          <w:sz w:val="20"/>
          <w:szCs w:val="20"/>
        </w:rPr>
        <w:t>IFRS</w:t>
      </w:r>
      <w:r w:rsidRPr="006D60BE">
        <w:rPr>
          <w:rFonts w:ascii="Century Gothic" w:hAnsi="Century Gothic"/>
          <w:b/>
          <w:sz w:val="20"/>
          <w:szCs w:val="20"/>
        </w:rPr>
        <w:tab/>
      </w:r>
      <w:r w:rsidRPr="006D60BE">
        <w:rPr>
          <w:rFonts w:ascii="Century Gothic" w:hAnsi="Century Gothic"/>
          <w:b/>
          <w:sz w:val="20"/>
          <w:szCs w:val="20"/>
        </w:rPr>
        <w:tab/>
      </w:r>
    </w:p>
    <w:p w:rsidR="00DA3618" w:rsidRPr="006D60BE" w:rsidRDefault="00DA3618" w:rsidP="00DA3618">
      <w:pPr>
        <w:ind w:left="630"/>
        <w:rPr>
          <w:rFonts w:ascii="Century Gothic" w:hAnsi="Century Gothic"/>
          <w:sz w:val="20"/>
          <w:szCs w:val="20"/>
        </w:rPr>
      </w:pPr>
      <w:r w:rsidRPr="006D60BE">
        <w:rPr>
          <w:rFonts w:ascii="Century Gothic" w:eastAsia="Times New Roman" w:hAnsi="Century Gothic" w:cs="Times New Roman"/>
          <w:bCs/>
          <w:color w:val="000000"/>
          <w:sz w:val="20"/>
          <w:szCs w:val="20"/>
        </w:rPr>
        <w:t>With the growth of Indian economy &amp; increasing integration with the global economies, Indian corporate is raising capital globally. Under the circumstances it would be imperative for Indian corporate to adopt IFRS for their financial reporting. Presently Indian companies which listed on global stock exchanges are following IFRS for their financial reporting.</w:t>
      </w:r>
    </w:p>
    <w:p w:rsidR="00DA3618" w:rsidRPr="006D60BE" w:rsidRDefault="00DA3618" w:rsidP="00DA3618">
      <w:pPr>
        <w:ind w:left="630"/>
        <w:rPr>
          <w:rFonts w:ascii="Century Gothic" w:hAnsi="Century Gothic"/>
          <w:sz w:val="20"/>
          <w:szCs w:val="20"/>
        </w:rPr>
      </w:pPr>
      <w:r w:rsidRPr="006D60BE">
        <w:rPr>
          <w:rFonts w:ascii="Century Gothic" w:hAnsi="Century Gothic"/>
          <w:sz w:val="20"/>
          <w:szCs w:val="20"/>
        </w:rPr>
        <w:t>IFRS Composition</w:t>
      </w:r>
    </w:p>
    <w:p w:rsidR="00DA3618" w:rsidRPr="006D60BE" w:rsidRDefault="0034318A" w:rsidP="00DA3618">
      <w:pPr>
        <w:ind w:left="630"/>
        <w:rPr>
          <w:rFonts w:ascii="Century Gothic" w:hAnsi="Century Gothic"/>
          <w:sz w:val="20"/>
          <w:szCs w:val="20"/>
        </w:rPr>
      </w:pPr>
      <w:r>
        <w:rPr>
          <w:rFonts w:ascii="Century Gothic" w:hAnsi="Century Gothic"/>
          <w:sz w:val="20"/>
          <w:szCs w:val="20"/>
        </w:rPr>
        <w:t xml:space="preserve">29 (IAS) + 11 (SIC) </w:t>
      </w:r>
      <w:r w:rsidR="00DA3618" w:rsidRPr="006D60BE">
        <w:rPr>
          <w:rFonts w:ascii="Century Gothic" w:hAnsi="Century Gothic"/>
          <w:sz w:val="20"/>
          <w:szCs w:val="20"/>
        </w:rPr>
        <w:t>+ 8 (IFRS) + 16 (IFRIC) = 64 IFRS</w:t>
      </w:r>
    </w:p>
    <w:p w:rsidR="00DA3618" w:rsidRPr="006D60BE" w:rsidRDefault="00DA3618" w:rsidP="00DA3618">
      <w:pPr>
        <w:ind w:left="630"/>
        <w:rPr>
          <w:rFonts w:ascii="Century Gothic" w:hAnsi="Century Gothic"/>
          <w:sz w:val="20"/>
          <w:szCs w:val="20"/>
        </w:rPr>
      </w:pPr>
      <w:r w:rsidRPr="006D60BE">
        <w:rPr>
          <w:rFonts w:ascii="Century Gothic" w:hAnsi="Century Gothic"/>
          <w:sz w:val="20"/>
          <w:szCs w:val="20"/>
        </w:rPr>
        <w:t>IAS stands for International Accounting standard issued before April 2001</w:t>
      </w:r>
    </w:p>
    <w:p w:rsidR="00DA3618" w:rsidRPr="006D60BE" w:rsidRDefault="00DA3618" w:rsidP="00DA3618">
      <w:pPr>
        <w:ind w:left="630"/>
        <w:rPr>
          <w:rFonts w:ascii="Century Gothic" w:hAnsi="Century Gothic"/>
          <w:sz w:val="20"/>
          <w:szCs w:val="20"/>
        </w:rPr>
      </w:pPr>
      <w:r w:rsidRPr="006D60BE">
        <w:rPr>
          <w:rFonts w:ascii="Century Gothic" w:hAnsi="Century Gothic"/>
          <w:sz w:val="20"/>
          <w:szCs w:val="20"/>
        </w:rPr>
        <w:t>IFRS stands for International financial reporting standards issued after April 2001</w:t>
      </w:r>
    </w:p>
    <w:p w:rsidR="00DA3618" w:rsidRPr="006D60BE" w:rsidRDefault="00DA3618" w:rsidP="00DA3618">
      <w:pPr>
        <w:ind w:left="630"/>
        <w:rPr>
          <w:rFonts w:ascii="Century Gothic" w:hAnsi="Century Gothic"/>
          <w:sz w:val="20"/>
          <w:szCs w:val="20"/>
        </w:rPr>
      </w:pPr>
      <w:r w:rsidRPr="006D60BE">
        <w:rPr>
          <w:rFonts w:ascii="Century Gothic" w:hAnsi="Century Gothic"/>
          <w:sz w:val="20"/>
          <w:szCs w:val="20"/>
        </w:rPr>
        <w:t>SIC &amp; IFRIC are stands for Interpretations on IAS &amp; IFRS respectively</w:t>
      </w:r>
    </w:p>
    <w:p w:rsidR="006D519E" w:rsidRPr="006D60BE" w:rsidRDefault="006D519E" w:rsidP="006D519E">
      <w:pPr>
        <w:jc w:val="both"/>
        <w:rPr>
          <w:rFonts w:ascii="Century Gothic" w:hAnsi="Century Gothic" w:cs="Times New Roman"/>
          <w:b/>
          <w:sz w:val="20"/>
          <w:szCs w:val="20"/>
        </w:rPr>
      </w:pPr>
      <w:r w:rsidRPr="006D60BE">
        <w:rPr>
          <w:rFonts w:ascii="Century Gothic" w:hAnsi="Century Gothic" w:cs="Times New Roman"/>
          <w:b/>
          <w:sz w:val="20"/>
          <w:szCs w:val="20"/>
        </w:rPr>
        <w:t>Some of the divergences between Indian GAAP and IFRS are summarized as under:</w:t>
      </w:r>
    </w:p>
    <w:p w:rsidR="006D519E" w:rsidRPr="006D60BE" w:rsidRDefault="006D519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Special Purpose Entities (SPE) falling under the definition of ‘control’ as per IAS 27 on “Consolidated and Separate Financial Statements” shall be consolidated</w:t>
      </w:r>
    </w:p>
    <w:p w:rsidR="00DC0B2D" w:rsidRPr="006D60BE" w:rsidRDefault="00DC0B2D" w:rsidP="00DC0B2D">
      <w:pPr>
        <w:pStyle w:val="ListParagraph"/>
        <w:ind w:left="1470"/>
        <w:jc w:val="both"/>
        <w:rPr>
          <w:rFonts w:ascii="Century Gothic" w:hAnsi="Century Gothic" w:cs="Times New Roman"/>
          <w:sz w:val="20"/>
          <w:szCs w:val="20"/>
        </w:rPr>
      </w:pPr>
    </w:p>
    <w:p w:rsidR="006D519E" w:rsidRPr="006D60BE" w:rsidRDefault="006D519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Potential Voting Rights’ that are currently exercisable or convertible shall be considered to assess the Existence of control</w:t>
      </w:r>
    </w:p>
    <w:p w:rsidR="00DC0B2D" w:rsidRPr="006D60BE" w:rsidRDefault="00DC0B2D" w:rsidP="00DC0B2D">
      <w:pPr>
        <w:pStyle w:val="ListParagraph"/>
        <w:rPr>
          <w:rFonts w:ascii="Century Gothic" w:hAnsi="Century Gothic" w:cs="Times New Roman"/>
          <w:sz w:val="20"/>
          <w:szCs w:val="20"/>
        </w:rPr>
      </w:pPr>
    </w:p>
    <w:p w:rsidR="006D519E" w:rsidRPr="006D60BE" w:rsidRDefault="006D519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All business combinations shall be accounted as per purchase method at fair values.</w:t>
      </w:r>
    </w:p>
    <w:p w:rsidR="00DC0B2D" w:rsidRPr="006D60BE" w:rsidRDefault="00DC0B2D" w:rsidP="00DC0B2D">
      <w:pPr>
        <w:pStyle w:val="ListParagraph"/>
        <w:rPr>
          <w:rFonts w:ascii="Century Gothic" w:hAnsi="Century Gothic" w:cs="Times New Roman"/>
          <w:sz w:val="20"/>
          <w:szCs w:val="20"/>
        </w:rPr>
      </w:pPr>
    </w:p>
    <w:p w:rsidR="006D519E" w:rsidRPr="006D60BE" w:rsidRDefault="006D519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Contingent liabilities, taken over in a business combination, shall be included in net Assets, measured at fair value, if contingencies have since been </w:t>
      </w:r>
      <w:r w:rsidR="00DC0B2D" w:rsidRPr="006D60BE">
        <w:rPr>
          <w:rFonts w:ascii="Century Gothic" w:hAnsi="Century Gothic" w:cs="Times New Roman"/>
          <w:sz w:val="20"/>
          <w:szCs w:val="20"/>
        </w:rPr>
        <w:t>resolved,</w:t>
      </w:r>
      <w:r w:rsidRPr="006D60BE">
        <w:rPr>
          <w:rFonts w:ascii="Century Gothic" w:hAnsi="Century Gothic" w:cs="Times New Roman"/>
          <w:sz w:val="20"/>
          <w:szCs w:val="20"/>
        </w:rPr>
        <w:t xml:space="preserve"> a reliable estimate can be made and payment is probable.</w:t>
      </w:r>
    </w:p>
    <w:p w:rsidR="00DC0B2D" w:rsidRPr="006D60BE" w:rsidRDefault="00DC0B2D" w:rsidP="00DC0B2D">
      <w:pPr>
        <w:pStyle w:val="ListParagraph"/>
        <w:rPr>
          <w:rFonts w:ascii="Century Gothic" w:hAnsi="Century Gothic" w:cs="Times New Roman"/>
          <w:sz w:val="20"/>
          <w:szCs w:val="20"/>
        </w:rPr>
      </w:pPr>
    </w:p>
    <w:p w:rsidR="006D519E" w:rsidRPr="006D60BE" w:rsidRDefault="006D519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Negative goodwill arising on business combination/ consolidation shall be accounted as income instead of capital reserve.</w:t>
      </w:r>
    </w:p>
    <w:p w:rsidR="00DC0B2D" w:rsidRPr="006D60BE" w:rsidRDefault="00DC0B2D" w:rsidP="00DC0B2D">
      <w:pPr>
        <w:pStyle w:val="ListParagraph"/>
        <w:rPr>
          <w:rFonts w:ascii="Century Gothic" w:hAnsi="Century Gothic" w:cs="Times New Roman"/>
          <w:sz w:val="20"/>
          <w:szCs w:val="20"/>
        </w:rPr>
      </w:pPr>
    </w:p>
    <w:p w:rsidR="006D519E" w:rsidRPr="006D60BE" w:rsidRDefault="006D519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lastRenderedPageBreak/>
        <w:t>Goodwill shall not be amortized. It shall only be tested for impairment.</w:t>
      </w:r>
    </w:p>
    <w:p w:rsidR="006D519E" w:rsidRPr="006D60BE" w:rsidRDefault="006D519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PP&amp;E and Intangible assets shall be measured either at cost or at revalued amount. Periodical valuation of entire classes’ of assets is required when revaluation option is chosen.</w:t>
      </w:r>
    </w:p>
    <w:p w:rsidR="00DC0B2D" w:rsidRPr="006D60BE" w:rsidRDefault="00DC0B2D" w:rsidP="00DC0B2D">
      <w:pPr>
        <w:pStyle w:val="ListParagraph"/>
        <w:ind w:left="1470"/>
        <w:jc w:val="both"/>
        <w:rPr>
          <w:rFonts w:ascii="Century Gothic" w:hAnsi="Century Gothic" w:cs="Times New Roman"/>
          <w:sz w:val="20"/>
          <w:szCs w:val="20"/>
        </w:rPr>
      </w:pPr>
    </w:p>
    <w:p w:rsidR="006D519E" w:rsidRPr="006D60BE" w:rsidRDefault="006D519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Intangible assets can be revalued only when there is an active market for the same.</w:t>
      </w:r>
    </w:p>
    <w:p w:rsidR="00DC0B2D" w:rsidRPr="006D60BE" w:rsidRDefault="00DC0B2D" w:rsidP="00DC0B2D">
      <w:pPr>
        <w:pStyle w:val="ListParagraph"/>
        <w:rPr>
          <w:rFonts w:ascii="Century Gothic" w:hAnsi="Century Gothic" w:cs="Times New Roman"/>
          <w:sz w:val="20"/>
          <w:szCs w:val="20"/>
        </w:rPr>
      </w:pPr>
    </w:p>
    <w:p w:rsidR="006D519E" w:rsidRPr="006D60BE" w:rsidRDefault="006D519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Depreciation on revalued portion cannot recoup out of revaluation reserve.</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Depreciation to be calculated based on useful life, which along with residual value and depreciation method shall be reviewed annually.</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Intangible assets may have an indefinite life e.g. Trademarks, Goodwill, Franchise.</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Investment Properties. Land or building held to earn rentals or for capital appreciation, shall be measured either at cost or fair values.</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If fair value model is adopted changes in fair value measured annually, shall be recognized in the income statement.</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No distinction shall be made between integral and non –integral foreign operations. All foreign operations to be consolidated using non-integral approach.</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Exchanges differences shall not be capitalized except to the extent of that allowed by IAS 23 Borrowing Costs.</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Share Based Payments shall be measured at fair value.</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Deferred Tax shall be created on temporary difference instead of timing difference.</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Liability portion of compound financial instruments, such as convertible debentures, shall be separately accounted for.</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Financial assets and Liabilities shall be classified and measured accordingly as per the requirements of IAS 39 Financial Instruments: Recognition and Measurement.</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All derivative financial assets and liabilities including embedded derivatives shall be accounted for as on the balance sheet items.</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lastRenderedPageBreak/>
        <w:t xml:space="preserve"> </w:t>
      </w:r>
      <w:r w:rsidR="006D519E" w:rsidRPr="006D60BE">
        <w:rPr>
          <w:rFonts w:ascii="Century Gothic" w:hAnsi="Century Gothic" w:cs="Times New Roman"/>
          <w:sz w:val="20"/>
          <w:szCs w:val="20"/>
        </w:rPr>
        <w:t>Derivatives classified as ‘hedge’ shall have to comply with various requirements of IAS 39 viz. documentation. Hedge effective testing and ineffectiveness measurement.</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De-recognition of financial assets, as in the case of securitization, shall be based on risks and reward, transfer of ‘control’ being a secondary test.</w:t>
      </w:r>
    </w:p>
    <w:p w:rsidR="00DC0B2D" w:rsidRPr="006D60BE" w:rsidRDefault="00DC0B2D" w:rsidP="00DC0B2D">
      <w:pPr>
        <w:pStyle w:val="ListParagraph"/>
        <w:rPr>
          <w:rFonts w:ascii="Century Gothic" w:hAnsi="Century Gothic" w:cs="Times New Roman"/>
          <w:sz w:val="20"/>
          <w:szCs w:val="20"/>
        </w:rPr>
      </w:pPr>
    </w:p>
    <w:p w:rsidR="006D519E" w:rsidRPr="006D60BE" w:rsidRDefault="006D60BE" w:rsidP="00DC0B2D">
      <w:pPr>
        <w:pStyle w:val="ListParagraph"/>
        <w:numPr>
          <w:ilvl w:val="0"/>
          <w:numId w:val="15"/>
        </w:numPr>
        <w:jc w:val="both"/>
        <w:rPr>
          <w:rFonts w:ascii="Century Gothic" w:hAnsi="Century Gothic" w:cs="Times New Roman"/>
          <w:sz w:val="20"/>
          <w:szCs w:val="20"/>
        </w:rPr>
      </w:pPr>
      <w:r w:rsidRPr="006D60BE">
        <w:rPr>
          <w:rFonts w:ascii="Century Gothic" w:hAnsi="Century Gothic" w:cs="Times New Roman"/>
          <w:sz w:val="20"/>
          <w:szCs w:val="20"/>
        </w:rPr>
        <w:t xml:space="preserve"> </w:t>
      </w:r>
      <w:r w:rsidR="006D519E" w:rsidRPr="006D60BE">
        <w:rPr>
          <w:rFonts w:ascii="Century Gothic" w:hAnsi="Century Gothic" w:cs="Times New Roman"/>
          <w:sz w:val="20"/>
          <w:szCs w:val="20"/>
        </w:rPr>
        <w:t xml:space="preserve">Provision shall be created only to the extent they relate to a specified risk that can be measured reliable and for incurred losses. No provisions are permitted for future or expected losses i.e. general provisions.  </w:t>
      </w:r>
    </w:p>
    <w:p w:rsidR="00DA3618" w:rsidRPr="006D60BE" w:rsidRDefault="00DA3618" w:rsidP="00DA3618">
      <w:pPr>
        <w:rPr>
          <w:rFonts w:ascii="Century Gothic" w:hAnsi="Century Gothic"/>
          <w:b/>
          <w:sz w:val="20"/>
          <w:szCs w:val="20"/>
        </w:rPr>
      </w:pPr>
      <w:r w:rsidRPr="006D60BE">
        <w:rPr>
          <w:rFonts w:ascii="Century Gothic" w:hAnsi="Century Gothic"/>
          <w:b/>
          <w:sz w:val="20"/>
          <w:szCs w:val="20"/>
        </w:rPr>
        <w:t>Current Perspective in India:</w:t>
      </w:r>
    </w:p>
    <w:p w:rsidR="0057465C" w:rsidRPr="006D60BE" w:rsidRDefault="00DA3618" w:rsidP="00DA3618">
      <w:pPr>
        <w:rPr>
          <w:rFonts w:ascii="Century Gothic" w:hAnsi="Century Gothic"/>
          <w:sz w:val="20"/>
          <w:szCs w:val="20"/>
        </w:rPr>
      </w:pPr>
      <w:r w:rsidRPr="006D60BE">
        <w:rPr>
          <w:rFonts w:ascii="Century Gothic" w:hAnsi="Century Gothic"/>
          <w:sz w:val="20"/>
          <w:szCs w:val="20"/>
        </w:rPr>
        <w:t xml:space="preserve">The accounting standards board (ASB) of ICAI </w:t>
      </w:r>
      <w:r w:rsidR="0057465C" w:rsidRPr="006D60BE">
        <w:rPr>
          <w:rFonts w:ascii="Century Gothic" w:hAnsi="Century Gothic"/>
          <w:sz w:val="20"/>
          <w:szCs w:val="20"/>
        </w:rPr>
        <w:t>formulates accounting standards based on IFRS keeping in view the local conditions including legal &amp; economic environment, which have recently notified by central government. New Indian</w:t>
      </w:r>
      <w:r w:rsidR="0034318A">
        <w:rPr>
          <w:rFonts w:ascii="Century Gothic" w:hAnsi="Century Gothic"/>
          <w:sz w:val="20"/>
          <w:szCs w:val="20"/>
        </w:rPr>
        <w:t xml:space="preserve"> IFRS is renamed as IND-AS</w:t>
      </w:r>
      <w:r w:rsidR="0057465C" w:rsidRPr="006D60BE">
        <w:rPr>
          <w:rFonts w:ascii="Century Gothic" w:hAnsi="Century Gothic"/>
          <w:sz w:val="20"/>
          <w:szCs w:val="20"/>
        </w:rPr>
        <w:t>.</w:t>
      </w:r>
    </w:p>
    <w:p w:rsidR="0057465C" w:rsidRPr="006D60BE" w:rsidRDefault="0057465C" w:rsidP="00DA3618">
      <w:pPr>
        <w:rPr>
          <w:rFonts w:ascii="Century Gothic" w:hAnsi="Century Gothic"/>
          <w:sz w:val="20"/>
          <w:szCs w:val="20"/>
        </w:rPr>
      </w:pPr>
      <w:r w:rsidRPr="006D60BE">
        <w:rPr>
          <w:rFonts w:ascii="Century Gothic" w:hAnsi="Century Gothic"/>
          <w:sz w:val="20"/>
          <w:szCs w:val="20"/>
        </w:rPr>
        <w:t>Now Indian accounting standards are</w:t>
      </w:r>
      <w:r w:rsidR="0034318A">
        <w:rPr>
          <w:rFonts w:ascii="Century Gothic" w:hAnsi="Century Gothic"/>
          <w:sz w:val="20"/>
          <w:szCs w:val="20"/>
        </w:rPr>
        <w:t xml:space="preserve"> getting converted into IND-AS</w:t>
      </w:r>
      <w:r w:rsidRPr="006D60BE">
        <w:rPr>
          <w:rFonts w:ascii="Century Gothic" w:hAnsi="Century Gothic"/>
          <w:sz w:val="20"/>
          <w:szCs w:val="20"/>
        </w:rPr>
        <w:t xml:space="preserve"> (Convergence with IFRS)</w:t>
      </w:r>
    </w:p>
    <w:p w:rsidR="0057465C" w:rsidRPr="006D60BE" w:rsidRDefault="00F26E49" w:rsidP="00DA3618">
      <w:pPr>
        <w:rPr>
          <w:rFonts w:ascii="Century Gothic" w:hAnsi="Century Gothic"/>
          <w:sz w:val="20"/>
          <w:szCs w:val="20"/>
        </w:rPr>
      </w:pPr>
      <w:r w:rsidRPr="006D60BE">
        <w:rPr>
          <w:rFonts w:ascii="Century Gothic" w:hAnsi="Century Gothic"/>
          <w:sz w:val="20"/>
          <w:szCs w:val="20"/>
        </w:rPr>
        <w:t>Here convergence</w:t>
      </w:r>
      <w:r w:rsidR="0057465C" w:rsidRPr="006D60BE">
        <w:rPr>
          <w:rFonts w:ascii="Century Gothic" w:hAnsi="Century Gothic"/>
          <w:sz w:val="20"/>
          <w:szCs w:val="20"/>
        </w:rPr>
        <w:t xml:space="preserve"> means </w:t>
      </w:r>
      <w:r w:rsidRPr="006D60BE">
        <w:rPr>
          <w:rFonts w:ascii="Century Gothic" w:hAnsi="Century Gothic"/>
          <w:sz w:val="20"/>
          <w:szCs w:val="20"/>
        </w:rPr>
        <w:t>to achieve harmony with IFRS. Convergence doesn’t mean that IFRS adopted word by wor</w:t>
      </w:r>
      <w:r w:rsidR="00DC0B2D" w:rsidRPr="006D60BE">
        <w:rPr>
          <w:rFonts w:ascii="Century Gothic" w:hAnsi="Century Gothic"/>
          <w:sz w:val="20"/>
          <w:szCs w:val="20"/>
        </w:rPr>
        <w:t xml:space="preserve">d (as it did by Pakistan &amp; </w:t>
      </w:r>
      <w:r w:rsidRPr="006D60BE">
        <w:rPr>
          <w:rFonts w:ascii="Century Gothic" w:hAnsi="Century Gothic"/>
          <w:sz w:val="20"/>
          <w:szCs w:val="20"/>
        </w:rPr>
        <w:t>Lanka)</w:t>
      </w:r>
    </w:p>
    <w:p w:rsidR="00722AEE" w:rsidRDefault="00F26E49" w:rsidP="001660B7">
      <w:r w:rsidRPr="00F26E49">
        <w:rPr>
          <w:noProof/>
        </w:rPr>
        <w:drawing>
          <wp:inline distT="0" distB="0" distL="0" distR="0">
            <wp:extent cx="6437409" cy="2798859"/>
            <wp:effectExtent l="19050" t="0" r="1491" b="0"/>
            <wp:docPr id="4" name="Picture 1" descr="http://www.caclubindia.com/editor_upload/9310767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clubindia.com/editor_upload/9310767483.jpg"/>
                    <pic:cNvPicPr>
                      <a:picLocks noChangeAspect="1" noChangeArrowheads="1"/>
                    </pic:cNvPicPr>
                  </pic:nvPicPr>
                  <pic:blipFill>
                    <a:blip r:embed="rId8"/>
                    <a:srcRect/>
                    <a:stretch>
                      <a:fillRect/>
                    </a:stretch>
                  </pic:blipFill>
                  <pic:spPr bwMode="auto">
                    <a:xfrm>
                      <a:off x="0" y="0"/>
                      <a:ext cx="6437409" cy="2798859"/>
                    </a:xfrm>
                    <a:prstGeom prst="rect">
                      <a:avLst/>
                    </a:prstGeom>
                    <a:noFill/>
                    <a:ln w="9525">
                      <a:noFill/>
                      <a:miter lim="800000"/>
                      <a:headEnd/>
                      <a:tailEnd/>
                    </a:ln>
                  </pic:spPr>
                </pic:pic>
              </a:graphicData>
            </a:graphic>
          </wp:inline>
        </w:drawing>
      </w:r>
    </w:p>
    <w:p w:rsidR="0034318A" w:rsidRDefault="0034318A" w:rsidP="00DA3618">
      <w:pPr>
        <w:rPr>
          <w:rFonts w:ascii="Century Gothic" w:hAnsi="Century Gothic"/>
          <w:b/>
          <w:sz w:val="20"/>
          <w:szCs w:val="20"/>
        </w:rPr>
      </w:pPr>
    </w:p>
    <w:p w:rsidR="0034318A" w:rsidRDefault="0034318A" w:rsidP="00DA3618">
      <w:pPr>
        <w:rPr>
          <w:rFonts w:ascii="Century Gothic" w:hAnsi="Century Gothic"/>
          <w:b/>
          <w:sz w:val="20"/>
          <w:szCs w:val="20"/>
        </w:rPr>
      </w:pPr>
    </w:p>
    <w:p w:rsidR="0034318A" w:rsidRDefault="0034318A" w:rsidP="00DA3618">
      <w:pPr>
        <w:rPr>
          <w:rFonts w:ascii="Century Gothic" w:hAnsi="Century Gothic"/>
          <w:b/>
          <w:sz w:val="20"/>
          <w:szCs w:val="20"/>
        </w:rPr>
      </w:pPr>
    </w:p>
    <w:p w:rsidR="0034318A" w:rsidRDefault="0034318A" w:rsidP="00DA3618">
      <w:pPr>
        <w:rPr>
          <w:rFonts w:ascii="Century Gothic" w:hAnsi="Century Gothic"/>
          <w:b/>
          <w:sz w:val="20"/>
          <w:szCs w:val="20"/>
        </w:rPr>
      </w:pPr>
    </w:p>
    <w:p w:rsidR="0034318A" w:rsidRDefault="0034318A" w:rsidP="00DA3618">
      <w:pPr>
        <w:rPr>
          <w:rFonts w:ascii="Century Gothic" w:hAnsi="Century Gothic"/>
          <w:b/>
          <w:sz w:val="20"/>
          <w:szCs w:val="20"/>
        </w:rPr>
      </w:pPr>
    </w:p>
    <w:p w:rsidR="00F26E49" w:rsidRPr="0034318A" w:rsidRDefault="00F26E49" w:rsidP="00DA3618">
      <w:pPr>
        <w:rPr>
          <w:rFonts w:ascii="Century Gothic" w:hAnsi="Century Gothic"/>
          <w:b/>
          <w:sz w:val="20"/>
          <w:szCs w:val="20"/>
        </w:rPr>
      </w:pPr>
      <w:r w:rsidRPr="0034318A">
        <w:rPr>
          <w:rFonts w:ascii="Century Gothic" w:hAnsi="Century Gothic"/>
          <w:b/>
          <w:sz w:val="20"/>
          <w:szCs w:val="20"/>
        </w:rPr>
        <w:lastRenderedPageBreak/>
        <w:t>Consistent financial reporting basis:</w:t>
      </w:r>
    </w:p>
    <w:p w:rsidR="0034318A" w:rsidRDefault="00A81D09" w:rsidP="00DA3618">
      <w:pPr>
        <w:rPr>
          <w:rFonts w:ascii="Century Gothic" w:hAnsi="Century Gothic"/>
          <w:sz w:val="20"/>
          <w:szCs w:val="20"/>
        </w:rPr>
      </w:pPr>
      <w:r w:rsidRPr="0034318A">
        <w:rPr>
          <w:rFonts w:ascii="Century Gothic" w:hAnsi="Century Gothic"/>
          <w:sz w:val="20"/>
          <w:szCs w:val="20"/>
        </w:rPr>
        <w:t>A consistent financial reporting basis would allow a multinational company like us to apply common accounting standards with its Holding / Subsidiaries worldwide, which would improve internal communications, quality of reporting and group decision making.</w:t>
      </w:r>
    </w:p>
    <w:p w:rsidR="00A81D09" w:rsidRDefault="00A81D09" w:rsidP="00DA3618">
      <w:r>
        <w:rPr>
          <w:noProof/>
        </w:rPr>
        <w:drawing>
          <wp:inline distT="0" distB="0" distL="0" distR="0">
            <wp:extent cx="5286706" cy="3101009"/>
            <wp:effectExtent l="19050" t="0" r="9194"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4318A" w:rsidRDefault="0034318A" w:rsidP="00E07A94"/>
    <w:p w:rsidR="00E07A94" w:rsidRPr="0034318A" w:rsidRDefault="00E07A94" w:rsidP="00E07A94">
      <w:pPr>
        <w:rPr>
          <w:rFonts w:ascii="Century Gothic" w:hAnsi="Century Gothic"/>
          <w:sz w:val="20"/>
          <w:szCs w:val="20"/>
        </w:rPr>
      </w:pPr>
      <w:r w:rsidRPr="0034318A">
        <w:rPr>
          <w:rFonts w:ascii="Century Gothic" w:hAnsi="Century Gothic"/>
          <w:sz w:val="20"/>
          <w:szCs w:val="20"/>
        </w:rPr>
        <w:t xml:space="preserve">On the basis of this examination, the ICAI has classified various IFRSs into the following five categories: </w:t>
      </w:r>
    </w:p>
    <w:p w:rsidR="00E07A94" w:rsidRPr="0034318A" w:rsidRDefault="00E07A94" w:rsidP="00E07A94">
      <w:pPr>
        <w:rPr>
          <w:rFonts w:ascii="Century Gothic" w:hAnsi="Century Gothic"/>
          <w:sz w:val="20"/>
          <w:szCs w:val="20"/>
        </w:rPr>
      </w:pPr>
      <w:r w:rsidRPr="0034318A">
        <w:rPr>
          <w:rFonts w:ascii="Century Gothic" w:hAnsi="Century Gothic"/>
          <w:b/>
          <w:sz w:val="20"/>
          <w:szCs w:val="20"/>
        </w:rPr>
        <w:t>Category I</w:t>
      </w:r>
      <w:r w:rsidRPr="0034318A">
        <w:rPr>
          <w:rFonts w:ascii="Century Gothic" w:hAnsi="Century Gothic"/>
          <w:sz w:val="20"/>
          <w:szCs w:val="20"/>
        </w:rPr>
        <w:t xml:space="preserve"> - IFRSs which do not involve any legal or regulatory issues nor have any issues with regard to their suitability in the existing economic environment, preparedness of industry and any conceptual differences from the Indian Accounting Standards. This category has further been classified into two parts as follows:  </w:t>
      </w:r>
    </w:p>
    <w:p w:rsidR="00E07A94" w:rsidRPr="0034318A" w:rsidRDefault="00655F52" w:rsidP="00E07A94">
      <w:pPr>
        <w:rPr>
          <w:rFonts w:ascii="Century Gothic" w:hAnsi="Century Gothic"/>
          <w:sz w:val="20"/>
          <w:szCs w:val="20"/>
        </w:rPr>
      </w:pPr>
      <w:r w:rsidRPr="0034318A">
        <w:rPr>
          <w:rFonts w:ascii="Century Gothic" w:hAnsi="Century Gothic"/>
          <w:sz w:val="20"/>
          <w:szCs w:val="20"/>
        </w:rPr>
        <w:t>Category I</w:t>
      </w:r>
      <w:r w:rsidR="00E07A94" w:rsidRPr="0034318A">
        <w:rPr>
          <w:rFonts w:ascii="Century Gothic" w:hAnsi="Century Gothic"/>
          <w:sz w:val="20"/>
          <w:szCs w:val="20"/>
        </w:rPr>
        <w:t xml:space="preserve">A - IFRSs which can be adopted immediately as these do not have any differences with the corresponding Indian Accounting Standards. The following IFRSs have been identified in this category: </w:t>
      </w:r>
    </w:p>
    <w:p w:rsidR="00E07A94" w:rsidRPr="0034318A" w:rsidRDefault="00E07A94" w:rsidP="00E07A94">
      <w:pPr>
        <w:pStyle w:val="ListParagraph"/>
        <w:numPr>
          <w:ilvl w:val="0"/>
          <w:numId w:val="2"/>
        </w:numPr>
        <w:rPr>
          <w:rFonts w:ascii="Century Gothic" w:hAnsi="Century Gothic"/>
          <w:sz w:val="20"/>
          <w:szCs w:val="20"/>
        </w:rPr>
      </w:pPr>
      <w:r w:rsidRPr="0034318A">
        <w:rPr>
          <w:rFonts w:ascii="Century Gothic" w:hAnsi="Century Gothic"/>
          <w:sz w:val="20"/>
          <w:szCs w:val="20"/>
        </w:rPr>
        <w:t xml:space="preserve">IAS 11, Construction Contracts </w:t>
      </w:r>
    </w:p>
    <w:p w:rsidR="00E07A94" w:rsidRPr="0034318A" w:rsidRDefault="00E07A94" w:rsidP="00E07A94">
      <w:pPr>
        <w:pStyle w:val="ListParagraph"/>
        <w:numPr>
          <w:ilvl w:val="0"/>
          <w:numId w:val="2"/>
        </w:numPr>
        <w:rPr>
          <w:rFonts w:ascii="Century Gothic" w:hAnsi="Century Gothic"/>
          <w:sz w:val="20"/>
          <w:szCs w:val="20"/>
        </w:rPr>
      </w:pPr>
      <w:r w:rsidRPr="0034318A">
        <w:rPr>
          <w:rFonts w:ascii="Century Gothic" w:hAnsi="Century Gothic"/>
          <w:sz w:val="20"/>
          <w:szCs w:val="20"/>
        </w:rPr>
        <w:t xml:space="preserve">IAS 23, Borrowing Costs </w:t>
      </w:r>
    </w:p>
    <w:p w:rsidR="00E07A94" w:rsidRPr="0034318A" w:rsidRDefault="00E07A94" w:rsidP="00E07A94">
      <w:pPr>
        <w:rPr>
          <w:rFonts w:ascii="Century Gothic" w:hAnsi="Century Gothic"/>
          <w:sz w:val="20"/>
          <w:szCs w:val="20"/>
        </w:rPr>
      </w:pPr>
      <w:r w:rsidRPr="0034318A">
        <w:rPr>
          <w:rFonts w:ascii="Century Gothic" w:hAnsi="Century Gothic"/>
          <w:sz w:val="20"/>
          <w:szCs w:val="20"/>
        </w:rPr>
        <w:t xml:space="preserve">Category I B - IFRSs which can be adopted in near future as there are certain minor differences with the corresponding Indian Accounting Standards. The following IFRSs have been identified in this category: </w:t>
      </w:r>
    </w:p>
    <w:p w:rsidR="00E07A94" w:rsidRPr="0034318A" w:rsidRDefault="00E07A94" w:rsidP="00E07A94">
      <w:pPr>
        <w:pStyle w:val="ListParagraph"/>
        <w:numPr>
          <w:ilvl w:val="0"/>
          <w:numId w:val="3"/>
        </w:numPr>
        <w:rPr>
          <w:rFonts w:ascii="Century Gothic" w:hAnsi="Century Gothic"/>
          <w:sz w:val="20"/>
          <w:szCs w:val="20"/>
        </w:rPr>
      </w:pPr>
      <w:r w:rsidRPr="0034318A">
        <w:rPr>
          <w:rFonts w:ascii="Century Gothic" w:hAnsi="Century Gothic"/>
          <w:sz w:val="20"/>
          <w:szCs w:val="20"/>
        </w:rPr>
        <w:t xml:space="preserve">IAS 2 Inventories </w:t>
      </w:r>
    </w:p>
    <w:p w:rsidR="00E07A94" w:rsidRPr="0034318A" w:rsidRDefault="00E07A94" w:rsidP="00E07A94">
      <w:pPr>
        <w:pStyle w:val="ListParagraph"/>
        <w:numPr>
          <w:ilvl w:val="0"/>
          <w:numId w:val="3"/>
        </w:numPr>
        <w:rPr>
          <w:rFonts w:ascii="Century Gothic" w:hAnsi="Century Gothic"/>
          <w:sz w:val="20"/>
          <w:szCs w:val="20"/>
        </w:rPr>
      </w:pPr>
      <w:r w:rsidRPr="0034318A">
        <w:rPr>
          <w:rFonts w:ascii="Century Gothic" w:hAnsi="Century Gothic"/>
          <w:sz w:val="20"/>
          <w:szCs w:val="20"/>
        </w:rPr>
        <w:t xml:space="preserve">IAS 7,Cash Flow Statements </w:t>
      </w:r>
    </w:p>
    <w:p w:rsidR="00E07A94" w:rsidRPr="0034318A" w:rsidRDefault="00E07A94" w:rsidP="00E07A94">
      <w:pPr>
        <w:pStyle w:val="ListParagraph"/>
        <w:numPr>
          <w:ilvl w:val="0"/>
          <w:numId w:val="3"/>
        </w:numPr>
        <w:rPr>
          <w:rFonts w:ascii="Century Gothic" w:hAnsi="Century Gothic"/>
          <w:sz w:val="20"/>
          <w:szCs w:val="20"/>
        </w:rPr>
      </w:pPr>
      <w:r w:rsidRPr="0034318A">
        <w:rPr>
          <w:rFonts w:ascii="Century Gothic" w:hAnsi="Century Gothic"/>
          <w:sz w:val="20"/>
          <w:szCs w:val="20"/>
        </w:rPr>
        <w:t xml:space="preserve">IAS 20, Accounting for Government Grants and Disclosure of Government Assistance </w:t>
      </w:r>
    </w:p>
    <w:p w:rsidR="00E07A94" w:rsidRPr="0034318A" w:rsidRDefault="00E07A94" w:rsidP="00E07A94">
      <w:pPr>
        <w:pStyle w:val="ListParagraph"/>
        <w:numPr>
          <w:ilvl w:val="0"/>
          <w:numId w:val="3"/>
        </w:numPr>
        <w:rPr>
          <w:rFonts w:ascii="Century Gothic" w:hAnsi="Century Gothic"/>
          <w:sz w:val="20"/>
          <w:szCs w:val="20"/>
        </w:rPr>
      </w:pPr>
      <w:r w:rsidRPr="0034318A">
        <w:rPr>
          <w:rFonts w:ascii="Century Gothic" w:hAnsi="Century Gothic"/>
          <w:sz w:val="20"/>
          <w:szCs w:val="20"/>
        </w:rPr>
        <w:lastRenderedPageBreak/>
        <w:t xml:space="preserve">IAS 33, Earnings Per Share </w:t>
      </w:r>
    </w:p>
    <w:p w:rsidR="00E07A94" w:rsidRPr="0034318A" w:rsidRDefault="00E07A94" w:rsidP="00E07A94">
      <w:pPr>
        <w:pStyle w:val="ListParagraph"/>
        <w:numPr>
          <w:ilvl w:val="0"/>
          <w:numId w:val="3"/>
        </w:numPr>
        <w:rPr>
          <w:rFonts w:ascii="Century Gothic" w:hAnsi="Century Gothic"/>
          <w:sz w:val="20"/>
          <w:szCs w:val="20"/>
        </w:rPr>
      </w:pPr>
      <w:r w:rsidRPr="0034318A">
        <w:rPr>
          <w:rFonts w:ascii="Century Gothic" w:hAnsi="Century Gothic"/>
          <w:sz w:val="20"/>
          <w:szCs w:val="20"/>
        </w:rPr>
        <w:t xml:space="preserve">IAS 36, Impairment of Assets </w:t>
      </w:r>
    </w:p>
    <w:p w:rsidR="00E07A94" w:rsidRPr="0034318A" w:rsidRDefault="00E07A94" w:rsidP="00E07A94">
      <w:pPr>
        <w:pStyle w:val="ListParagraph"/>
        <w:numPr>
          <w:ilvl w:val="0"/>
          <w:numId w:val="3"/>
        </w:numPr>
        <w:rPr>
          <w:rFonts w:ascii="Century Gothic" w:hAnsi="Century Gothic"/>
          <w:sz w:val="20"/>
          <w:szCs w:val="20"/>
        </w:rPr>
      </w:pPr>
      <w:r w:rsidRPr="0034318A">
        <w:rPr>
          <w:rFonts w:ascii="Century Gothic" w:hAnsi="Century Gothic"/>
          <w:sz w:val="20"/>
          <w:szCs w:val="20"/>
        </w:rPr>
        <w:t xml:space="preserve">IAS 38, Intangible Assets </w:t>
      </w:r>
    </w:p>
    <w:p w:rsidR="00E07A94" w:rsidRPr="0034318A" w:rsidRDefault="00E07A94" w:rsidP="00E07A94">
      <w:pPr>
        <w:rPr>
          <w:rFonts w:ascii="Century Gothic" w:hAnsi="Century Gothic"/>
          <w:sz w:val="20"/>
          <w:szCs w:val="20"/>
        </w:rPr>
      </w:pPr>
      <w:r w:rsidRPr="0034318A">
        <w:rPr>
          <w:rFonts w:ascii="Century Gothic" w:hAnsi="Century Gothic"/>
          <w:b/>
          <w:sz w:val="20"/>
          <w:szCs w:val="20"/>
        </w:rPr>
        <w:t>Category II -</w:t>
      </w:r>
      <w:r w:rsidRPr="0034318A">
        <w:rPr>
          <w:rFonts w:ascii="Century Gothic" w:hAnsi="Century Gothic"/>
          <w:sz w:val="20"/>
          <w:szCs w:val="20"/>
        </w:rPr>
        <w:t xml:space="preserve"> IFRSs which may require some time to reach a level of technical preparedness by the industry and professionals keeping in view the existing economic environment and other factors. This category also includes those IFRSs corresponding to which Indian Accounting Standards are under preparation/revision.  The following IFRSs have been identified in this category: </w:t>
      </w:r>
    </w:p>
    <w:p w:rsidR="00E07A94" w:rsidRPr="0034318A" w:rsidRDefault="00E07A94" w:rsidP="00E07A94">
      <w:pPr>
        <w:pStyle w:val="ListParagraph"/>
        <w:numPr>
          <w:ilvl w:val="0"/>
          <w:numId w:val="4"/>
        </w:numPr>
        <w:rPr>
          <w:rFonts w:ascii="Century Gothic" w:hAnsi="Century Gothic"/>
          <w:sz w:val="20"/>
          <w:szCs w:val="20"/>
        </w:rPr>
      </w:pPr>
      <w:r w:rsidRPr="0034318A">
        <w:rPr>
          <w:rFonts w:ascii="Century Gothic" w:hAnsi="Century Gothic"/>
          <w:sz w:val="20"/>
          <w:szCs w:val="20"/>
        </w:rPr>
        <w:t xml:space="preserve">IAS 18, Revenue </w:t>
      </w:r>
    </w:p>
    <w:p w:rsidR="00E07A94" w:rsidRPr="0034318A" w:rsidRDefault="00E07A94" w:rsidP="00E07A94">
      <w:pPr>
        <w:pStyle w:val="ListParagraph"/>
        <w:numPr>
          <w:ilvl w:val="0"/>
          <w:numId w:val="4"/>
        </w:numPr>
        <w:rPr>
          <w:rFonts w:ascii="Century Gothic" w:hAnsi="Century Gothic"/>
          <w:sz w:val="20"/>
          <w:szCs w:val="20"/>
        </w:rPr>
      </w:pPr>
      <w:r w:rsidRPr="0034318A">
        <w:rPr>
          <w:rFonts w:ascii="Century Gothic" w:hAnsi="Century Gothic"/>
          <w:sz w:val="20"/>
          <w:szCs w:val="20"/>
        </w:rPr>
        <w:t xml:space="preserve">IAS 21,The Effects of Changes in Foreign Exchange Rates </w:t>
      </w:r>
    </w:p>
    <w:p w:rsidR="00E07A94" w:rsidRPr="0034318A" w:rsidRDefault="00E07A94" w:rsidP="00E07A94">
      <w:pPr>
        <w:pStyle w:val="ListParagraph"/>
        <w:numPr>
          <w:ilvl w:val="0"/>
          <w:numId w:val="4"/>
        </w:numPr>
        <w:rPr>
          <w:rFonts w:ascii="Century Gothic" w:hAnsi="Century Gothic"/>
          <w:sz w:val="20"/>
          <w:szCs w:val="20"/>
        </w:rPr>
      </w:pPr>
      <w:r w:rsidRPr="0034318A">
        <w:rPr>
          <w:rFonts w:ascii="Century Gothic" w:hAnsi="Century Gothic"/>
          <w:sz w:val="20"/>
          <w:szCs w:val="20"/>
        </w:rPr>
        <w:t xml:space="preserve">IAS 26, Accounting and Reporting by Retirement Benefit Plans </w:t>
      </w:r>
    </w:p>
    <w:p w:rsidR="00E07A94" w:rsidRPr="0034318A" w:rsidRDefault="00E07A94" w:rsidP="00E07A94">
      <w:pPr>
        <w:pStyle w:val="ListParagraph"/>
        <w:numPr>
          <w:ilvl w:val="0"/>
          <w:numId w:val="4"/>
        </w:numPr>
        <w:rPr>
          <w:rFonts w:ascii="Century Gothic" w:hAnsi="Century Gothic"/>
          <w:sz w:val="20"/>
          <w:szCs w:val="20"/>
        </w:rPr>
      </w:pPr>
      <w:r w:rsidRPr="0034318A">
        <w:rPr>
          <w:rFonts w:ascii="Century Gothic" w:hAnsi="Century Gothic"/>
          <w:sz w:val="20"/>
          <w:szCs w:val="20"/>
        </w:rPr>
        <w:t xml:space="preserve">IAS 40, Investment Property (Corresponding Indian Accounting Standard is under preparation) </w:t>
      </w:r>
    </w:p>
    <w:p w:rsidR="00E07A94" w:rsidRPr="0034318A" w:rsidRDefault="00E07A94" w:rsidP="00E07A94">
      <w:pPr>
        <w:pStyle w:val="ListParagraph"/>
        <w:numPr>
          <w:ilvl w:val="0"/>
          <w:numId w:val="4"/>
        </w:numPr>
        <w:rPr>
          <w:rFonts w:ascii="Century Gothic" w:hAnsi="Century Gothic"/>
          <w:sz w:val="20"/>
          <w:szCs w:val="20"/>
        </w:rPr>
      </w:pPr>
      <w:r w:rsidRPr="0034318A">
        <w:rPr>
          <w:rFonts w:ascii="Century Gothic" w:hAnsi="Century Gothic"/>
          <w:sz w:val="20"/>
          <w:szCs w:val="20"/>
        </w:rPr>
        <w:t xml:space="preserve">IFRS 2, Share-based Payment (Corresponding Indian Accounting Standard is under preparation) </w:t>
      </w:r>
    </w:p>
    <w:p w:rsidR="00E07A94" w:rsidRPr="0034318A" w:rsidRDefault="00E07A94" w:rsidP="00E07A94">
      <w:pPr>
        <w:pStyle w:val="ListParagraph"/>
        <w:numPr>
          <w:ilvl w:val="0"/>
          <w:numId w:val="4"/>
        </w:numPr>
        <w:rPr>
          <w:rFonts w:ascii="Century Gothic" w:hAnsi="Century Gothic"/>
          <w:sz w:val="20"/>
          <w:szCs w:val="20"/>
        </w:rPr>
      </w:pPr>
      <w:r w:rsidRPr="0034318A">
        <w:rPr>
          <w:rFonts w:ascii="Century Gothic" w:hAnsi="Century Gothic"/>
          <w:sz w:val="20"/>
          <w:szCs w:val="20"/>
        </w:rPr>
        <w:t xml:space="preserve"> IFRS 5, Non-current Assets Held for Sale and Discontinued Operations (Corresponding Indian Accounting Standard is under preparation) </w:t>
      </w:r>
    </w:p>
    <w:p w:rsidR="00E07A94" w:rsidRPr="0034318A" w:rsidRDefault="00E07A94" w:rsidP="00E07A94">
      <w:pPr>
        <w:rPr>
          <w:rFonts w:ascii="Century Gothic" w:hAnsi="Century Gothic"/>
          <w:sz w:val="20"/>
          <w:szCs w:val="20"/>
        </w:rPr>
      </w:pPr>
      <w:r w:rsidRPr="0034318A">
        <w:rPr>
          <w:rFonts w:ascii="Century Gothic" w:hAnsi="Century Gothic"/>
          <w:b/>
          <w:sz w:val="20"/>
          <w:szCs w:val="20"/>
        </w:rPr>
        <w:t>Category III -</w:t>
      </w:r>
      <w:r w:rsidRPr="0034318A">
        <w:rPr>
          <w:rFonts w:ascii="Century Gothic" w:hAnsi="Century Gothic"/>
          <w:sz w:val="20"/>
          <w:szCs w:val="20"/>
        </w:rPr>
        <w:t xml:space="preserve"> IFRSs which have conceptual differences with the corresponding Indian</w:t>
      </w:r>
      <w:r w:rsidR="00655F52" w:rsidRPr="0034318A">
        <w:rPr>
          <w:rFonts w:ascii="Century Gothic" w:hAnsi="Century Gothic"/>
          <w:sz w:val="20"/>
          <w:szCs w:val="20"/>
        </w:rPr>
        <w:t xml:space="preserve"> </w:t>
      </w:r>
      <w:r w:rsidRPr="0034318A">
        <w:rPr>
          <w:rFonts w:ascii="Century Gothic" w:hAnsi="Century Gothic"/>
          <w:sz w:val="20"/>
          <w:szCs w:val="20"/>
        </w:rPr>
        <w:t xml:space="preserve">Accounting Standards.  This category has further been divided into two parts as follows: </w:t>
      </w:r>
    </w:p>
    <w:p w:rsidR="00E07A94" w:rsidRPr="0034318A" w:rsidRDefault="00E07A94" w:rsidP="00E07A94">
      <w:pPr>
        <w:rPr>
          <w:rFonts w:ascii="Century Gothic" w:hAnsi="Century Gothic"/>
          <w:sz w:val="20"/>
          <w:szCs w:val="20"/>
        </w:rPr>
      </w:pPr>
      <w:r w:rsidRPr="0034318A">
        <w:rPr>
          <w:rFonts w:ascii="Century Gothic" w:hAnsi="Century Gothic"/>
          <w:sz w:val="20"/>
          <w:szCs w:val="20"/>
        </w:rPr>
        <w:t xml:space="preserve">Category III A - IFRSs having conceptual differences with the corresponding Indian Accounting Standards that should be taken up with the IASB. The following IFRSs have been identified in this Category: </w:t>
      </w:r>
    </w:p>
    <w:p w:rsidR="00E07A94" w:rsidRPr="0034318A" w:rsidRDefault="00E07A94" w:rsidP="00655F52">
      <w:pPr>
        <w:pStyle w:val="ListParagraph"/>
        <w:numPr>
          <w:ilvl w:val="0"/>
          <w:numId w:val="5"/>
        </w:numPr>
        <w:rPr>
          <w:rFonts w:ascii="Century Gothic" w:hAnsi="Century Gothic"/>
          <w:sz w:val="20"/>
          <w:szCs w:val="20"/>
        </w:rPr>
      </w:pPr>
      <w:r w:rsidRPr="0034318A">
        <w:rPr>
          <w:rFonts w:ascii="Century Gothic" w:hAnsi="Century Gothic"/>
          <w:sz w:val="20"/>
          <w:szCs w:val="20"/>
        </w:rPr>
        <w:t xml:space="preserve">IAS 17,Leases </w:t>
      </w:r>
    </w:p>
    <w:p w:rsidR="00655F52" w:rsidRPr="0034318A" w:rsidRDefault="00E07A94" w:rsidP="00E07A94">
      <w:pPr>
        <w:pStyle w:val="ListParagraph"/>
        <w:numPr>
          <w:ilvl w:val="0"/>
          <w:numId w:val="5"/>
        </w:numPr>
        <w:rPr>
          <w:rFonts w:ascii="Century Gothic" w:hAnsi="Century Gothic"/>
          <w:sz w:val="20"/>
          <w:szCs w:val="20"/>
        </w:rPr>
      </w:pPr>
      <w:r w:rsidRPr="0034318A">
        <w:rPr>
          <w:rFonts w:ascii="Century Gothic" w:hAnsi="Century Gothic"/>
          <w:sz w:val="20"/>
          <w:szCs w:val="20"/>
        </w:rPr>
        <w:t xml:space="preserve">IAS 19, Employee Benefits </w:t>
      </w:r>
    </w:p>
    <w:p w:rsidR="00655F52" w:rsidRPr="0034318A" w:rsidRDefault="00E07A94" w:rsidP="00E07A94">
      <w:pPr>
        <w:pStyle w:val="ListParagraph"/>
        <w:numPr>
          <w:ilvl w:val="0"/>
          <w:numId w:val="5"/>
        </w:numPr>
        <w:rPr>
          <w:rFonts w:ascii="Century Gothic" w:hAnsi="Century Gothic"/>
          <w:sz w:val="20"/>
          <w:szCs w:val="20"/>
        </w:rPr>
      </w:pPr>
      <w:r w:rsidRPr="0034318A">
        <w:rPr>
          <w:rFonts w:ascii="Century Gothic" w:hAnsi="Century Gothic"/>
          <w:sz w:val="20"/>
          <w:szCs w:val="20"/>
        </w:rPr>
        <w:t xml:space="preserve">IAS 27,Consolidated and Separate Financial Statements </w:t>
      </w:r>
    </w:p>
    <w:p w:rsidR="00655F52" w:rsidRPr="0034318A" w:rsidRDefault="00E07A94" w:rsidP="00E07A94">
      <w:pPr>
        <w:pStyle w:val="ListParagraph"/>
        <w:numPr>
          <w:ilvl w:val="0"/>
          <w:numId w:val="5"/>
        </w:numPr>
        <w:rPr>
          <w:rFonts w:ascii="Century Gothic" w:hAnsi="Century Gothic"/>
          <w:sz w:val="20"/>
          <w:szCs w:val="20"/>
        </w:rPr>
      </w:pPr>
      <w:r w:rsidRPr="0034318A">
        <w:rPr>
          <w:rFonts w:ascii="Century Gothic" w:hAnsi="Century Gothic"/>
          <w:sz w:val="20"/>
          <w:szCs w:val="20"/>
        </w:rPr>
        <w:t xml:space="preserve">IAS 28, Investments in Associates </w:t>
      </w:r>
    </w:p>
    <w:p w:rsidR="00655F52" w:rsidRPr="0034318A" w:rsidRDefault="00E07A94" w:rsidP="00E07A94">
      <w:pPr>
        <w:pStyle w:val="ListParagraph"/>
        <w:numPr>
          <w:ilvl w:val="0"/>
          <w:numId w:val="5"/>
        </w:numPr>
        <w:rPr>
          <w:rFonts w:ascii="Century Gothic" w:hAnsi="Century Gothic"/>
          <w:sz w:val="20"/>
          <w:szCs w:val="20"/>
        </w:rPr>
      </w:pPr>
      <w:r w:rsidRPr="0034318A">
        <w:rPr>
          <w:rFonts w:ascii="Century Gothic" w:hAnsi="Century Gothic"/>
          <w:sz w:val="20"/>
          <w:szCs w:val="20"/>
        </w:rPr>
        <w:t xml:space="preserve">IAS 31, Interests in Joint Ventures </w:t>
      </w:r>
    </w:p>
    <w:p w:rsidR="00E07A94" w:rsidRPr="0034318A" w:rsidRDefault="00E07A94" w:rsidP="00E07A94">
      <w:pPr>
        <w:pStyle w:val="ListParagraph"/>
        <w:numPr>
          <w:ilvl w:val="0"/>
          <w:numId w:val="5"/>
        </w:numPr>
        <w:rPr>
          <w:rFonts w:ascii="Century Gothic" w:hAnsi="Century Gothic"/>
          <w:sz w:val="20"/>
          <w:szCs w:val="20"/>
        </w:rPr>
      </w:pPr>
      <w:r w:rsidRPr="0034318A">
        <w:rPr>
          <w:rFonts w:ascii="Century Gothic" w:hAnsi="Century Gothic"/>
          <w:sz w:val="20"/>
          <w:szCs w:val="20"/>
        </w:rPr>
        <w:t xml:space="preserve">IAS 37, Provisions, Contingent Liabilities and Contingent Assets </w:t>
      </w:r>
    </w:p>
    <w:p w:rsidR="00E07A94" w:rsidRPr="0034318A" w:rsidRDefault="00E07A94" w:rsidP="00E07A94">
      <w:pPr>
        <w:rPr>
          <w:rFonts w:ascii="Century Gothic" w:hAnsi="Century Gothic"/>
          <w:sz w:val="20"/>
          <w:szCs w:val="20"/>
        </w:rPr>
      </w:pPr>
      <w:r w:rsidRPr="0034318A">
        <w:rPr>
          <w:rFonts w:ascii="Century Gothic" w:hAnsi="Century Gothic"/>
          <w:sz w:val="20"/>
          <w:szCs w:val="20"/>
        </w:rPr>
        <w:t xml:space="preserve">Category III B - IFRSs having conceptual differences with the corresponding Indian Accounting Standards that need to be examined to determine whether these should be taken up with the IASB or should be removed by the ICAI itself.  The following IFRSs have been identified in this Category:  </w:t>
      </w:r>
    </w:p>
    <w:p w:rsidR="00655F52" w:rsidRPr="0034318A" w:rsidRDefault="00E07A94" w:rsidP="00E07A94">
      <w:pPr>
        <w:pStyle w:val="ListParagraph"/>
        <w:numPr>
          <w:ilvl w:val="0"/>
          <w:numId w:val="6"/>
        </w:numPr>
        <w:rPr>
          <w:rFonts w:ascii="Century Gothic" w:hAnsi="Century Gothic"/>
          <w:sz w:val="20"/>
          <w:szCs w:val="20"/>
        </w:rPr>
      </w:pPr>
      <w:r w:rsidRPr="0034318A">
        <w:rPr>
          <w:rFonts w:ascii="Century Gothic" w:hAnsi="Century Gothic"/>
          <w:sz w:val="20"/>
          <w:szCs w:val="20"/>
        </w:rPr>
        <w:t xml:space="preserve">IAS 12, Income Taxes </w:t>
      </w:r>
    </w:p>
    <w:p w:rsidR="00655F52" w:rsidRPr="0034318A" w:rsidRDefault="00E07A94" w:rsidP="00E07A94">
      <w:pPr>
        <w:pStyle w:val="ListParagraph"/>
        <w:numPr>
          <w:ilvl w:val="0"/>
          <w:numId w:val="6"/>
        </w:numPr>
        <w:rPr>
          <w:rFonts w:ascii="Century Gothic" w:hAnsi="Century Gothic"/>
          <w:sz w:val="20"/>
          <w:szCs w:val="20"/>
        </w:rPr>
      </w:pPr>
      <w:r w:rsidRPr="0034318A">
        <w:rPr>
          <w:rFonts w:ascii="Century Gothic" w:hAnsi="Century Gothic"/>
          <w:sz w:val="20"/>
          <w:szCs w:val="20"/>
        </w:rPr>
        <w:t xml:space="preserve">IAS 24, Related Party Disclosures </w:t>
      </w:r>
    </w:p>
    <w:p w:rsidR="00655F52" w:rsidRPr="0034318A" w:rsidRDefault="00E07A94" w:rsidP="00E07A94">
      <w:pPr>
        <w:pStyle w:val="ListParagraph"/>
        <w:numPr>
          <w:ilvl w:val="0"/>
          <w:numId w:val="6"/>
        </w:numPr>
        <w:rPr>
          <w:rFonts w:ascii="Century Gothic" w:hAnsi="Century Gothic"/>
          <w:sz w:val="20"/>
          <w:szCs w:val="20"/>
        </w:rPr>
      </w:pPr>
      <w:r w:rsidRPr="0034318A">
        <w:rPr>
          <w:rFonts w:ascii="Century Gothic" w:hAnsi="Century Gothic"/>
          <w:sz w:val="20"/>
          <w:szCs w:val="20"/>
        </w:rPr>
        <w:t xml:space="preserve">IAS 41, Agriculture (Corresponding  Indian Accounting Standard is under preparation) </w:t>
      </w:r>
    </w:p>
    <w:p w:rsidR="00655F52" w:rsidRPr="0034318A" w:rsidRDefault="00E07A94" w:rsidP="00E07A94">
      <w:pPr>
        <w:pStyle w:val="ListParagraph"/>
        <w:numPr>
          <w:ilvl w:val="0"/>
          <w:numId w:val="6"/>
        </w:numPr>
        <w:rPr>
          <w:rFonts w:ascii="Century Gothic" w:hAnsi="Century Gothic"/>
          <w:sz w:val="20"/>
          <w:szCs w:val="20"/>
        </w:rPr>
      </w:pPr>
      <w:r w:rsidRPr="0034318A">
        <w:rPr>
          <w:rFonts w:ascii="Century Gothic" w:hAnsi="Century Gothic"/>
          <w:sz w:val="20"/>
          <w:szCs w:val="20"/>
        </w:rPr>
        <w:t xml:space="preserve">IFRS 3, Business Combinations </w:t>
      </w:r>
    </w:p>
    <w:p w:rsidR="00655F52" w:rsidRPr="0034318A" w:rsidRDefault="00E07A94" w:rsidP="00E07A94">
      <w:pPr>
        <w:pStyle w:val="ListParagraph"/>
        <w:numPr>
          <w:ilvl w:val="0"/>
          <w:numId w:val="6"/>
        </w:numPr>
        <w:rPr>
          <w:rFonts w:ascii="Century Gothic" w:hAnsi="Century Gothic"/>
          <w:sz w:val="20"/>
          <w:szCs w:val="20"/>
        </w:rPr>
      </w:pPr>
      <w:r w:rsidRPr="0034318A">
        <w:rPr>
          <w:rFonts w:ascii="Century Gothic" w:hAnsi="Century Gothic"/>
          <w:sz w:val="20"/>
          <w:szCs w:val="20"/>
        </w:rPr>
        <w:t xml:space="preserve">IFRS 6, Exploration for and Evaluation of Mineral Resources </w:t>
      </w:r>
    </w:p>
    <w:p w:rsidR="00E07A94" w:rsidRPr="0034318A" w:rsidRDefault="00E07A94" w:rsidP="00E07A94">
      <w:pPr>
        <w:pStyle w:val="ListParagraph"/>
        <w:numPr>
          <w:ilvl w:val="0"/>
          <w:numId w:val="6"/>
        </w:numPr>
        <w:rPr>
          <w:rFonts w:ascii="Century Gothic" w:hAnsi="Century Gothic"/>
          <w:sz w:val="20"/>
          <w:szCs w:val="20"/>
        </w:rPr>
      </w:pPr>
      <w:r w:rsidRPr="0034318A">
        <w:rPr>
          <w:rFonts w:ascii="Century Gothic" w:hAnsi="Century Gothic"/>
          <w:sz w:val="20"/>
          <w:szCs w:val="20"/>
        </w:rPr>
        <w:t xml:space="preserve">IFRS 8, Operating Segments </w:t>
      </w:r>
    </w:p>
    <w:p w:rsidR="00E07A94" w:rsidRPr="0034318A" w:rsidRDefault="00E07A94" w:rsidP="00E07A94">
      <w:pPr>
        <w:rPr>
          <w:rFonts w:ascii="Century Gothic" w:hAnsi="Century Gothic"/>
          <w:sz w:val="20"/>
          <w:szCs w:val="20"/>
        </w:rPr>
      </w:pPr>
      <w:r w:rsidRPr="0034318A">
        <w:rPr>
          <w:rFonts w:ascii="Century Gothic" w:hAnsi="Century Gothic"/>
          <w:b/>
          <w:sz w:val="20"/>
          <w:szCs w:val="20"/>
        </w:rPr>
        <w:lastRenderedPageBreak/>
        <w:t>Category IV -</w:t>
      </w:r>
      <w:r w:rsidRPr="0034318A">
        <w:rPr>
          <w:rFonts w:ascii="Century Gothic" w:hAnsi="Century Gothic"/>
          <w:sz w:val="20"/>
          <w:szCs w:val="20"/>
        </w:rPr>
        <w:t xml:space="preserve"> IFRSs, the adoption of which would require changes in laws/regulations because </w:t>
      </w:r>
      <w:r w:rsidR="00655F52" w:rsidRPr="0034318A">
        <w:rPr>
          <w:rFonts w:ascii="Century Gothic" w:hAnsi="Century Gothic"/>
          <w:sz w:val="20"/>
          <w:szCs w:val="20"/>
        </w:rPr>
        <w:t>c</w:t>
      </w:r>
      <w:r w:rsidRPr="0034318A">
        <w:rPr>
          <w:rFonts w:ascii="Century Gothic" w:hAnsi="Century Gothic"/>
          <w:sz w:val="20"/>
          <w:szCs w:val="20"/>
        </w:rPr>
        <w:t xml:space="preserve">ompliance with such IFRSs is not possible </w:t>
      </w:r>
      <w:r w:rsidR="00655F52" w:rsidRPr="0034318A">
        <w:rPr>
          <w:rFonts w:ascii="Century Gothic" w:hAnsi="Century Gothic"/>
          <w:sz w:val="20"/>
          <w:szCs w:val="20"/>
        </w:rPr>
        <w:t xml:space="preserve">until the regulations/laws are </w:t>
      </w:r>
      <w:r w:rsidRPr="0034318A">
        <w:rPr>
          <w:rFonts w:ascii="Century Gothic" w:hAnsi="Century Gothic"/>
          <w:sz w:val="20"/>
          <w:szCs w:val="20"/>
        </w:rPr>
        <w:t xml:space="preserve">amended. The following IFRSs have been identified in this Category: </w:t>
      </w:r>
    </w:p>
    <w:p w:rsidR="00655F52"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 xml:space="preserve">IAS 1, Presentation of Financial Statements </w:t>
      </w:r>
    </w:p>
    <w:p w:rsidR="00655F52"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 xml:space="preserve">IAS 8, Accounting Policies, Changes in Accounting Estimates and Errors </w:t>
      </w:r>
    </w:p>
    <w:p w:rsidR="00655F52"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 xml:space="preserve">IAS 10, Events After the Balance Sheet Date </w:t>
      </w:r>
    </w:p>
    <w:p w:rsidR="00655F52"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 xml:space="preserve">IAS 16, Property, Plant and Equipment </w:t>
      </w:r>
    </w:p>
    <w:p w:rsidR="00655F52"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 xml:space="preserve">IAS 32, Financial Instruments: Presentation (Exposure Draft of the Corresponding Indian Accounting Standard has been issued) </w:t>
      </w:r>
    </w:p>
    <w:p w:rsidR="00655F52"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 xml:space="preserve">IAS 34, Interim Financial Reporting </w:t>
      </w:r>
    </w:p>
    <w:p w:rsidR="00655F52"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IAS 39, Financial Instruments: Recognition and Measurement (Exposure Draft of the Corresponding Indian Accounting Standard has been issued)</w:t>
      </w:r>
    </w:p>
    <w:p w:rsidR="00655F52"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 xml:space="preserve">IFRS 1, First-time Adoption of International Financial Reporting Standards </w:t>
      </w:r>
    </w:p>
    <w:p w:rsidR="00655F52"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 xml:space="preserve">IFRS 4, Insurance Contracts </w:t>
      </w:r>
    </w:p>
    <w:p w:rsidR="00E07A94" w:rsidRPr="0034318A" w:rsidRDefault="00E07A94" w:rsidP="00E07A94">
      <w:pPr>
        <w:pStyle w:val="ListParagraph"/>
        <w:numPr>
          <w:ilvl w:val="0"/>
          <w:numId w:val="7"/>
        </w:numPr>
        <w:rPr>
          <w:rFonts w:ascii="Century Gothic" w:hAnsi="Century Gothic"/>
          <w:sz w:val="20"/>
          <w:szCs w:val="20"/>
        </w:rPr>
      </w:pPr>
      <w:r w:rsidRPr="0034318A">
        <w:rPr>
          <w:rFonts w:ascii="Century Gothic" w:hAnsi="Century Gothic"/>
          <w:sz w:val="20"/>
          <w:szCs w:val="20"/>
        </w:rPr>
        <w:t xml:space="preserve">IFRS 7, Financial Instruments: Disclosures  </w:t>
      </w:r>
    </w:p>
    <w:p w:rsidR="00655F52" w:rsidRPr="0034318A" w:rsidRDefault="00E07A94" w:rsidP="00E07A94">
      <w:pPr>
        <w:rPr>
          <w:rFonts w:ascii="Century Gothic" w:hAnsi="Century Gothic"/>
          <w:sz w:val="20"/>
          <w:szCs w:val="20"/>
        </w:rPr>
      </w:pPr>
      <w:r w:rsidRPr="0034318A">
        <w:rPr>
          <w:rFonts w:ascii="Century Gothic" w:hAnsi="Century Gothic"/>
          <w:b/>
          <w:sz w:val="20"/>
          <w:szCs w:val="20"/>
        </w:rPr>
        <w:t>Category V -</w:t>
      </w:r>
      <w:r w:rsidRPr="0034318A">
        <w:rPr>
          <w:rFonts w:ascii="Century Gothic" w:hAnsi="Century Gothic"/>
          <w:sz w:val="20"/>
          <w:szCs w:val="20"/>
        </w:rPr>
        <w:t xml:space="preserve"> IFRSs corresponding to which no Indian Accounting Standard is required for the time being.  However, the relevant IFRSs, when adopted upon full convergence, can be used as the “fallback” option where needed. </w:t>
      </w:r>
    </w:p>
    <w:p w:rsidR="00DC0B2D" w:rsidRPr="0034318A" w:rsidRDefault="00E07A94" w:rsidP="00DC0B2D">
      <w:pPr>
        <w:pStyle w:val="ListParagraph"/>
        <w:numPr>
          <w:ilvl w:val="0"/>
          <w:numId w:val="8"/>
        </w:numPr>
        <w:rPr>
          <w:rFonts w:ascii="Century Gothic" w:hAnsi="Century Gothic"/>
          <w:sz w:val="20"/>
          <w:szCs w:val="20"/>
        </w:rPr>
      </w:pPr>
      <w:r w:rsidRPr="0034318A">
        <w:rPr>
          <w:rFonts w:ascii="Century Gothic" w:hAnsi="Century Gothic"/>
          <w:sz w:val="20"/>
          <w:szCs w:val="20"/>
        </w:rPr>
        <w:t>IAS 29, Financial Reporting in Hyper-inflationary Economies</w:t>
      </w:r>
    </w:p>
    <w:p w:rsidR="00DC0B2D" w:rsidRPr="0034318A" w:rsidRDefault="00DC0B2D" w:rsidP="00DC0B2D">
      <w:pPr>
        <w:rPr>
          <w:rFonts w:ascii="Century Gothic" w:hAnsi="Century Gothic"/>
          <w:sz w:val="20"/>
          <w:szCs w:val="20"/>
        </w:rPr>
      </w:pPr>
    </w:p>
    <w:p w:rsidR="00DC0B2D" w:rsidRPr="0034318A" w:rsidRDefault="00DC0B2D"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6D60BE" w:rsidRPr="0034318A" w:rsidRDefault="006D60BE" w:rsidP="00DC0B2D">
      <w:pPr>
        <w:rPr>
          <w:rFonts w:ascii="Century Gothic" w:hAnsi="Century Gothic"/>
          <w:sz w:val="20"/>
          <w:szCs w:val="20"/>
        </w:rPr>
      </w:pPr>
    </w:p>
    <w:p w:rsidR="00DC0B2D" w:rsidRPr="0034318A" w:rsidRDefault="00DC0B2D" w:rsidP="00DC0B2D">
      <w:pPr>
        <w:rPr>
          <w:rFonts w:ascii="Century Gothic" w:hAnsi="Century Gothic"/>
          <w:sz w:val="20"/>
          <w:szCs w:val="20"/>
        </w:rPr>
      </w:pPr>
      <w:r w:rsidRPr="0034318A">
        <w:rPr>
          <w:rFonts w:ascii="Century Gothic" w:hAnsi="Century Gothic"/>
          <w:sz w:val="20"/>
          <w:szCs w:val="20"/>
        </w:rPr>
        <w:lastRenderedPageBreak/>
        <w:t xml:space="preserve">MODIFICATIONS TO SCHEDULE VI TO THE COMPANIES ACT, 1956 (Applicable for 1.04.2011 – 31.03.2012) </w:t>
      </w:r>
    </w:p>
    <w:p w:rsidR="00DC0B2D" w:rsidRPr="0034318A" w:rsidRDefault="00DC0B2D" w:rsidP="00DC0B2D">
      <w:pPr>
        <w:rPr>
          <w:rFonts w:ascii="Century Gothic" w:hAnsi="Century Gothic"/>
          <w:b/>
          <w:sz w:val="20"/>
          <w:szCs w:val="20"/>
        </w:rPr>
      </w:pPr>
      <w:r w:rsidRPr="0034318A">
        <w:rPr>
          <w:rFonts w:ascii="Century Gothic" w:hAnsi="Century Gothic"/>
          <w:sz w:val="20"/>
          <w:szCs w:val="20"/>
        </w:rPr>
        <w:t xml:space="preserve">The Revised Schedule VI is however a step towards convergence to IFRS to some extent with regard to presentation of financial statements, as many features has been adopted from these international standards. But it is important to note that the notification for Revised Schedule VI contains reference to the existing Accounting Standards not converged IND-IFRS.  </w:t>
      </w:r>
    </w:p>
    <w:p w:rsidR="00DC0B2D" w:rsidRPr="00FD5961" w:rsidRDefault="00DC0B2D" w:rsidP="00DC0B2D">
      <w:pPr>
        <w:rPr>
          <w:b/>
        </w:rPr>
      </w:pPr>
      <w:r w:rsidRPr="00FD5961">
        <w:rPr>
          <w:b/>
        </w:rPr>
        <w:t>Following are the changes in the Balance Sheet format:</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73"/>
        <w:gridCol w:w="4140"/>
      </w:tblGrid>
      <w:tr w:rsidR="00DC0B2D" w:rsidTr="00D42428">
        <w:trPr>
          <w:trHeight w:val="438"/>
        </w:trPr>
        <w:tc>
          <w:tcPr>
            <w:tcW w:w="4573" w:type="dxa"/>
          </w:tcPr>
          <w:p w:rsidR="00DC0B2D" w:rsidRPr="00DA64AB" w:rsidRDefault="00DC0B2D" w:rsidP="00D42428">
            <w:pPr>
              <w:rPr>
                <w:color w:val="FF0000"/>
              </w:rPr>
            </w:pPr>
            <w:r w:rsidRPr="00DA64AB">
              <w:rPr>
                <w:b/>
                <w:color w:val="FF0000"/>
              </w:rPr>
              <w:t>Items on the Liability Side:</w:t>
            </w:r>
          </w:p>
        </w:tc>
        <w:tc>
          <w:tcPr>
            <w:tcW w:w="4140" w:type="dxa"/>
            <w:shd w:val="clear" w:color="auto" w:fill="auto"/>
          </w:tcPr>
          <w:p w:rsidR="00DC0B2D" w:rsidRPr="00DA64AB" w:rsidRDefault="00DC0B2D" w:rsidP="00D42428">
            <w:pPr>
              <w:rPr>
                <w:color w:val="00B050"/>
              </w:rPr>
            </w:pPr>
            <w:r w:rsidRPr="00DA64AB">
              <w:rPr>
                <w:b/>
                <w:color w:val="00B050"/>
              </w:rPr>
              <w:t>Items on the Asset Side:</w:t>
            </w:r>
          </w:p>
        </w:tc>
      </w:tr>
      <w:tr w:rsidR="00DC0B2D" w:rsidTr="00D42428">
        <w:trPr>
          <w:trHeight w:val="4633"/>
        </w:trPr>
        <w:tc>
          <w:tcPr>
            <w:tcW w:w="4573" w:type="dxa"/>
          </w:tcPr>
          <w:p w:rsidR="00DC0B2D" w:rsidRPr="00DA64AB" w:rsidRDefault="00DC0B2D" w:rsidP="00D42428">
            <w:pPr>
              <w:rPr>
                <w:b/>
              </w:rPr>
            </w:pPr>
            <w:r w:rsidRPr="00DA64AB">
              <w:rPr>
                <w:b/>
              </w:rPr>
              <w:t>I. EQUITY AND LIABILITIES</w:t>
            </w:r>
          </w:p>
          <w:p w:rsidR="00DC0B2D" w:rsidRPr="00DA64AB" w:rsidRDefault="00DC0B2D" w:rsidP="00D42428">
            <w:pPr>
              <w:rPr>
                <w:u w:val="single"/>
              </w:rPr>
            </w:pPr>
            <w:r w:rsidRPr="00DA64AB">
              <w:rPr>
                <w:u w:val="single"/>
              </w:rPr>
              <w:t>(1) Shareholder’s fund </w:t>
            </w:r>
          </w:p>
          <w:p w:rsidR="00DC0B2D" w:rsidRPr="001660B7" w:rsidRDefault="00DC0B2D" w:rsidP="00D42428">
            <w:r w:rsidRPr="001660B7">
              <w:t>a. Share Capital </w:t>
            </w:r>
          </w:p>
          <w:p w:rsidR="00DC0B2D" w:rsidRPr="001660B7" w:rsidRDefault="00DC0B2D" w:rsidP="00D42428">
            <w:r w:rsidRPr="001660B7">
              <w:t>b. Reserves and Surplus </w:t>
            </w:r>
          </w:p>
          <w:p w:rsidR="00DC0B2D" w:rsidRPr="001660B7" w:rsidRDefault="00DC0B2D" w:rsidP="00D42428">
            <w:r w:rsidRPr="001660B7">
              <w:t>c. Money received against share warrants </w:t>
            </w:r>
          </w:p>
          <w:p w:rsidR="00DC0B2D" w:rsidRPr="00DA64AB" w:rsidRDefault="00DC0B2D" w:rsidP="00D42428">
            <w:pPr>
              <w:rPr>
                <w:u w:val="single"/>
              </w:rPr>
            </w:pPr>
            <w:r w:rsidRPr="00DA64AB">
              <w:rPr>
                <w:u w:val="single"/>
              </w:rPr>
              <w:t>(2) Share Application Money pending Allotment </w:t>
            </w:r>
          </w:p>
          <w:p w:rsidR="00DC0B2D" w:rsidRPr="00DA64AB" w:rsidRDefault="00DC0B2D" w:rsidP="00D42428">
            <w:pPr>
              <w:rPr>
                <w:u w:val="single"/>
              </w:rPr>
            </w:pPr>
            <w:r w:rsidRPr="00DA64AB">
              <w:rPr>
                <w:u w:val="single"/>
              </w:rPr>
              <w:t>(3) Non Current Liabilities </w:t>
            </w:r>
          </w:p>
          <w:p w:rsidR="00DC0B2D" w:rsidRPr="001660B7" w:rsidRDefault="00DC0B2D" w:rsidP="00D42428">
            <w:r w:rsidRPr="001660B7">
              <w:t>a. Long Term Borrowings </w:t>
            </w:r>
          </w:p>
          <w:p w:rsidR="00DC0B2D" w:rsidRPr="001660B7" w:rsidRDefault="00DC0B2D" w:rsidP="00D42428">
            <w:r w:rsidRPr="001660B7">
              <w:t>b. Deferred Tax Liabilities (Net) </w:t>
            </w:r>
          </w:p>
          <w:p w:rsidR="00DC0B2D" w:rsidRPr="001660B7" w:rsidRDefault="00DC0B2D" w:rsidP="00D42428">
            <w:r w:rsidRPr="001660B7">
              <w:t>c. Other Long Term Liabilities </w:t>
            </w:r>
          </w:p>
          <w:p w:rsidR="00DC0B2D" w:rsidRPr="001660B7" w:rsidRDefault="00DC0B2D" w:rsidP="00D42428">
            <w:r w:rsidRPr="001660B7">
              <w:t>d. Long Term Provisions </w:t>
            </w:r>
          </w:p>
          <w:p w:rsidR="00DC0B2D" w:rsidRPr="00DA64AB" w:rsidRDefault="00DC0B2D" w:rsidP="00D42428">
            <w:pPr>
              <w:rPr>
                <w:u w:val="single"/>
              </w:rPr>
            </w:pPr>
            <w:r w:rsidRPr="00DA64AB">
              <w:rPr>
                <w:u w:val="single"/>
              </w:rPr>
              <w:t>(4) Current Liabilities </w:t>
            </w:r>
          </w:p>
          <w:p w:rsidR="00DC0B2D" w:rsidRDefault="00DC0B2D" w:rsidP="006D60BE">
            <w:pPr>
              <w:tabs>
                <w:tab w:val="left" w:pos="2805"/>
              </w:tabs>
            </w:pPr>
            <w:r>
              <w:t>a. Short Term Borrowings </w:t>
            </w:r>
            <w:r w:rsidR="006D60BE">
              <w:tab/>
            </w:r>
          </w:p>
          <w:p w:rsidR="00DC0B2D" w:rsidRDefault="00DC0B2D" w:rsidP="00D42428">
            <w:r>
              <w:t>b. Trade Payables </w:t>
            </w:r>
          </w:p>
          <w:p w:rsidR="00DC0B2D" w:rsidRDefault="00DC0B2D" w:rsidP="00D42428">
            <w:r>
              <w:t>c. Other Current Liabilities </w:t>
            </w:r>
          </w:p>
          <w:p w:rsidR="00DC0B2D" w:rsidRDefault="00DC0B2D" w:rsidP="00D42428">
            <w:r>
              <w:t>d. Short Term Provisions </w:t>
            </w:r>
          </w:p>
        </w:tc>
        <w:tc>
          <w:tcPr>
            <w:tcW w:w="4140" w:type="dxa"/>
            <w:shd w:val="clear" w:color="auto" w:fill="auto"/>
          </w:tcPr>
          <w:p w:rsidR="00DC0B2D" w:rsidRPr="00DA64AB" w:rsidRDefault="00DC0B2D" w:rsidP="00D42428">
            <w:pPr>
              <w:rPr>
                <w:b/>
              </w:rPr>
            </w:pPr>
            <w:r w:rsidRPr="00DA64AB">
              <w:rPr>
                <w:b/>
              </w:rPr>
              <w:t>II. ASSETS</w:t>
            </w:r>
          </w:p>
          <w:p w:rsidR="00DC0B2D" w:rsidRPr="00DA64AB" w:rsidRDefault="0034318A" w:rsidP="00D42428">
            <w:pPr>
              <w:rPr>
                <w:u w:val="single"/>
              </w:rPr>
            </w:pPr>
            <w:r w:rsidRPr="00DA64AB">
              <w:rPr>
                <w:u w:val="single"/>
              </w:rPr>
              <w:t>Noncurrent</w:t>
            </w:r>
            <w:r w:rsidR="00DC0B2D" w:rsidRPr="00DA64AB">
              <w:rPr>
                <w:u w:val="single"/>
              </w:rPr>
              <w:t xml:space="preserve"> Assets</w:t>
            </w:r>
          </w:p>
          <w:p w:rsidR="00DC0B2D" w:rsidRDefault="00DC0B2D" w:rsidP="00D42428">
            <w:r>
              <w:t xml:space="preserve">  (1) (a) Fixed Assets </w:t>
            </w:r>
          </w:p>
          <w:p w:rsidR="00DC0B2D" w:rsidRDefault="00DC0B2D" w:rsidP="00D42428">
            <w:r>
              <w:t xml:space="preserve">   (i) Tangible Assets </w:t>
            </w:r>
          </w:p>
          <w:p w:rsidR="00DC0B2D" w:rsidRDefault="00DC0B2D" w:rsidP="00D42428">
            <w:r>
              <w:t xml:space="preserve">   (ii)Intangible Assets </w:t>
            </w:r>
          </w:p>
          <w:p w:rsidR="00DC0B2D" w:rsidRDefault="00DC0B2D" w:rsidP="00D42428">
            <w:r>
              <w:t xml:space="preserve">   (iii)Capital Work in Progress </w:t>
            </w:r>
          </w:p>
          <w:p w:rsidR="00DC0B2D" w:rsidRDefault="00DC0B2D" w:rsidP="00D42428">
            <w:r>
              <w:t xml:space="preserve">   (iv)Intangible Assets under Development </w:t>
            </w:r>
          </w:p>
          <w:p w:rsidR="00DC0B2D" w:rsidRDefault="00DC0B2D" w:rsidP="00D42428">
            <w:r>
              <w:t xml:space="preserve">   (b) Non‐Current Investments </w:t>
            </w:r>
          </w:p>
          <w:p w:rsidR="00DC0B2D" w:rsidRDefault="00DC0B2D" w:rsidP="00D42428">
            <w:r>
              <w:t xml:space="preserve">   (c) Deferred Tax Assets (Net) </w:t>
            </w:r>
          </w:p>
          <w:p w:rsidR="00DC0B2D" w:rsidRDefault="00DC0B2D" w:rsidP="00D42428">
            <w:r>
              <w:t xml:space="preserve">   (d) Long Term loans and advances </w:t>
            </w:r>
          </w:p>
          <w:p w:rsidR="00DC0B2D" w:rsidRDefault="00DC0B2D" w:rsidP="00D42428">
            <w:r>
              <w:t xml:space="preserve">   (e) Other non‐current assets </w:t>
            </w:r>
          </w:p>
          <w:p w:rsidR="00DC0B2D" w:rsidRPr="00DA64AB" w:rsidRDefault="00DC0B2D" w:rsidP="00D42428">
            <w:pPr>
              <w:rPr>
                <w:u w:val="single"/>
              </w:rPr>
            </w:pPr>
            <w:r w:rsidRPr="00DA64AB">
              <w:rPr>
                <w:u w:val="single"/>
              </w:rPr>
              <w:t>(2) Current Assets </w:t>
            </w:r>
          </w:p>
          <w:p w:rsidR="00DC0B2D" w:rsidRDefault="00DC0B2D" w:rsidP="00D42428">
            <w:r>
              <w:t xml:space="preserve">    (a) Current Investments </w:t>
            </w:r>
          </w:p>
          <w:p w:rsidR="00DC0B2D" w:rsidRDefault="00DC0B2D" w:rsidP="00D42428">
            <w:r>
              <w:t xml:space="preserve">    (b) Inventories </w:t>
            </w:r>
          </w:p>
          <w:p w:rsidR="00DC0B2D" w:rsidRDefault="00DC0B2D" w:rsidP="00D42428">
            <w:r>
              <w:t xml:space="preserve">    (c) Trade Receivables </w:t>
            </w:r>
          </w:p>
          <w:p w:rsidR="00DC0B2D" w:rsidRDefault="00DC0B2D" w:rsidP="00D42428">
            <w:r>
              <w:t xml:space="preserve">    (d) Cash and Cash equivalents </w:t>
            </w:r>
          </w:p>
          <w:p w:rsidR="00DC0B2D" w:rsidRDefault="00DC0B2D" w:rsidP="00D42428">
            <w:r>
              <w:t xml:space="preserve">    (e) Short term loans and advances </w:t>
            </w:r>
          </w:p>
          <w:p w:rsidR="00DC0B2D" w:rsidRDefault="00DC0B2D" w:rsidP="00D42428">
            <w:r>
              <w:t xml:space="preserve">    (f) Other Current Assets </w:t>
            </w:r>
          </w:p>
        </w:tc>
      </w:tr>
    </w:tbl>
    <w:p w:rsidR="00DC0B2D" w:rsidRDefault="00DC0B2D" w:rsidP="00DC0B2D">
      <w:pPr>
        <w:rPr>
          <w:b/>
        </w:rPr>
      </w:pPr>
    </w:p>
    <w:p w:rsidR="00DC0B2D" w:rsidRPr="00FD5961" w:rsidRDefault="00DC0B2D" w:rsidP="00DC0B2D">
      <w:pPr>
        <w:rPr>
          <w:b/>
        </w:rPr>
      </w:pPr>
      <w:r w:rsidRPr="00FD5961">
        <w:rPr>
          <w:b/>
        </w:rPr>
        <w:lastRenderedPageBreak/>
        <w:t xml:space="preserve">Changes in the format of the Profit and Loss Account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85"/>
      </w:tblGrid>
      <w:tr w:rsidR="00DC0B2D" w:rsidTr="00DC0B2D">
        <w:trPr>
          <w:trHeight w:val="1457"/>
        </w:trPr>
        <w:tc>
          <w:tcPr>
            <w:tcW w:w="8585" w:type="dxa"/>
          </w:tcPr>
          <w:p w:rsidR="00DC0B2D" w:rsidRPr="00680786" w:rsidRDefault="00DC0B2D" w:rsidP="00D42428">
            <w:pPr>
              <w:ind w:left="63"/>
              <w:rPr>
                <w:rFonts w:ascii="Century Gothic" w:eastAsia="Times New Roman" w:hAnsi="Century Gothic" w:cs="Arial"/>
                <w:sz w:val="20"/>
                <w:szCs w:val="20"/>
              </w:rPr>
            </w:pPr>
            <w:r w:rsidRPr="00680786">
              <w:rPr>
                <w:rFonts w:ascii="Century Gothic" w:eastAsia="Times New Roman" w:hAnsi="Century Gothic" w:cs="Arial"/>
                <w:sz w:val="20"/>
                <w:szCs w:val="20"/>
              </w:rPr>
              <w:t>Revenue</w:t>
            </w:r>
          </w:p>
          <w:p w:rsidR="00DC0B2D" w:rsidRPr="00680786" w:rsidRDefault="008D4AAC" w:rsidP="00D42428">
            <w:pPr>
              <w:pStyle w:val="ListParagraph"/>
              <w:numPr>
                <w:ilvl w:val="0"/>
                <w:numId w:val="10"/>
              </w:numPr>
              <w:ind w:left="783"/>
              <w:rPr>
                <w:rFonts w:ascii="Century Gothic" w:eastAsia="Times New Roman" w:hAnsi="Century Gothic" w:cs="Arial"/>
                <w:sz w:val="20"/>
                <w:szCs w:val="20"/>
              </w:rPr>
            </w:pPr>
            <w:hyperlink r:id="rId13" w:anchor="'Revenue From operation'!A1" w:history="1">
              <w:r w:rsidR="00DC0B2D" w:rsidRPr="00680786">
                <w:rPr>
                  <w:rFonts w:ascii="Century Gothic" w:eastAsia="Times New Roman" w:hAnsi="Century Gothic" w:cs="Arial"/>
                  <w:sz w:val="20"/>
                  <w:szCs w:val="20"/>
                </w:rPr>
                <w:t>Revenue from operations</w:t>
              </w:r>
            </w:hyperlink>
          </w:p>
          <w:p w:rsidR="00DC0B2D" w:rsidRPr="00680786" w:rsidRDefault="008D4AAC" w:rsidP="00D42428">
            <w:pPr>
              <w:pStyle w:val="ListParagraph"/>
              <w:numPr>
                <w:ilvl w:val="0"/>
                <w:numId w:val="10"/>
              </w:numPr>
              <w:ind w:left="783"/>
              <w:rPr>
                <w:rFonts w:ascii="Century Gothic" w:eastAsia="Times New Roman" w:hAnsi="Century Gothic" w:cs="Arial"/>
                <w:sz w:val="20"/>
                <w:szCs w:val="20"/>
              </w:rPr>
            </w:pPr>
            <w:hyperlink r:id="rId14" w:anchor="'Other Income'!A1" w:history="1">
              <w:r w:rsidR="00DC0B2D" w:rsidRPr="00680786">
                <w:rPr>
                  <w:rFonts w:ascii="Century Gothic" w:eastAsia="Times New Roman" w:hAnsi="Century Gothic" w:cs="Arial"/>
                  <w:sz w:val="20"/>
                  <w:szCs w:val="20"/>
                </w:rPr>
                <w:t>Other income</w:t>
              </w:r>
            </w:hyperlink>
          </w:p>
          <w:p w:rsidR="00DC0B2D" w:rsidRPr="00680786" w:rsidRDefault="00DC0B2D" w:rsidP="00D42428">
            <w:pPr>
              <w:pStyle w:val="ListParagraph"/>
              <w:ind w:left="783"/>
              <w:rPr>
                <w:rFonts w:ascii="Century Gothic" w:eastAsia="Times New Roman" w:hAnsi="Century Gothic" w:cs="Times New Roman"/>
                <w:bCs/>
                <w:sz w:val="20"/>
                <w:szCs w:val="20"/>
              </w:rPr>
            </w:pPr>
            <w:r w:rsidRPr="00E72024">
              <w:rPr>
                <w:rFonts w:ascii="Century Gothic" w:eastAsia="Times New Roman" w:hAnsi="Century Gothic" w:cs="Times New Roman"/>
                <w:bCs/>
                <w:sz w:val="20"/>
                <w:szCs w:val="20"/>
              </w:rPr>
              <w:t>Total Revenue (I + II)</w:t>
            </w:r>
          </w:p>
          <w:p w:rsidR="00DC0B2D" w:rsidRDefault="00DC0B2D" w:rsidP="00D42428">
            <w:pPr>
              <w:pStyle w:val="ListParagraph"/>
              <w:ind w:left="783"/>
              <w:rPr>
                <w:rFonts w:ascii="Century Gothic" w:eastAsia="Times New Roman" w:hAnsi="Century Gothic" w:cs="Arial"/>
                <w:sz w:val="20"/>
                <w:szCs w:val="20"/>
              </w:rPr>
            </w:pPr>
          </w:p>
        </w:tc>
      </w:tr>
      <w:tr w:rsidR="00DC0B2D" w:rsidTr="00DC0B2D">
        <w:trPr>
          <w:trHeight w:val="2699"/>
        </w:trPr>
        <w:tc>
          <w:tcPr>
            <w:tcW w:w="8585" w:type="dxa"/>
          </w:tcPr>
          <w:p w:rsidR="00DC0B2D" w:rsidRPr="00680786" w:rsidRDefault="00DC0B2D" w:rsidP="00D42428">
            <w:pPr>
              <w:ind w:left="150"/>
              <w:rPr>
                <w:rFonts w:ascii="Century Gothic" w:eastAsia="Times New Roman" w:hAnsi="Century Gothic" w:cs="Times New Roman"/>
                <w:sz w:val="20"/>
                <w:szCs w:val="20"/>
              </w:rPr>
            </w:pPr>
            <w:r w:rsidRPr="00680786">
              <w:rPr>
                <w:rFonts w:ascii="Century Gothic" w:eastAsia="Times New Roman" w:hAnsi="Century Gothic" w:cs="Times New Roman"/>
                <w:sz w:val="20"/>
                <w:szCs w:val="20"/>
              </w:rPr>
              <w:t>Expenses:</w:t>
            </w:r>
          </w:p>
          <w:p w:rsidR="00DC0B2D" w:rsidRPr="00680786" w:rsidRDefault="00DC0B2D" w:rsidP="00D42428">
            <w:pPr>
              <w:pStyle w:val="ListParagraph"/>
              <w:numPr>
                <w:ilvl w:val="0"/>
                <w:numId w:val="11"/>
              </w:numPr>
              <w:ind w:left="870"/>
              <w:rPr>
                <w:rFonts w:ascii="Century Gothic" w:eastAsia="Times New Roman" w:hAnsi="Century Gothic" w:cs="Arial"/>
                <w:sz w:val="20"/>
                <w:szCs w:val="20"/>
              </w:rPr>
            </w:pPr>
            <w:r w:rsidRPr="00680786">
              <w:rPr>
                <w:rFonts w:ascii="Century Gothic" w:eastAsia="Times New Roman" w:hAnsi="Century Gothic" w:cs="Times New Roman"/>
                <w:sz w:val="20"/>
                <w:szCs w:val="20"/>
              </w:rPr>
              <w:t>Cost of materials consumed</w:t>
            </w:r>
          </w:p>
          <w:p w:rsidR="00DC0B2D" w:rsidRPr="00680786" w:rsidRDefault="00DC0B2D" w:rsidP="00D42428">
            <w:pPr>
              <w:pStyle w:val="ListParagraph"/>
              <w:numPr>
                <w:ilvl w:val="0"/>
                <w:numId w:val="11"/>
              </w:numPr>
              <w:ind w:left="870"/>
              <w:rPr>
                <w:rFonts w:ascii="Century Gothic" w:eastAsia="Times New Roman" w:hAnsi="Century Gothic" w:cs="Arial"/>
                <w:sz w:val="20"/>
                <w:szCs w:val="20"/>
              </w:rPr>
            </w:pPr>
            <w:r w:rsidRPr="00680786">
              <w:rPr>
                <w:rFonts w:ascii="Century Gothic" w:eastAsia="Times New Roman" w:hAnsi="Century Gothic" w:cs="Times New Roman"/>
                <w:sz w:val="20"/>
                <w:szCs w:val="20"/>
              </w:rPr>
              <w:t>Purchases of Stock-in-Trade</w:t>
            </w:r>
          </w:p>
          <w:p w:rsidR="00DC0B2D" w:rsidRPr="00680786" w:rsidRDefault="00DC0B2D" w:rsidP="00D42428">
            <w:pPr>
              <w:pStyle w:val="ListParagraph"/>
              <w:numPr>
                <w:ilvl w:val="0"/>
                <w:numId w:val="11"/>
              </w:numPr>
              <w:ind w:left="870"/>
              <w:rPr>
                <w:rFonts w:ascii="Century Gothic" w:eastAsia="Times New Roman" w:hAnsi="Century Gothic" w:cs="Arial"/>
                <w:sz w:val="20"/>
                <w:szCs w:val="20"/>
              </w:rPr>
            </w:pPr>
            <w:r w:rsidRPr="00680786">
              <w:rPr>
                <w:rFonts w:ascii="Century Gothic" w:eastAsia="Times New Roman" w:hAnsi="Century Gothic" w:cs="Times New Roman"/>
                <w:sz w:val="20"/>
                <w:szCs w:val="20"/>
              </w:rPr>
              <w:t>Changes in inventories of finished goods work-in-progress and Stock-in-Trade</w:t>
            </w:r>
          </w:p>
          <w:p w:rsidR="00DC0B2D" w:rsidRPr="00680786" w:rsidRDefault="00DC0B2D" w:rsidP="00D42428">
            <w:pPr>
              <w:pStyle w:val="ListParagraph"/>
              <w:numPr>
                <w:ilvl w:val="0"/>
                <w:numId w:val="11"/>
              </w:numPr>
              <w:ind w:left="870"/>
              <w:rPr>
                <w:rFonts w:ascii="Century Gothic" w:eastAsia="Times New Roman" w:hAnsi="Century Gothic" w:cs="Arial"/>
                <w:sz w:val="20"/>
                <w:szCs w:val="20"/>
              </w:rPr>
            </w:pPr>
            <w:r w:rsidRPr="00680786">
              <w:rPr>
                <w:rFonts w:ascii="Century Gothic" w:eastAsia="Times New Roman" w:hAnsi="Century Gothic" w:cs="Times New Roman"/>
                <w:sz w:val="20"/>
                <w:szCs w:val="20"/>
              </w:rPr>
              <w:t>Employee benefits expense</w:t>
            </w:r>
          </w:p>
          <w:p w:rsidR="00DC0B2D" w:rsidRPr="00680786" w:rsidRDefault="008D4AAC" w:rsidP="00D42428">
            <w:pPr>
              <w:pStyle w:val="ListParagraph"/>
              <w:numPr>
                <w:ilvl w:val="0"/>
                <w:numId w:val="11"/>
              </w:numPr>
              <w:ind w:left="870"/>
              <w:rPr>
                <w:rFonts w:ascii="Century Gothic" w:eastAsia="Times New Roman" w:hAnsi="Century Gothic" w:cs="Arial"/>
                <w:sz w:val="20"/>
                <w:szCs w:val="20"/>
              </w:rPr>
            </w:pPr>
            <w:hyperlink r:id="rId15" w:anchor="'Finance Cost'!A1" w:history="1">
              <w:r w:rsidR="00DC0B2D" w:rsidRPr="00680786">
                <w:rPr>
                  <w:rFonts w:ascii="Century Gothic" w:eastAsia="Times New Roman" w:hAnsi="Century Gothic" w:cs="Arial"/>
                  <w:sz w:val="20"/>
                  <w:szCs w:val="20"/>
                </w:rPr>
                <w:t>Finance costs</w:t>
              </w:r>
            </w:hyperlink>
          </w:p>
          <w:p w:rsidR="00DC0B2D" w:rsidRPr="00680786" w:rsidRDefault="00DC0B2D" w:rsidP="00D42428">
            <w:pPr>
              <w:pStyle w:val="ListParagraph"/>
              <w:numPr>
                <w:ilvl w:val="0"/>
                <w:numId w:val="11"/>
              </w:numPr>
              <w:ind w:left="870"/>
              <w:rPr>
                <w:rFonts w:ascii="Century Gothic" w:eastAsia="Times New Roman" w:hAnsi="Century Gothic" w:cs="Arial"/>
                <w:sz w:val="20"/>
                <w:szCs w:val="20"/>
              </w:rPr>
            </w:pPr>
            <w:r w:rsidRPr="00680786">
              <w:rPr>
                <w:rFonts w:ascii="Century Gothic" w:eastAsia="Times New Roman" w:hAnsi="Century Gothic" w:cs="Times New Roman"/>
                <w:sz w:val="20"/>
                <w:szCs w:val="20"/>
              </w:rPr>
              <w:t>Depreciation and amortization expense</w:t>
            </w:r>
          </w:p>
          <w:p w:rsidR="00DC0B2D" w:rsidRDefault="00DC0B2D" w:rsidP="00D42428">
            <w:pPr>
              <w:pStyle w:val="ListParagraph"/>
              <w:numPr>
                <w:ilvl w:val="0"/>
                <w:numId w:val="11"/>
              </w:numPr>
              <w:ind w:left="870"/>
              <w:rPr>
                <w:rFonts w:ascii="Century Gothic" w:eastAsia="Times New Roman" w:hAnsi="Century Gothic" w:cs="Times New Roman"/>
                <w:sz w:val="20"/>
                <w:szCs w:val="20"/>
              </w:rPr>
            </w:pPr>
            <w:r w:rsidRPr="00680786">
              <w:rPr>
                <w:rFonts w:ascii="Century Gothic" w:eastAsia="Times New Roman" w:hAnsi="Century Gothic" w:cs="Times New Roman"/>
                <w:sz w:val="20"/>
                <w:szCs w:val="20"/>
              </w:rPr>
              <w:t>Other expenses</w:t>
            </w:r>
          </w:p>
        </w:tc>
      </w:tr>
      <w:tr w:rsidR="00DC0B2D" w:rsidTr="00DC0B2D">
        <w:trPr>
          <w:trHeight w:val="2893"/>
        </w:trPr>
        <w:tc>
          <w:tcPr>
            <w:tcW w:w="8585" w:type="dxa"/>
            <w:tcBorders>
              <w:top w:val="single" w:sz="4" w:space="0" w:color="auto"/>
              <w:left w:val="single" w:sz="4" w:space="0" w:color="auto"/>
              <w:bottom w:val="single" w:sz="4" w:space="0" w:color="auto"/>
              <w:right w:val="single" w:sz="4" w:space="0" w:color="auto"/>
            </w:tcBorders>
          </w:tcPr>
          <w:p w:rsidR="00DC0B2D" w:rsidRPr="00680786" w:rsidRDefault="00DC0B2D" w:rsidP="00DC0B2D">
            <w:pPr>
              <w:ind w:left="150"/>
              <w:rPr>
                <w:rFonts w:ascii="Century Gothic" w:eastAsia="Times New Roman" w:hAnsi="Century Gothic" w:cs="Times New Roman"/>
                <w:sz w:val="20"/>
                <w:szCs w:val="20"/>
              </w:rPr>
            </w:pPr>
            <w:r w:rsidRPr="00680786">
              <w:rPr>
                <w:rFonts w:ascii="Century Gothic" w:eastAsia="Times New Roman" w:hAnsi="Century Gothic" w:cs="Times New Roman"/>
                <w:sz w:val="20"/>
                <w:szCs w:val="20"/>
              </w:rPr>
              <w:t>Total expenses</w:t>
            </w:r>
          </w:p>
          <w:p w:rsidR="00DC0B2D" w:rsidRPr="00DC0B2D"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Profit before exceptional and extraordinary items and tax (III-IV)</w:t>
            </w:r>
          </w:p>
          <w:p w:rsidR="00DC0B2D" w:rsidRPr="00680786"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Exceptional items</w:t>
            </w:r>
          </w:p>
          <w:p w:rsidR="00DC0B2D" w:rsidRPr="00DC0B2D"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Profit before extraordinary items and tax (V - VI)</w:t>
            </w:r>
          </w:p>
          <w:p w:rsidR="00DC0B2D" w:rsidRPr="00680786"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Extraordinary Items</w:t>
            </w:r>
          </w:p>
          <w:p w:rsidR="00DC0B2D" w:rsidRPr="00DC0B2D"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Profit before tax (VII- VIII)</w:t>
            </w:r>
          </w:p>
          <w:p w:rsidR="00DC0B2D" w:rsidRPr="00680786"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Tax expense:</w:t>
            </w:r>
          </w:p>
          <w:p w:rsidR="00DC0B2D" w:rsidRPr="00680786" w:rsidRDefault="00DC0B2D" w:rsidP="00D42428">
            <w:pPr>
              <w:pStyle w:val="ListParagraph"/>
              <w:numPr>
                <w:ilvl w:val="0"/>
                <w:numId w:val="12"/>
              </w:numPr>
              <w:ind w:left="808"/>
              <w:rPr>
                <w:rFonts w:ascii="Century Gothic" w:eastAsia="Times New Roman" w:hAnsi="Century Gothic" w:cs="Times New Roman"/>
                <w:sz w:val="20"/>
                <w:szCs w:val="20"/>
              </w:rPr>
            </w:pPr>
            <w:r w:rsidRPr="00680786">
              <w:rPr>
                <w:rFonts w:ascii="Century Gothic" w:eastAsia="Times New Roman" w:hAnsi="Century Gothic" w:cs="Times New Roman"/>
                <w:sz w:val="20"/>
                <w:szCs w:val="20"/>
              </w:rPr>
              <w:t>Current tax</w:t>
            </w:r>
          </w:p>
          <w:p w:rsidR="00DC0B2D" w:rsidRPr="00DC0B2D" w:rsidRDefault="00DC0B2D" w:rsidP="00D42428">
            <w:pPr>
              <w:pStyle w:val="ListParagraph"/>
              <w:numPr>
                <w:ilvl w:val="0"/>
                <w:numId w:val="12"/>
              </w:numPr>
              <w:ind w:left="808"/>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Deferred tax</w:t>
            </w:r>
          </w:p>
          <w:p w:rsidR="00DC0B2D" w:rsidRPr="00DC0B2D"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Profit (Loss) for the period from continuing</w:t>
            </w:r>
            <w:r w:rsidRPr="00DC0B2D">
              <w:rPr>
                <w:rFonts w:ascii="Century Gothic" w:eastAsia="Times New Roman" w:hAnsi="Century Gothic" w:cs="Times New Roman"/>
                <w:sz w:val="20"/>
                <w:szCs w:val="20"/>
              </w:rPr>
              <w:t xml:space="preserve"> </w:t>
            </w:r>
            <w:r w:rsidRPr="00E72024">
              <w:rPr>
                <w:rFonts w:ascii="Century Gothic" w:eastAsia="Times New Roman" w:hAnsi="Century Gothic" w:cs="Times New Roman"/>
                <w:sz w:val="20"/>
                <w:szCs w:val="20"/>
              </w:rPr>
              <w:t>operations (VII-VIII)</w:t>
            </w:r>
          </w:p>
          <w:p w:rsidR="00DC0B2D" w:rsidRPr="00DC0B2D"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Profit/(loss) from discontinuing operations</w:t>
            </w:r>
          </w:p>
          <w:p w:rsidR="00DC0B2D" w:rsidRPr="00DC0B2D"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Tax expense of discontinuing operations</w:t>
            </w:r>
          </w:p>
          <w:p w:rsidR="00DC0B2D" w:rsidRPr="00DC0B2D"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Profit/(loss) from Discontinuing operations (after</w:t>
            </w:r>
            <w:r w:rsidRPr="00DC0B2D">
              <w:rPr>
                <w:rFonts w:ascii="Century Gothic" w:eastAsia="Times New Roman" w:hAnsi="Century Gothic" w:cs="Times New Roman"/>
                <w:sz w:val="20"/>
                <w:szCs w:val="20"/>
              </w:rPr>
              <w:t xml:space="preserve"> </w:t>
            </w:r>
            <w:r w:rsidRPr="00E72024">
              <w:rPr>
                <w:rFonts w:ascii="Century Gothic" w:eastAsia="Times New Roman" w:hAnsi="Century Gothic" w:cs="Times New Roman"/>
                <w:sz w:val="20"/>
                <w:szCs w:val="20"/>
              </w:rPr>
              <w:t>tax) (XII-XIII)</w:t>
            </w:r>
          </w:p>
          <w:p w:rsidR="00DC0B2D" w:rsidRPr="00DC0B2D"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Profit (Loss) for the period (XI + XIV)</w:t>
            </w:r>
          </w:p>
          <w:p w:rsidR="00DC0B2D" w:rsidRPr="00DC0B2D" w:rsidRDefault="00DC0B2D" w:rsidP="00DC0B2D">
            <w:pPr>
              <w:ind w:left="150"/>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Earnings per equity share:</w:t>
            </w:r>
          </w:p>
          <w:p w:rsidR="00DC0B2D" w:rsidRPr="00DC0B2D" w:rsidRDefault="00DC0B2D" w:rsidP="00D42428">
            <w:pPr>
              <w:pStyle w:val="ListParagraph"/>
              <w:numPr>
                <w:ilvl w:val="0"/>
                <w:numId w:val="13"/>
              </w:numPr>
              <w:ind w:left="808"/>
              <w:rPr>
                <w:rFonts w:ascii="Century Gothic" w:eastAsia="Times New Roman" w:hAnsi="Century Gothic" w:cs="Times New Roman"/>
                <w:sz w:val="20"/>
                <w:szCs w:val="20"/>
              </w:rPr>
            </w:pPr>
            <w:r w:rsidRPr="00DC0B2D">
              <w:rPr>
                <w:rFonts w:ascii="Century Gothic" w:eastAsia="Times New Roman" w:hAnsi="Century Gothic" w:cs="Times New Roman"/>
                <w:sz w:val="20"/>
                <w:szCs w:val="20"/>
              </w:rPr>
              <w:t>Basic</w:t>
            </w:r>
          </w:p>
          <w:p w:rsidR="00DC0B2D" w:rsidRDefault="00DC0B2D" w:rsidP="00D42428">
            <w:pPr>
              <w:pStyle w:val="ListParagraph"/>
              <w:numPr>
                <w:ilvl w:val="0"/>
                <w:numId w:val="13"/>
              </w:numPr>
              <w:ind w:left="808"/>
              <w:rPr>
                <w:rFonts w:ascii="Century Gothic" w:eastAsia="Times New Roman" w:hAnsi="Century Gothic" w:cs="Times New Roman"/>
                <w:sz w:val="20"/>
                <w:szCs w:val="20"/>
              </w:rPr>
            </w:pPr>
            <w:r w:rsidRPr="00E72024">
              <w:rPr>
                <w:rFonts w:ascii="Century Gothic" w:eastAsia="Times New Roman" w:hAnsi="Century Gothic" w:cs="Times New Roman"/>
                <w:sz w:val="20"/>
                <w:szCs w:val="20"/>
              </w:rPr>
              <w:t>Diluted</w:t>
            </w:r>
          </w:p>
        </w:tc>
      </w:tr>
    </w:tbl>
    <w:p w:rsidR="00DA3618" w:rsidRDefault="00DA3618" w:rsidP="00DA3618"/>
    <w:sectPr w:rsidR="00DA3618" w:rsidSect="006E2D8D">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461" w:rsidRDefault="00181461" w:rsidP="0034318A">
      <w:pPr>
        <w:spacing w:after="0" w:line="240" w:lineRule="auto"/>
      </w:pPr>
      <w:r>
        <w:separator/>
      </w:r>
    </w:p>
  </w:endnote>
  <w:endnote w:type="continuationSeparator" w:id="1">
    <w:p w:rsidR="00181461" w:rsidRDefault="00181461" w:rsidP="003431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ITC Zapf Chancery">
    <w:panose1 w:val="03020702040403080804"/>
    <w:charset w:val="00"/>
    <w:family w:val="script"/>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18A" w:rsidRPr="0034318A" w:rsidRDefault="0034318A">
    <w:pPr>
      <w:pStyle w:val="Footer"/>
      <w:rPr>
        <w:rFonts w:ascii="ITC Zapf Chancery" w:hAnsi="ITC Zapf Chancery"/>
        <w:b/>
        <w:sz w:val="24"/>
        <w:szCs w:val="24"/>
      </w:rPr>
    </w:pPr>
    <w:r>
      <w:tab/>
    </w:r>
    <w:r>
      <w:tab/>
    </w:r>
    <w:r w:rsidRPr="0034318A">
      <w:rPr>
        <w:rFonts w:ascii="ITC Zapf Chancery" w:hAnsi="ITC Zapf Chancery"/>
        <w:b/>
        <w:sz w:val="24"/>
        <w:szCs w:val="24"/>
      </w:rPr>
      <w:t>Prepared By: CA. Abhijeet N. Bobade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461" w:rsidRDefault="00181461" w:rsidP="0034318A">
      <w:pPr>
        <w:spacing w:after="0" w:line="240" w:lineRule="auto"/>
      </w:pPr>
      <w:r>
        <w:separator/>
      </w:r>
    </w:p>
  </w:footnote>
  <w:footnote w:type="continuationSeparator" w:id="1">
    <w:p w:rsidR="00181461" w:rsidRDefault="00181461" w:rsidP="003431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7762F"/>
    <w:multiLevelType w:val="hybridMultilevel"/>
    <w:tmpl w:val="7D00DC82"/>
    <w:lvl w:ilvl="0" w:tplc="29702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61759"/>
    <w:multiLevelType w:val="hybridMultilevel"/>
    <w:tmpl w:val="BE60EF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EB72BC"/>
    <w:multiLevelType w:val="hybridMultilevel"/>
    <w:tmpl w:val="910E61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6C3A4A"/>
    <w:multiLevelType w:val="hybridMultilevel"/>
    <w:tmpl w:val="200858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152BAC"/>
    <w:multiLevelType w:val="hybridMultilevel"/>
    <w:tmpl w:val="988238CA"/>
    <w:lvl w:ilvl="0" w:tplc="CFDEED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4E2AFE"/>
    <w:multiLevelType w:val="hybridMultilevel"/>
    <w:tmpl w:val="1FD45AF0"/>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
    <w:nsid w:val="3AD66BD1"/>
    <w:multiLevelType w:val="hybridMultilevel"/>
    <w:tmpl w:val="1E3E9818"/>
    <w:lvl w:ilvl="0" w:tplc="95266DE4">
      <w:start w:val="1"/>
      <w:numFmt w:val="decimal"/>
      <w:lvlText w:val="%1)"/>
      <w:lvlJc w:val="left"/>
      <w:pPr>
        <w:ind w:left="1470" w:hanging="360"/>
      </w:pPr>
      <w:rPr>
        <w:rFonts w:ascii="Trebuchet MS" w:hAnsi="Trebuchet MS" w:cs="Times New Roman" w:hint="default"/>
        <w:b/>
        <w:color w:val="000000"/>
        <w:sz w:val="22"/>
        <w:u w:val="none"/>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7">
    <w:nsid w:val="4B7D4980"/>
    <w:multiLevelType w:val="hybridMultilevel"/>
    <w:tmpl w:val="09E615A0"/>
    <w:lvl w:ilvl="0" w:tplc="0409000B">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8">
    <w:nsid w:val="4F63592B"/>
    <w:multiLevelType w:val="hybridMultilevel"/>
    <w:tmpl w:val="7480F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1504E7"/>
    <w:multiLevelType w:val="hybridMultilevel"/>
    <w:tmpl w:val="C93EF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91CBA"/>
    <w:multiLevelType w:val="hybridMultilevel"/>
    <w:tmpl w:val="B2002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942DFA"/>
    <w:multiLevelType w:val="hybridMultilevel"/>
    <w:tmpl w:val="5A1E8BC0"/>
    <w:lvl w:ilvl="0" w:tplc="C8308B10">
      <w:start w:val="1"/>
      <w:numFmt w:val="decimal"/>
      <w:lvlText w:val="%1)"/>
      <w:lvlJc w:val="left"/>
      <w:pPr>
        <w:ind w:left="720" w:hanging="360"/>
      </w:pPr>
      <w:rPr>
        <w:rFonts w:ascii="Trebuchet MS" w:hAnsi="Trebuchet MS" w:cs="Times New Roman" w:hint="default"/>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C55EF6"/>
    <w:multiLevelType w:val="hybridMultilevel"/>
    <w:tmpl w:val="B90A48D2"/>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143A70"/>
    <w:multiLevelType w:val="hybridMultilevel"/>
    <w:tmpl w:val="647EC230"/>
    <w:lvl w:ilvl="0" w:tplc="95266DE4">
      <w:start w:val="1"/>
      <w:numFmt w:val="decimal"/>
      <w:lvlText w:val="%1)"/>
      <w:lvlJc w:val="left"/>
      <w:pPr>
        <w:ind w:left="720" w:hanging="360"/>
      </w:pPr>
      <w:rPr>
        <w:rFonts w:ascii="Trebuchet MS" w:hAnsi="Trebuchet MS" w:cs="Times New Roman" w:hint="default"/>
        <w:b/>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AF499E"/>
    <w:multiLevelType w:val="hybridMultilevel"/>
    <w:tmpl w:val="E73ECD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9"/>
  </w:num>
  <w:num w:numId="4">
    <w:abstractNumId w:val="14"/>
  </w:num>
  <w:num w:numId="5">
    <w:abstractNumId w:val="4"/>
  </w:num>
  <w:num w:numId="6">
    <w:abstractNumId w:val="1"/>
  </w:num>
  <w:num w:numId="7">
    <w:abstractNumId w:val="3"/>
  </w:num>
  <w:num w:numId="8">
    <w:abstractNumId w:val="2"/>
  </w:num>
  <w:num w:numId="9">
    <w:abstractNumId w:val="5"/>
  </w:num>
  <w:num w:numId="10">
    <w:abstractNumId w:val="10"/>
  </w:num>
  <w:num w:numId="11">
    <w:abstractNumId w:val="11"/>
  </w:num>
  <w:num w:numId="12">
    <w:abstractNumId w:val="0"/>
  </w:num>
  <w:num w:numId="13">
    <w:abstractNumId w:val="13"/>
  </w:num>
  <w:num w:numId="14">
    <w:abstractNumId w:val="7"/>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DA3618"/>
    <w:rsid w:val="001660B7"/>
    <w:rsid w:val="00181461"/>
    <w:rsid w:val="0034318A"/>
    <w:rsid w:val="0057465C"/>
    <w:rsid w:val="005B0354"/>
    <w:rsid w:val="005B05F8"/>
    <w:rsid w:val="005C598F"/>
    <w:rsid w:val="00623475"/>
    <w:rsid w:val="00655F52"/>
    <w:rsid w:val="006D519E"/>
    <w:rsid w:val="006D60BE"/>
    <w:rsid w:val="006E2D8D"/>
    <w:rsid w:val="00722AEE"/>
    <w:rsid w:val="008D4AAC"/>
    <w:rsid w:val="00A81D09"/>
    <w:rsid w:val="00A94FAF"/>
    <w:rsid w:val="00C92EA8"/>
    <w:rsid w:val="00DA3618"/>
    <w:rsid w:val="00DB6EE6"/>
    <w:rsid w:val="00DC0B2D"/>
    <w:rsid w:val="00E07A94"/>
    <w:rsid w:val="00F26E49"/>
    <w:rsid w:val="00FD59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D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3618"/>
    <w:pPr>
      <w:ind w:left="720"/>
      <w:contextualSpacing/>
    </w:pPr>
  </w:style>
  <w:style w:type="paragraph" w:styleId="BalloonText">
    <w:name w:val="Balloon Text"/>
    <w:basedOn w:val="Normal"/>
    <w:link w:val="BalloonTextChar"/>
    <w:uiPriority w:val="99"/>
    <w:semiHidden/>
    <w:unhideWhenUsed/>
    <w:rsid w:val="00F26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E49"/>
    <w:rPr>
      <w:rFonts w:ascii="Tahoma" w:hAnsi="Tahoma" w:cs="Tahoma"/>
      <w:sz w:val="16"/>
      <w:szCs w:val="16"/>
    </w:rPr>
  </w:style>
  <w:style w:type="paragraph" w:styleId="Header">
    <w:name w:val="header"/>
    <w:basedOn w:val="Normal"/>
    <w:link w:val="HeaderChar"/>
    <w:uiPriority w:val="99"/>
    <w:semiHidden/>
    <w:unhideWhenUsed/>
    <w:rsid w:val="003431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318A"/>
  </w:style>
  <w:style w:type="paragraph" w:styleId="Footer">
    <w:name w:val="footer"/>
    <w:basedOn w:val="Normal"/>
    <w:link w:val="FooterChar"/>
    <w:uiPriority w:val="99"/>
    <w:semiHidden/>
    <w:unhideWhenUsed/>
    <w:rsid w:val="003431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318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D:\Study%20and%20Information\Revised%20Sch%20VI\Comparison%20of%20%20Revised%20and%20Old%20Sch%20VI.xls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file:///D:\Study%20and%20Information\Revised%20Sch%20VI\Comparison%20of%20%20Revised%20and%20Old%20Sch%20VI.xlsx" TargetMode="Externa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file:///D:\Study%20and%20Information\Revised%20Sch%20VI\Comparison%20of%20%20Revised%20and%20Old%20Sch%20VI.xls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DEF62E-E2EF-4CE1-A2AE-E1DCC8AA7D86}"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484D8AC3-B8E8-4285-81C8-056B7750E78A}">
      <dgm:prSet phldrT="[Text]"/>
      <dgm:spPr/>
      <dgm:t>
        <a:bodyPr/>
        <a:lstStyle/>
        <a:p>
          <a:r>
            <a:rPr lang="en-US"/>
            <a:t>Access to International capital market</a:t>
          </a:r>
        </a:p>
      </dgm:t>
    </dgm:pt>
    <dgm:pt modelId="{7628C440-B123-408F-AA9C-AFDBB290CCE4}" type="parTrans" cxnId="{1DC825EF-4436-49B6-B0A6-929CA6263186}">
      <dgm:prSet/>
      <dgm:spPr/>
      <dgm:t>
        <a:bodyPr/>
        <a:lstStyle/>
        <a:p>
          <a:endParaRPr lang="en-US"/>
        </a:p>
      </dgm:t>
    </dgm:pt>
    <dgm:pt modelId="{A2EAACAA-915F-40D5-8FAC-13D28A3BC3F3}" type="sibTrans" cxnId="{1DC825EF-4436-49B6-B0A6-929CA6263186}">
      <dgm:prSet/>
      <dgm:spPr/>
      <dgm:t>
        <a:bodyPr/>
        <a:lstStyle/>
        <a:p>
          <a:endParaRPr lang="en-US"/>
        </a:p>
      </dgm:t>
    </dgm:pt>
    <dgm:pt modelId="{F2097976-4BD2-4D50-AFCD-16D6D35EA212}">
      <dgm:prSet phldrT="[Text]"/>
      <dgm:spPr/>
      <dgm:t>
        <a:bodyPr/>
        <a:lstStyle/>
        <a:p>
          <a:r>
            <a:rPr lang="en-US"/>
            <a:t>Improves management information</a:t>
          </a:r>
        </a:p>
      </dgm:t>
    </dgm:pt>
    <dgm:pt modelId="{2C98FA7B-692B-47CA-AD16-FFF9130D29DE}" type="parTrans" cxnId="{42EE415D-BF30-44EB-B55D-3BDE55DC12E3}">
      <dgm:prSet/>
      <dgm:spPr/>
      <dgm:t>
        <a:bodyPr/>
        <a:lstStyle/>
        <a:p>
          <a:endParaRPr lang="en-US"/>
        </a:p>
      </dgm:t>
    </dgm:pt>
    <dgm:pt modelId="{0755536F-2E9C-41DB-A898-97FDDBE36179}" type="sibTrans" cxnId="{42EE415D-BF30-44EB-B55D-3BDE55DC12E3}">
      <dgm:prSet/>
      <dgm:spPr/>
      <dgm:t>
        <a:bodyPr/>
        <a:lstStyle/>
        <a:p>
          <a:endParaRPr lang="en-US"/>
        </a:p>
      </dgm:t>
    </dgm:pt>
    <dgm:pt modelId="{B779FA78-71F7-4B0F-956A-F1CE312159EA}">
      <dgm:prSet phldrT="[Text]"/>
      <dgm:spPr/>
      <dgm:t>
        <a:bodyPr/>
        <a:lstStyle/>
        <a:p>
          <a:r>
            <a:rPr lang="en-US"/>
            <a:t>Streaming reporting processes</a:t>
          </a:r>
        </a:p>
      </dgm:t>
    </dgm:pt>
    <dgm:pt modelId="{C92DAB7F-FC03-4BAE-8F78-99440ADB836E}" type="parTrans" cxnId="{D6A9A01B-6834-42EB-A175-9274E2864936}">
      <dgm:prSet/>
      <dgm:spPr/>
      <dgm:t>
        <a:bodyPr/>
        <a:lstStyle/>
        <a:p>
          <a:endParaRPr lang="en-US"/>
        </a:p>
      </dgm:t>
    </dgm:pt>
    <dgm:pt modelId="{BBC6531C-D455-4E5C-9435-17057A0CE189}" type="sibTrans" cxnId="{D6A9A01B-6834-42EB-A175-9274E2864936}">
      <dgm:prSet/>
      <dgm:spPr/>
      <dgm:t>
        <a:bodyPr/>
        <a:lstStyle/>
        <a:p>
          <a:endParaRPr lang="en-US"/>
        </a:p>
      </dgm:t>
    </dgm:pt>
    <dgm:pt modelId="{44F34906-43F9-4112-BAFA-0BE1362DB2F8}">
      <dgm:prSet phldrT="[Text]"/>
      <dgm:spPr/>
      <dgm:t>
        <a:bodyPr/>
        <a:lstStyle/>
        <a:p>
          <a:r>
            <a:rPr lang="en-US"/>
            <a:t>Benchmarking eith global peers</a:t>
          </a:r>
        </a:p>
      </dgm:t>
    </dgm:pt>
    <dgm:pt modelId="{A51BF9DB-A88C-4684-874A-A2412352921D}" type="parTrans" cxnId="{4621A4A0-7DE2-46B4-8F7B-C1FCE5CF8E07}">
      <dgm:prSet/>
      <dgm:spPr/>
      <dgm:t>
        <a:bodyPr/>
        <a:lstStyle/>
        <a:p>
          <a:endParaRPr lang="en-US"/>
        </a:p>
      </dgm:t>
    </dgm:pt>
    <dgm:pt modelId="{12FC3835-7478-44E6-AEFA-38AD42F91C31}" type="sibTrans" cxnId="{4621A4A0-7DE2-46B4-8F7B-C1FCE5CF8E07}">
      <dgm:prSet/>
      <dgm:spPr/>
      <dgm:t>
        <a:bodyPr/>
        <a:lstStyle/>
        <a:p>
          <a:endParaRPr lang="en-US"/>
        </a:p>
      </dgm:t>
    </dgm:pt>
    <dgm:pt modelId="{093B4EF8-18D6-4780-B06D-5FDCEE4C22DC}">
      <dgm:prSet phldrT="[Text]"/>
      <dgm:spPr/>
      <dgm:t>
        <a:bodyPr/>
        <a:lstStyle/>
        <a:p>
          <a:r>
            <a:rPr lang="en-US"/>
            <a:t>IND-AS</a:t>
          </a:r>
        </a:p>
      </dgm:t>
    </dgm:pt>
    <dgm:pt modelId="{9F0BD8FE-7783-4AF7-9EDD-5BD146FD7E7C}" type="parTrans" cxnId="{D86E6B46-3B5D-438F-8AD2-5845BB6C0123}">
      <dgm:prSet/>
      <dgm:spPr/>
      <dgm:t>
        <a:bodyPr/>
        <a:lstStyle/>
        <a:p>
          <a:endParaRPr lang="en-US"/>
        </a:p>
      </dgm:t>
    </dgm:pt>
    <dgm:pt modelId="{4F3040C9-32C6-4887-9AC1-62A16CFBFD86}" type="sibTrans" cxnId="{D86E6B46-3B5D-438F-8AD2-5845BB6C0123}">
      <dgm:prSet/>
      <dgm:spPr/>
      <dgm:t>
        <a:bodyPr/>
        <a:lstStyle/>
        <a:p>
          <a:endParaRPr lang="en-US"/>
        </a:p>
      </dgm:t>
    </dgm:pt>
    <dgm:pt modelId="{0021460B-8DFC-4767-B11B-8E3D813DEB9D}">
      <dgm:prSet phldrT="[Text]"/>
      <dgm:spPr/>
      <dgm:t>
        <a:bodyPr/>
        <a:lstStyle/>
        <a:p>
          <a:r>
            <a:rPr lang="en-US"/>
            <a:t>Better information to Investors</a:t>
          </a:r>
        </a:p>
      </dgm:t>
    </dgm:pt>
    <dgm:pt modelId="{705C5CA3-A439-4B3B-B7C4-9ADE14D8CF25}" type="parTrans" cxnId="{C40C3A2A-0D78-45BE-83FD-31391E20D9D5}">
      <dgm:prSet/>
      <dgm:spPr/>
      <dgm:t>
        <a:bodyPr/>
        <a:lstStyle/>
        <a:p>
          <a:endParaRPr lang="en-US"/>
        </a:p>
      </dgm:t>
    </dgm:pt>
    <dgm:pt modelId="{CDEA8520-7DCF-4E85-80F7-97CD4464E85E}" type="sibTrans" cxnId="{C40C3A2A-0D78-45BE-83FD-31391E20D9D5}">
      <dgm:prSet/>
      <dgm:spPr/>
      <dgm:t>
        <a:bodyPr/>
        <a:lstStyle/>
        <a:p>
          <a:endParaRPr lang="en-US"/>
        </a:p>
      </dgm:t>
    </dgm:pt>
    <dgm:pt modelId="{955A15CD-D349-450A-A992-4F5D1DA1FA6E}" type="pres">
      <dgm:prSet presAssocID="{A0DEF62E-E2EF-4CE1-A2AE-E1DCC8AA7D86}" presName="diagram" presStyleCnt="0">
        <dgm:presLayoutVars>
          <dgm:dir/>
          <dgm:resizeHandles val="exact"/>
        </dgm:presLayoutVars>
      </dgm:prSet>
      <dgm:spPr/>
      <dgm:t>
        <a:bodyPr/>
        <a:lstStyle/>
        <a:p>
          <a:endParaRPr lang="en-US"/>
        </a:p>
      </dgm:t>
    </dgm:pt>
    <dgm:pt modelId="{E12C9E48-0D68-4A53-A38D-1A40CCB82CF7}" type="pres">
      <dgm:prSet presAssocID="{484D8AC3-B8E8-4285-81C8-056B7750E78A}" presName="node" presStyleLbl="node1" presStyleIdx="0" presStyleCnt="6" custScaleX="68007" custScaleY="73969">
        <dgm:presLayoutVars>
          <dgm:bulletEnabled val="1"/>
        </dgm:presLayoutVars>
      </dgm:prSet>
      <dgm:spPr/>
      <dgm:t>
        <a:bodyPr/>
        <a:lstStyle/>
        <a:p>
          <a:endParaRPr lang="en-US"/>
        </a:p>
      </dgm:t>
    </dgm:pt>
    <dgm:pt modelId="{7191C489-A28C-4CA6-B032-8551FB01491C}" type="pres">
      <dgm:prSet presAssocID="{A2EAACAA-915F-40D5-8FAC-13D28A3BC3F3}" presName="sibTrans" presStyleLbl="sibTrans2D1" presStyleIdx="0" presStyleCnt="5"/>
      <dgm:spPr/>
      <dgm:t>
        <a:bodyPr/>
        <a:lstStyle/>
        <a:p>
          <a:endParaRPr lang="en-US"/>
        </a:p>
      </dgm:t>
    </dgm:pt>
    <dgm:pt modelId="{CEDC13F6-9216-4D54-B14F-DCEDBF2D1CA7}" type="pres">
      <dgm:prSet presAssocID="{A2EAACAA-915F-40D5-8FAC-13D28A3BC3F3}" presName="connectorText" presStyleLbl="sibTrans2D1" presStyleIdx="0" presStyleCnt="5"/>
      <dgm:spPr/>
      <dgm:t>
        <a:bodyPr/>
        <a:lstStyle/>
        <a:p>
          <a:endParaRPr lang="en-US"/>
        </a:p>
      </dgm:t>
    </dgm:pt>
    <dgm:pt modelId="{FC89892E-8E48-4398-ADE3-852B65E0E901}" type="pres">
      <dgm:prSet presAssocID="{F2097976-4BD2-4D50-AFCD-16D6D35EA212}" presName="node" presStyleLbl="node1" presStyleIdx="1" presStyleCnt="6" custScaleX="40786" custScaleY="79001">
        <dgm:presLayoutVars>
          <dgm:bulletEnabled val="1"/>
        </dgm:presLayoutVars>
      </dgm:prSet>
      <dgm:spPr/>
      <dgm:t>
        <a:bodyPr/>
        <a:lstStyle/>
        <a:p>
          <a:endParaRPr lang="en-US"/>
        </a:p>
      </dgm:t>
    </dgm:pt>
    <dgm:pt modelId="{718679C2-D72A-48C8-96C3-2FFDF4D88602}" type="pres">
      <dgm:prSet presAssocID="{0755536F-2E9C-41DB-A898-97FDDBE36179}" presName="sibTrans" presStyleLbl="sibTrans2D1" presStyleIdx="1" presStyleCnt="5"/>
      <dgm:spPr/>
      <dgm:t>
        <a:bodyPr/>
        <a:lstStyle/>
        <a:p>
          <a:endParaRPr lang="en-US"/>
        </a:p>
      </dgm:t>
    </dgm:pt>
    <dgm:pt modelId="{6EA60E9E-91F4-4FBB-97B1-FC8C9AE7D04B}" type="pres">
      <dgm:prSet presAssocID="{0755536F-2E9C-41DB-A898-97FDDBE36179}" presName="connectorText" presStyleLbl="sibTrans2D1" presStyleIdx="1" presStyleCnt="5"/>
      <dgm:spPr/>
      <dgm:t>
        <a:bodyPr/>
        <a:lstStyle/>
        <a:p>
          <a:endParaRPr lang="en-US"/>
        </a:p>
      </dgm:t>
    </dgm:pt>
    <dgm:pt modelId="{0A9FB742-79E1-492F-AF0A-FE3E12B26E4C}" type="pres">
      <dgm:prSet presAssocID="{B779FA78-71F7-4B0F-956A-F1CE312159EA}" presName="node" presStyleLbl="node1" presStyleIdx="2" presStyleCnt="6" custScaleX="41319" custScaleY="81436">
        <dgm:presLayoutVars>
          <dgm:bulletEnabled val="1"/>
        </dgm:presLayoutVars>
      </dgm:prSet>
      <dgm:spPr/>
      <dgm:t>
        <a:bodyPr/>
        <a:lstStyle/>
        <a:p>
          <a:endParaRPr lang="en-US"/>
        </a:p>
      </dgm:t>
    </dgm:pt>
    <dgm:pt modelId="{78680641-B916-4AEF-A1FA-FA97BCC962DE}" type="pres">
      <dgm:prSet presAssocID="{BBC6531C-D455-4E5C-9435-17057A0CE189}" presName="sibTrans" presStyleLbl="sibTrans2D1" presStyleIdx="2" presStyleCnt="5"/>
      <dgm:spPr/>
      <dgm:t>
        <a:bodyPr/>
        <a:lstStyle/>
        <a:p>
          <a:endParaRPr lang="en-US"/>
        </a:p>
      </dgm:t>
    </dgm:pt>
    <dgm:pt modelId="{64FC6756-B82D-4259-91AD-A1CDE5E33D28}" type="pres">
      <dgm:prSet presAssocID="{BBC6531C-D455-4E5C-9435-17057A0CE189}" presName="connectorText" presStyleLbl="sibTrans2D1" presStyleIdx="2" presStyleCnt="5"/>
      <dgm:spPr/>
      <dgm:t>
        <a:bodyPr/>
        <a:lstStyle/>
        <a:p>
          <a:endParaRPr lang="en-US"/>
        </a:p>
      </dgm:t>
    </dgm:pt>
    <dgm:pt modelId="{C3830F2A-FA45-4F21-8D06-203DE6C4A91B}" type="pres">
      <dgm:prSet presAssocID="{44F34906-43F9-4112-BAFA-0BE1362DB2F8}" presName="node" presStyleLbl="node1" presStyleIdx="3" presStyleCnt="6" custScaleX="36888" custScaleY="57973">
        <dgm:presLayoutVars>
          <dgm:bulletEnabled val="1"/>
        </dgm:presLayoutVars>
      </dgm:prSet>
      <dgm:spPr/>
      <dgm:t>
        <a:bodyPr/>
        <a:lstStyle/>
        <a:p>
          <a:endParaRPr lang="en-US"/>
        </a:p>
      </dgm:t>
    </dgm:pt>
    <dgm:pt modelId="{F2742D46-0A22-44F4-9DF4-A081399B1C74}" type="pres">
      <dgm:prSet presAssocID="{12FC3835-7478-44E6-AEFA-38AD42F91C31}" presName="sibTrans" presStyleLbl="sibTrans2D1" presStyleIdx="3" presStyleCnt="5"/>
      <dgm:spPr/>
      <dgm:t>
        <a:bodyPr/>
        <a:lstStyle/>
        <a:p>
          <a:endParaRPr lang="en-US"/>
        </a:p>
      </dgm:t>
    </dgm:pt>
    <dgm:pt modelId="{2D171A34-9D98-4EAB-9D75-E4D1F264743D}" type="pres">
      <dgm:prSet presAssocID="{12FC3835-7478-44E6-AEFA-38AD42F91C31}" presName="connectorText" presStyleLbl="sibTrans2D1" presStyleIdx="3" presStyleCnt="5"/>
      <dgm:spPr/>
      <dgm:t>
        <a:bodyPr/>
        <a:lstStyle/>
        <a:p>
          <a:endParaRPr lang="en-US"/>
        </a:p>
      </dgm:t>
    </dgm:pt>
    <dgm:pt modelId="{6CFA4809-DDE4-429C-81F3-A629CC88A178}" type="pres">
      <dgm:prSet presAssocID="{0021460B-8DFC-4767-B11B-8E3D813DEB9D}" presName="node" presStyleLbl="node1" presStyleIdx="4" presStyleCnt="6" custScaleX="71393" custScaleY="55749">
        <dgm:presLayoutVars>
          <dgm:bulletEnabled val="1"/>
        </dgm:presLayoutVars>
      </dgm:prSet>
      <dgm:spPr/>
      <dgm:t>
        <a:bodyPr/>
        <a:lstStyle/>
        <a:p>
          <a:endParaRPr lang="en-US"/>
        </a:p>
      </dgm:t>
    </dgm:pt>
    <dgm:pt modelId="{6080884B-C695-4519-95D0-88A2EDE0BB5E}" type="pres">
      <dgm:prSet presAssocID="{CDEA8520-7DCF-4E85-80F7-97CD4464E85E}" presName="sibTrans" presStyleLbl="sibTrans2D1" presStyleIdx="4" presStyleCnt="5"/>
      <dgm:spPr/>
      <dgm:t>
        <a:bodyPr/>
        <a:lstStyle/>
        <a:p>
          <a:endParaRPr lang="en-US"/>
        </a:p>
      </dgm:t>
    </dgm:pt>
    <dgm:pt modelId="{67D72CDB-0AF6-4DD8-9180-F568D1465197}" type="pres">
      <dgm:prSet presAssocID="{CDEA8520-7DCF-4E85-80F7-97CD4464E85E}" presName="connectorText" presStyleLbl="sibTrans2D1" presStyleIdx="4" presStyleCnt="5"/>
      <dgm:spPr/>
      <dgm:t>
        <a:bodyPr/>
        <a:lstStyle/>
        <a:p>
          <a:endParaRPr lang="en-US"/>
        </a:p>
      </dgm:t>
    </dgm:pt>
    <dgm:pt modelId="{47594A63-4767-4571-BE40-05725F8FE9AB}" type="pres">
      <dgm:prSet presAssocID="{093B4EF8-18D6-4780-B06D-5FDCEE4C22DC}" presName="node" presStyleLbl="node1" presStyleIdx="5" presStyleCnt="6" custScaleX="54586" custScaleY="67526">
        <dgm:presLayoutVars>
          <dgm:bulletEnabled val="1"/>
        </dgm:presLayoutVars>
      </dgm:prSet>
      <dgm:spPr/>
      <dgm:t>
        <a:bodyPr/>
        <a:lstStyle/>
        <a:p>
          <a:endParaRPr lang="en-US"/>
        </a:p>
      </dgm:t>
    </dgm:pt>
  </dgm:ptLst>
  <dgm:cxnLst>
    <dgm:cxn modelId="{6B53646B-70CE-4D96-8F06-E96B3379FCB0}" type="presOf" srcId="{093B4EF8-18D6-4780-B06D-5FDCEE4C22DC}" destId="{47594A63-4767-4571-BE40-05725F8FE9AB}" srcOrd="0" destOrd="0" presId="urn:microsoft.com/office/officeart/2005/8/layout/process5"/>
    <dgm:cxn modelId="{66F6D60A-E069-4676-B24C-9F5866D5CCE6}" type="presOf" srcId="{0755536F-2E9C-41DB-A898-97FDDBE36179}" destId="{718679C2-D72A-48C8-96C3-2FFDF4D88602}" srcOrd="0" destOrd="0" presId="urn:microsoft.com/office/officeart/2005/8/layout/process5"/>
    <dgm:cxn modelId="{75A9B815-6444-43E9-B779-FF9F994DBB24}" type="presOf" srcId="{F2097976-4BD2-4D50-AFCD-16D6D35EA212}" destId="{FC89892E-8E48-4398-ADE3-852B65E0E901}" srcOrd="0" destOrd="0" presId="urn:microsoft.com/office/officeart/2005/8/layout/process5"/>
    <dgm:cxn modelId="{66435B9F-0806-449A-80B5-65274825C616}" type="presOf" srcId="{BBC6531C-D455-4E5C-9435-17057A0CE189}" destId="{78680641-B916-4AEF-A1FA-FA97BCC962DE}" srcOrd="0" destOrd="0" presId="urn:microsoft.com/office/officeart/2005/8/layout/process5"/>
    <dgm:cxn modelId="{93755576-32A4-4723-9FC0-DF74696D0C0C}" type="presOf" srcId="{44F34906-43F9-4112-BAFA-0BE1362DB2F8}" destId="{C3830F2A-FA45-4F21-8D06-203DE6C4A91B}" srcOrd="0" destOrd="0" presId="urn:microsoft.com/office/officeart/2005/8/layout/process5"/>
    <dgm:cxn modelId="{42EE415D-BF30-44EB-B55D-3BDE55DC12E3}" srcId="{A0DEF62E-E2EF-4CE1-A2AE-E1DCC8AA7D86}" destId="{F2097976-4BD2-4D50-AFCD-16D6D35EA212}" srcOrd="1" destOrd="0" parTransId="{2C98FA7B-692B-47CA-AD16-FFF9130D29DE}" sibTransId="{0755536F-2E9C-41DB-A898-97FDDBE36179}"/>
    <dgm:cxn modelId="{63354DC0-A558-4C06-AFC3-0B290EFEA38E}" type="presOf" srcId="{0755536F-2E9C-41DB-A898-97FDDBE36179}" destId="{6EA60E9E-91F4-4FBB-97B1-FC8C9AE7D04B}" srcOrd="1" destOrd="0" presId="urn:microsoft.com/office/officeart/2005/8/layout/process5"/>
    <dgm:cxn modelId="{8314FD9B-C610-43D5-850F-A313A1793BDD}" type="presOf" srcId="{A2EAACAA-915F-40D5-8FAC-13D28A3BC3F3}" destId="{7191C489-A28C-4CA6-B032-8551FB01491C}" srcOrd="0" destOrd="0" presId="urn:microsoft.com/office/officeart/2005/8/layout/process5"/>
    <dgm:cxn modelId="{D86E6B46-3B5D-438F-8AD2-5845BB6C0123}" srcId="{A0DEF62E-E2EF-4CE1-A2AE-E1DCC8AA7D86}" destId="{093B4EF8-18D6-4780-B06D-5FDCEE4C22DC}" srcOrd="5" destOrd="0" parTransId="{9F0BD8FE-7783-4AF7-9EDD-5BD146FD7E7C}" sibTransId="{4F3040C9-32C6-4887-9AC1-62A16CFBFD86}"/>
    <dgm:cxn modelId="{D6A9A01B-6834-42EB-A175-9274E2864936}" srcId="{A0DEF62E-E2EF-4CE1-A2AE-E1DCC8AA7D86}" destId="{B779FA78-71F7-4B0F-956A-F1CE312159EA}" srcOrd="2" destOrd="0" parTransId="{C92DAB7F-FC03-4BAE-8F78-99440ADB836E}" sibTransId="{BBC6531C-D455-4E5C-9435-17057A0CE189}"/>
    <dgm:cxn modelId="{7885EE59-7DBA-434A-90B0-C32CA5012279}" type="presOf" srcId="{CDEA8520-7DCF-4E85-80F7-97CD4464E85E}" destId="{67D72CDB-0AF6-4DD8-9180-F568D1465197}" srcOrd="1" destOrd="0" presId="urn:microsoft.com/office/officeart/2005/8/layout/process5"/>
    <dgm:cxn modelId="{D5B2080A-2BC1-47DE-A2CB-538E0872ED2B}" type="presOf" srcId="{0021460B-8DFC-4767-B11B-8E3D813DEB9D}" destId="{6CFA4809-DDE4-429C-81F3-A629CC88A178}" srcOrd="0" destOrd="0" presId="urn:microsoft.com/office/officeart/2005/8/layout/process5"/>
    <dgm:cxn modelId="{6A21D549-BDDB-4A89-A769-8074A40842E5}" type="presOf" srcId="{12FC3835-7478-44E6-AEFA-38AD42F91C31}" destId="{2D171A34-9D98-4EAB-9D75-E4D1F264743D}" srcOrd="1" destOrd="0" presId="urn:microsoft.com/office/officeart/2005/8/layout/process5"/>
    <dgm:cxn modelId="{655DE515-2D41-4FE6-B6A5-53444373EB6B}" type="presOf" srcId="{B779FA78-71F7-4B0F-956A-F1CE312159EA}" destId="{0A9FB742-79E1-492F-AF0A-FE3E12B26E4C}" srcOrd="0" destOrd="0" presId="urn:microsoft.com/office/officeart/2005/8/layout/process5"/>
    <dgm:cxn modelId="{5E8A699B-6E85-4124-BFF2-B82E7F394496}" type="presOf" srcId="{BBC6531C-D455-4E5C-9435-17057A0CE189}" destId="{64FC6756-B82D-4259-91AD-A1CDE5E33D28}" srcOrd="1" destOrd="0" presId="urn:microsoft.com/office/officeart/2005/8/layout/process5"/>
    <dgm:cxn modelId="{E3DA730E-DFFE-4291-97DA-AD49D68993C9}" type="presOf" srcId="{A0DEF62E-E2EF-4CE1-A2AE-E1DCC8AA7D86}" destId="{955A15CD-D349-450A-A992-4F5D1DA1FA6E}" srcOrd="0" destOrd="0" presId="urn:microsoft.com/office/officeart/2005/8/layout/process5"/>
    <dgm:cxn modelId="{4621A4A0-7DE2-46B4-8F7B-C1FCE5CF8E07}" srcId="{A0DEF62E-E2EF-4CE1-A2AE-E1DCC8AA7D86}" destId="{44F34906-43F9-4112-BAFA-0BE1362DB2F8}" srcOrd="3" destOrd="0" parTransId="{A51BF9DB-A88C-4684-874A-A2412352921D}" sibTransId="{12FC3835-7478-44E6-AEFA-38AD42F91C31}"/>
    <dgm:cxn modelId="{BFFB233C-7096-47E0-8299-96E4973F2629}" type="presOf" srcId="{12FC3835-7478-44E6-AEFA-38AD42F91C31}" destId="{F2742D46-0A22-44F4-9DF4-A081399B1C74}" srcOrd="0" destOrd="0" presId="urn:microsoft.com/office/officeart/2005/8/layout/process5"/>
    <dgm:cxn modelId="{ADF41790-465C-4D1F-A0BA-87CB858F14FC}" type="presOf" srcId="{CDEA8520-7DCF-4E85-80F7-97CD4464E85E}" destId="{6080884B-C695-4519-95D0-88A2EDE0BB5E}" srcOrd="0" destOrd="0" presId="urn:microsoft.com/office/officeart/2005/8/layout/process5"/>
    <dgm:cxn modelId="{17F48775-3DC0-4C1A-95CA-1C9060A00895}" type="presOf" srcId="{484D8AC3-B8E8-4285-81C8-056B7750E78A}" destId="{E12C9E48-0D68-4A53-A38D-1A40CCB82CF7}" srcOrd="0" destOrd="0" presId="urn:microsoft.com/office/officeart/2005/8/layout/process5"/>
    <dgm:cxn modelId="{C40C3A2A-0D78-45BE-83FD-31391E20D9D5}" srcId="{A0DEF62E-E2EF-4CE1-A2AE-E1DCC8AA7D86}" destId="{0021460B-8DFC-4767-B11B-8E3D813DEB9D}" srcOrd="4" destOrd="0" parTransId="{705C5CA3-A439-4B3B-B7C4-9ADE14D8CF25}" sibTransId="{CDEA8520-7DCF-4E85-80F7-97CD4464E85E}"/>
    <dgm:cxn modelId="{584150BB-C595-4655-A1DB-2DB633E7DB52}" type="presOf" srcId="{A2EAACAA-915F-40D5-8FAC-13D28A3BC3F3}" destId="{CEDC13F6-9216-4D54-B14F-DCEDBF2D1CA7}" srcOrd="1" destOrd="0" presId="urn:microsoft.com/office/officeart/2005/8/layout/process5"/>
    <dgm:cxn modelId="{1DC825EF-4436-49B6-B0A6-929CA6263186}" srcId="{A0DEF62E-E2EF-4CE1-A2AE-E1DCC8AA7D86}" destId="{484D8AC3-B8E8-4285-81C8-056B7750E78A}" srcOrd="0" destOrd="0" parTransId="{7628C440-B123-408F-AA9C-AFDBB290CCE4}" sibTransId="{A2EAACAA-915F-40D5-8FAC-13D28A3BC3F3}"/>
    <dgm:cxn modelId="{B862DA40-8B8F-48D9-8683-4271E33354CB}" type="presParOf" srcId="{955A15CD-D349-450A-A992-4F5D1DA1FA6E}" destId="{E12C9E48-0D68-4A53-A38D-1A40CCB82CF7}" srcOrd="0" destOrd="0" presId="urn:microsoft.com/office/officeart/2005/8/layout/process5"/>
    <dgm:cxn modelId="{4D3898D3-9FDA-41A2-88D2-18FBBE8C48CA}" type="presParOf" srcId="{955A15CD-D349-450A-A992-4F5D1DA1FA6E}" destId="{7191C489-A28C-4CA6-B032-8551FB01491C}" srcOrd="1" destOrd="0" presId="urn:microsoft.com/office/officeart/2005/8/layout/process5"/>
    <dgm:cxn modelId="{650512AF-0194-47E8-8E20-42F1EC01A479}" type="presParOf" srcId="{7191C489-A28C-4CA6-B032-8551FB01491C}" destId="{CEDC13F6-9216-4D54-B14F-DCEDBF2D1CA7}" srcOrd="0" destOrd="0" presId="urn:microsoft.com/office/officeart/2005/8/layout/process5"/>
    <dgm:cxn modelId="{381DF794-B429-4232-931F-B56D03722CEB}" type="presParOf" srcId="{955A15CD-D349-450A-A992-4F5D1DA1FA6E}" destId="{FC89892E-8E48-4398-ADE3-852B65E0E901}" srcOrd="2" destOrd="0" presId="urn:microsoft.com/office/officeart/2005/8/layout/process5"/>
    <dgm:cxn modelId="{724BDDDB-B5F5-4171-A6B3-4861E3B81F96}" type="presParOf" srcId="{955A15CD-D349-450A-A992-4F5D1DA1FA6E}" destId="{718679C2-D72A-48C8-96C3-2FFDF4D88602}" srcOrd="3" destOrd="0" presId="urn:microsoft.com/office/officeart/2005/8/layout/process5"/>
    <dgm:cxn modelId="{124D01D0-6221-4D3D-A229-79AB1A7359AC}" type="presParOf" srcId="{718679C2-D72A-48C8-96C3-2FFDF4D88602}" destId="{6EA60E9E-91F4-4FBB-97B1-FC8C9AE7D04B}" srcOrd="0" destOrd="0" presId="urn:microsoft.com/office/officeart/2005/8/layout/process5"/>
    <dgm:cxn modelId="{B976118C-7C39-4710-B071-A7CD45F6027A}" type="presParOf" srcId="{955A15CD-D349-450A-A992-4F5D1DA1FA6E}" destId="{0A9FB742-79E1-492F-AF0A-FE3E12B26E4C}" srcOrd="4" destOrd="0" presId="urn:microsoft.com/office/officeart/2005/8/layout/process5"/>
    <dgm:cxn modelId="{0ABAF6F5-5210-49B4-B717-5DB7042B93E1}" type="presParOf" srcId="{955A15CD-D349-450A-A992-4F5D1DA1FA6E}" destId="{78680641-B916-4AEF-A1FA-FA97BCC962DE}" srcOrd="5" destOrd="0" presId="urn:microsoft.com/office/officeart/2005/8/layout/process5"/>
    <dgm:cxn modelId="{1D934327-6998-4ABB-837E-7AB51119B8C5}" type="presParOf" srcId="{78680641-B916-4AEF-A1FA-FA97BCC962DE}" destId="{64FC6756-B82D-4259-91AD-A1CDE5E33D28}" srcOrd="0" destOrd="0" presId="urn:microsoft.com/office/officeart/2005/8/layout/process5"/>
    <dgm:cxn modelId="{040A109B-5F2C-4470-A3CC-079433D377D4}" type="presParOf" srcId="{955A15CD-D349-450A-A992-4F5D1DA1FA6E}" destId="{C3830F2A-FA45-4F21-8D06-203DE6C4A91B}" srcOrd="6" destOrd="0" presId="urn:microsoft.com/office/officeart/2005/8/layout/process5"/>
    <dgm:cxn modelId="{6BC54116-289F-473A-9760-7CC3FF42D151}" type="presParOf" srcId="{955A15CD-D349-450A-A992-4F5D1DA1FA6E}" destId="{F2742D46-0A22-44F4-9DF4-A081399B1C74}" srcOrd="7" destOrd="0" presId="urn:microsoft.com/office/officeart/2005/8/layout/process5"/>
    <dgm:cxn modelId="{3D74CA14-B12C-499E-8F40-ECFBB7B61D36}" type="presParOf" srcId="{F2742D46-0A22-44F4-9DF4-A081399B1C74}" destId="{2D171A34-9D98-4EAB-9D75-E4D1F264743D}" srcOrd="0" destOrd="0" presId="urn:microsoft.com/office/officeart/2005/8/layout/process5"/>
    <dgm:cxn modelId="{48F98EE1-B1E9-458E-91F1-3F121E36A36C}" type="presParOf" srcId="{955A15CD-D349-450A-A992-4F5D1DA1FA6E}" destId="{6CFA4809-DDE4-429C-81F3-A629CC88A178}" srcOrd="8" destOrd="0" presId="urn:microsoft.com/office/officeart/2005/8/layout/process5"/>
    <dgm:cxn modelId="{920D25F4-E6F4-45D3-9573-7E364AD932B2}" type="presParOf" srcId="{955A15CD-D349-450A-A992-4F5D1DA1FA6E}" destId="{6080884B-C695-4519-95D0-88A2EDE0BB5E}" srcOrd="9" destOrd="0" presId="urn:microsoft.com/office/officeart/2005/8/layout/process5"/>
    <dgm:cxn modelId="{064A8630-2A60-41C1-A94E-766A8CBE9F79}" type="presParOf" srcId="{6080884B-C695-4519-95D0-88A2EDE0BB5E}" destId="{67D72CDB-0AF6-4DD8-9180-F568D1465197}" srcOrd="0" destOrd="0" presId="urn:microsoft.com/office/officeart/2005/8/layout/process5"/>
    <dgm:cxn modelId="{700F9D62-DD88-4FC8-A9CC-5F6472143877}" type="presParOf" srcId="{955A15CD-D349-450A-A992-4F5D1DA1FA6E}" destId="{47594A63-4767-4571-BE40-05725F8FE9AB}" srcOrd="10" destOrd="0" presId="urn:microsoft.com/office/officeart/2005/8/layout/process5"/>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AD84A-5946-4B2A-9762-F9D81B462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1835</Words>
  <Characters>10461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SOKTAS INDIA PVT LTD</Company>
  <LinksUpToDate>false</LinksUpToDate>
  <CharactersWithSpaces>12272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Abhijeet Bobade</dc:creator>
  <cp:keywords/>
  <dc:description/>
  <cp:lastModifiedBy>Abhijeet Bobade</cp:lastModifiedBy>
  <cp:revision>5</cp:revision>
  <cp:lastPrinted>2012-03-06T12:04:00Z</cp:lastPrinted>
  <dcterms:created xsi:type="dcterms:W3CDTF">2012-03-06T04:37:00Z</dcterms:created>
  <dcterms:modified xsi:type="dcterms:W3CDTF">2012-03-06T12:11:00Z</dcterms:modified>
</cp:coreProperties>
</file>