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354" w:rsidRPr="00AE1A33" w:rsidRDefault="00F55C50" w:rsidP="00813A4C">
      <w:pPr>
        <w:jc w:val="center"/>
        <w:rPr>
          <w:bCs/>
          <w:sz w:val="28"/>
          <w:szCs w:val="28"/>
          <w:u w:val="single"/>
        </w:rPr>
      </w:pPr>
      <w:bookmarkStart w:id="0" w:name="_GoBack"/>
      <w:bookmarkEnd w:id="0"/>
      <w:r w:rsidRPr="00AE1A33">
        <w:rPr>
          <w:bCs/>
          <w:sz w:val="28"/>
          <w:szCs w:val="28"/>
          <w:u w:val="single"/>
        </w:rPr>
        <w:t>IMPORTANT POINTS OF CARO,2004</w:t>
      </w:r>
      <w:r w:rsidR="00483354" w:rsidRPr="00AE1A33">
        <w:rPr>
          <w:bCs/>
          <w:sz w:val="28"/>
          <w:szCs w:val="28"/>
          <w:u w:val="single"/>
        </w:rPr>
        <w:t xml:space="preserve"> (AMENDED)</w:t>
      </w:r>
    </w:p>
    <w:p w:rsidR="00483354" w:rsidRPr="00AE1A33" w:rsidRDefault="00483354" w:rsidP="001B79BE">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 xml:space="preserve">CARO come into force </w:t>
      </w:r>
      <w:proofErr w:type="spellStart"/>
      <w:r w:rsidRPr="00AE1A33">
        <w:rPr>
          <w:rFonts w:ascii="Arial Narrow" w:hAnsi="Arial Narrow" w:cs="Arial Narrow"/>
          <w:sz w:val="24"/>
          <w:szCs w:val="24"/>
        </w:rPr>
        <w:t>w.e.f</w:t>
      </w:r>
      <w:proofErr w:type="spellEnd"/>
      <w:r w:rsidRPr="00AE1A33">
        <w:rPr>
          <w:rFonts w:ascii="Arial Narrow" w:hAnsi="Arial Narrow" w:cs="Arial Narrow"/>
          <w:sz w:val="24"/>
          <w:szCs w:val="24"/>
        </w:rPr>
        <w:t>. 1-7-2003</w:t>
      </w:r>
    </w:p>
    <w:p w:rsidR="00483354" w:rsidRPr="00AE1A33" w:rsidRDefault="00483354" w:rsidP="001B79BE">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Order is supplemental to the directions given by the Comptroller and Auditor General of India under section 619 in respect of government companies. These directions continue to be in force.</w:t>
      </w:r>
    </w:p>
    <w:p w:rsidR="00483354" w:rsidRPr="00AE1A33" w:rsidRDefault="00483354" w:rsidP="001B79BE">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Therefore, in respect of government companies, the matters specified in the Order will form</w:t>
      </w:r>
    </w:p>
    <w:p w:rsidR="00483354" w:rsidRPr="00AE1A33" w:rsidRDefault="00483354" w:rsidP="001B79BE">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part of the auditor’s report submitted to the members and the replies to the questionnaire issued by</w:t>
      </w:r>
    </w:p>
    <w:p w:rsidR="00483354" w:rsidRPr="00AE1A33" w:rsidRDefault="00483354" w:rsidP="001B79BE">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the Comptroller and Auditor General of India under section 619 will continue to be furnished as</w:t>
      </w:r>
    </w:p>
    <w:p w:rsidR="00483354" w:rsidRPr="00AE1A33" w:rsidRDefault="00483354" w:rsidP="001B79BE">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hitherto.</w:t>
      </w:r>
    </w:p>
    <w:p w:rsidR="00483354" w:rsidRPr="00AE1A33" w:rsidRDefault="00483354" w:rsidP="001B79BE">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This order apply to branch of the company (As it is the requirement of section 228 of the act, that the branch auditor has the same responsibility as of the company’s auditor. So the branch auditor also has to report on the Order) and foreign company also as defined in section 591 of the Act.</w:t>
      </w:r>
    </w:p>
    <w:p w:rsidR="00483354" w:rsidRPr="00AE1A33" w:rsidRDefault="00483354" w:rsidP="00BD2B06">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All the conditions for applicability of the order on private company include/ based on excess amount than as prescribed for applicability of the order and all the amount shall be considered at any point of time.</w:t>
      </w:r>
    </w:p>
    <w:p w:rsidR="00483354" w:rsidRPr="00AE1A33" w:rsidRDefault="00483354" w:rsidP="00761D86">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The Order would not also apply in case of non-banking finance company, which converts into a banking company and as on the balance sheet date is a banking company.</w:t>
      </w:r>
    </w:p>
    <w:p w:rsidR="00483354" w:rsidRPr="00AE1A33" w:rsidRDefault="00483354" w:rsidP="00761D86">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The conditions for applicability on private company is to be considered only when the company having limited liability i.e. the order shall be applicable on private unlimited company without any conditions.</w:t>
      </w:r>
    </w:p>
    <w:p w:rsidR="00483354" w:rsidRPr="00AE1A33" w:rsidRDefault="00483354" w:rsidP="00761D86">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A branch of a company does not qualify to be exempted from the applicability of the Order, if the Order is applicable to the company.</w:t>
      </w:r>
    </w:p>
    <w:p w:rsidR="00483354" w:rsidRPr="00AE1A33" w:rsidRDefault="00483354" w:rsidP="00761D86">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Paid-up share capital include bonus shares issued by the corporate.</w:t>
      </w:r>
    </w:p>
    <w:p w:rsidR="00483354" w:rsidRPr="00AE1A33" w:rsidRDefault="00483354" w:rsidP="00C24D95">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Share application money received should not be considered as part of the paid-up capital.</w:t>
      </w:r>
    </w:p>
    <w:p w:rsidR="00483354" w:rsidRPr="00AE1A33" w:rsidRDefault="00483354" w:rsidP="00C24D95">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For determining the applicability of the Order to a private limited company, both capital as well as revenue reserves should be taken into consideration while computing the limit of rupees fifty lakhs prescribed for paid-up capital and reserves. Revaluation reserve, if any, should also be taken into consideration while determining the figure of reserves for the limited purpose of determining the applicability of the Order.</w:t>
      </w:r>
    </w:p>
    <w:p w:rsidR="00483354" w:rsidRPr="00AE1A33" w:rsidRDefault="00483354" w:rsidP="00C24D95">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The debit balance of the profit and loss account, if any, should be reduced from the figure of revenue reserves only. Therefore, if the company does not have revenue reserves, debit balance of profit and loss account cannot be reduced from the figures of paid-up capital, capital reserves and revaluation reserves.</w:t>
      </w:r>
    </w:p>
    <w:p w:rsidR="00483354" w:rsidRPr="00AE1A33" w:rsidRDefault="00483354" w:rsidP="00C24D95">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Loans from banks or financial institutions are normally in the form of term loans, demand loans, export credits, working capital limits, cash credits, overdraft facilities, bills purchased or discounted.</w:t>
      </w:r>
    </w:p>
    <w:p w:rsidR="00483354" w:rsidRPr="00AE1A33" w:rsidRDefault="00483354" w:rsidP="00C24D95">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In case of term loans, interest accrued and due is considered as a loan whereas interest accrued but not due is not considered as a loan.</w:t>
      </w:r>
    </w:p>
    <w:p w:rsidR="00483354" w:rsidRPr="00AE1A33" w:rsidRDefault="00483354" w:rsidP="00C24D95">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The Order would be applicable to a private limited company even if the loan outstanding is a short-term loan.</w:t>
      </w:r>
    </w:p>
    <w:p w:rsidR="00483354" w:rsidRPr="00AE1A33" w:rsidRDefault="00483354" w:rsidP="00B87E3A">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 xml:space="preserve">Outstanding dues in respect of credit cards would also be considered while calculating the limit of </w:t>
      </w:r>
      <w:proofErr w:type="spellStart"/>
      <w:r w:rsidRPr="00AE1A33">
        <w:rPr>
          <w:rFonts w:ascii="Arial Narrow" w:hAnsi="Arial Narrow" w:cs="Arial Narrow"/>
          <w:sz w:val="24"/>
          <w:szCs w:val="24"/>
        </w:rPr>
        <w:t>Rs</w:t>
      </w:r>
      <w:proofErr w:type="spellEnd"/>
      <w:r w:rsidRPr="00AE1A33">
        <w:rPr>
          <w:rFonts w:ascii="Arial Narrow" w:hAnsi="Arial Narrow" w:cs="Arial Narrow"/>
          <w:sz w:val="24"/>
          <w:szCs w:val="24"/>
        </w:rPr>
        <w:t>. 25 lakh in respect of loan outstanding from a bank or financial institution.</w:t>
      </w:r>
    </w:p>
    <w:p w:rsidR="00483354" w:rsidRPr="00AE1A33" w:rsidRDefault="00483354" w:rsidP="00AE290C">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 xml:space="preserve">Even in case where the company had taken a loan from a bank in excess of </w:t>
      </w:r>
      <w:proofErr w:type="spellStart"/>
      <w:r w:rsidRPr="00AE1A33">
        <w:rPr>
          <w:rFonts w:ascii="Arial Narrow" w:hAnsi="Arial Narrow" w:cs="Arial Narrow"/>
          <w:sz w:val="24"/>
          <w:szCs w:val="24"/>
        </w:rPr>
        <w:t>Rs</w:t>
      </w:r>
      <w:proofErr w:type="spellEnd"/>
      <w:r w:rsidRPr="00AE1A33">
        <w:rPr>
          <w:rFonts w:ascii="Arial Narrow" w:hAnsi="Arial Narrow" w:cs="Arial Narrow"/>
          <w:sz w:val="24"/>
          <w:szCs w:val="24"/>
        </w:rPr>
        <w:t xml:space="preserve">. 25 </w:t>
      </w:r>
      <w:proofErr w:type="spellStart"/>
      <w:r w:rsidRPr="00AE1A33">
        <w:rPr>
          <w:rFonts w:ascii="Arial Narrow" w:hAnsi="Arial Narrow" w:cs="Arial Narrow"/>
          <w:sz w:val="24"/>
          <w:szCs w:val="24"/>
        </w:rPr>
        <w:t>lacs</w:t>
      </w:r>
      <w:proofErr w:type="spellEnd"/>
      <w:r w:rsidRPr="00AE1A33">
        <w:rPr>
          <w:rFonts w:ascii="Arial Narrow" w:hAnsi="Arial Narrow" w:cs="Arial Narrow"/>
          <w:sz w:val="24"/>
          <w:szCs w:val="24"/>
        </w:rPr>
        <w:t xml:space="preserve"> but the year end balance of the same is NIL, the company would be covered by the Order.</w:t>
      </w:r>
    </w:p>
    <w:p w:rsidR="00483354" w:rsidRPr="00AE1A33" w:rsidRDefault="00483354" w:rsidP="001B79BE">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A non-banking financial company is not a “financial institution”.</w:t>
      </w:r>
    </w:p>
    <w:p w:rsidR="00483354" w:rsidRPr="00AE1A33" w:rsidRDefault="00483354" w:rsidP="004B6A4A">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Loans taken from a private bank or a foreign bank would also be taken into consideration while examining the applicability of the Order.</w:t>
      </w:r>
    </w:p>
    <w:p w:rsidR="00483354" w:rsidRPr="00AE1A33" w:rsidRDefault="00483354" w:rsidP="00EB61FF">
      <w:pPr>
        <w:autoSpaceDE w:val="0"/>
        <w:autoSpaceDN w:val="0"/>
        <w:adjustRightInd w:val="0"/>
        <w:spacing w:after="0" w:line="240" w:lineRule="auto"/>
        <w:rPr>
          <w:rFonts w:ascii="Arial Narrow" w:hAnsi="Arial Narrow" w:cs="Arial Narrow"/>
          <w:sz w:val="24"/>
          <w:szCs w:val="24"/>
        </w:rPr>
      </w:pPr>
    </w:p>
    <w:p w:rsidR="00483354" w:rsidRPr="00AE1A33" w:rsidRDefault="00483354" w:rsidP="004B6A4A">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Turnover = Sales effected (as per Part II of schedule VI)</w:t>
      </w:r>
    </w:p>
    <w:p w:rsidR="00483354" w:rsidRPr="00AE1A33" w:rsidRDefault="00483354" w:rsidP="00EB61FF">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Sales effected = Sale of goods + services rendered</w:t>
      </w:r>
    </w:p>
    <w:p w:rsidR="00483354" w:rsidRPr="00AE1A33" w:rsidRDefault="00483354" w:rsidP="00DA1F8E">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(However rent or dividend/interest would not form part of “turnover”)</w:t>
      </w:r>
    </w:p>
    <w:p w:rsidR="00483354" w:rsidRPr="00AE1A33" w:rsidRDefault="00483354" w:rsidP="00EB61FF">
      <w:pPr>
        <w:pStyle w:val="ListParagraph"/>
        <w:autoSpaceDE w:val="0"/>
        <w:autoSpaceDN w:val="0"/>
        <w:adjustRightInd w:val="0"/>
        <w:spacing w:after="0" w:line="240" w:lineRule="auto"/>
        <w:rPr>
          <w:rFonts w:ascii="Arial Narrow" w:hAnsi="Arial Narrow" w:cs="Arial Narrow"/>
          <w:sz w:val="24"/>
          <w:szCs w:val="24"/>
        </w:rPr>
      </w:pPr>
    </w:p>
    <w:p w:rsidR="00483354" w:rsidRPr="00AE1A33" w:rsidRDefault="00483354" w:rsidP="002C08DF">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bCs/>
          <w:sz w:val="24"/>
          <w:szCs w:val="24"/>
        </w:rPr>
        <w:t xml:space="preserve">Loss </w:t>
      </w:r>
      <w:r w:rsidRPr="00AE1A33">
        <w:rPr>
          <w:rFonts w:ascii="Arial Narrow" w:hAnsi="Arial Narrow" w:cs="Arial Narrow"/>
          <w:sz w:val="24"/>
          <w:szCs w:val="24"/>
        </w:rPr>
        <w:t>= Net loss as per profit and loss account + Adjustments of the qualifications in the audit report if the qualification are quantified.</w:t>
      </w:r>
    </w:p>
    <w:p w:rsidR="00483354" w:rsidRPr="00AE1A33" w:rsidRDefault="00483354" w:rsidP="00206C0A">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bCs/>
          <w:sz w:val="24"/>
          <w:szCs w:val="24"/>
        </w:rPr>
        <w:t>Net worth</w:t>
      </w:r>
      <w:r w:rsidRPr="00AE1A33">
        <w:rPr>
          <w:rFonts w:ascii="Arial Narrow" w:hAnsi="Arial Narrow" w:cs="Arial Narrow"/>
          <w:sz w:val="24"/>
          <w:szCs w:val="24"/>
        </w:rPr>
        <w:t xml:space="preserve"> = Sum of total paid-up capital of the company + Free reserves ( It Includes securities premium but exclude revaluation reserve).</w:t>
      </w:r>
    </w:p>
    <w:p w:rsidR="00483354" w:rsidRPr="00AE1A33" w:rsidRDefault="00483354" w:rsidP="00206C0A">
      <w:pPr>
        <w:pStyle w:val="ListParagraph"/>
        <w:autoSpaceDE w:val="0"/>
        <w:autoSpaceDN w:val="0"/>
        <w:adjustRightInd w:val="0"/>
        <w:spacing w:after="0" w:line="240" w:lineRule="auto"/>
        <w:rPr>
          <w:rFonts w:ascii="Arial Narrow" w:hAnsi="Arial Narrow" w:cs="Arial Narrow"/>
          <w:sz w:val="24"/>
          <w:szCs w:val="24"/>
        </w:rPr>
      </w:pPr>
    </w:p>
    <w:p w:rsidR="00483354" w:rsidRPr="00AE1A33" w:rsidRDefault="00483354" w:rsidP="00206C0A">
      <w:pPr>
        <w:pStyle w:val="ListParagraph"/>
        <w:numPr>
          <w:ilvl w:val="0"/>
          <w:numId w:val="1"/>
        </w:numPr>
        <w:autoSpaceDE w:val="0"/>
        <w:autoSpaceDN w:val="0"/>
        <w:adjustRightInd w:val="0"/>
        <w:spacing w:after="0" w:line="240" w:lineRule="auto"/>
        <w:rPr>
          <w:rFonts w:ascii="Arial Narrow" w:hAnsi="Arial Narrow" w:cs="Arial Narrow"/>
        </w:rPr>
      </w:pPr>
      <w:r w:rsidRPr="00AE1A33">
        <w:rPr>
          <w:rFonts w:ascii="Arial Narrow" w:hAnsi="Arial Narrow" w:cs="Arial Narrow"/>
          <w:bCs/>
        </w:rPr>
        <w:t>Cash losses</w:t>
      </w:r>
      <w:r w:rsidRPr="00AE1A33">
        <w:rPr>
          <w:rFonts w:ascii="Arial Narrow" w:hAnsi="Arial Narrow" w:cs="Arial Narrow"/>
        </w:rPr>
        <w:t xml:space="preserve"> = </w:t>
      </w:r>
      <w:r w:rsidRPr="00AE1A33">
        <w:rPr>
          <w:rFonts w:ascii="Arial Narrow" w:hAnsi="Arial Narrow" w:cs="Arial Narrow"/>
          <w:sz w:val="24"/>
          <w:szCs w:val="24"/>
        </w:rPr>
        <w:t>The figure of profit/loss shown by the profit and loss account is adjusted for the effects</w:t>
      </w:r>
      <w:r w:rsidRPr="00AE1A33">
        <w:rPr>
          <w:sz w:val="24"/>
          <w:szCs w:val="24"/>
        </w:rPr>
        <w:t xml:space="preserve"> of </w:t>
      </w:r>
      <w:r w:rsidRPr="00AE1A33">
        <w:rPr>
          <w:rFonts w:ascii="Arial Narrow" w:hAnsi="Arial Narrow" w:cs="Arial Narrow"/>
          <w:sz w:val="24"/>
          <w:szCs w:val="24"/>
        </w:rPr>
        <w:t xml:space="preserve">transactions of a non-cash nature such as depreciation, </w:t>
      </w:r>
      <w:proofErr w:type="spellStart"/>
      <w:r w:rsidRPr="00AE1A33">
        <w:rPr>
          <w:rFonts w:ascii="Arial Narrow" w:hAnsi="Arial Narrow" w:cs="Arial Narrow"/>
          <w:sz w:val="24"/>
          <w:szCs w:val="24"/>
        </w:rPr>
        <w:t>amortisation</w:t>
      </w:r>
      <w:proofErr w:type="spellEnd"/>
      <w:r w:rsidRPr="00AE1A33">
        <w:rPr>
          <w:rFonts w:ascii="Arial Narrow" w:hAnsi="Arial Narrow" w:cs="Arial Narrow"/>
          <w:sz w:val="24"/>
          <w:szCs w:val="24"/>
        </w:rPr>
        <w:t>, deferred tax expenses, etc</w:t>
      </w:r>
      <w:r w:rsidRPr="00AE1A33">
        <w:rPr>
          <w:rFonts w:ascii="Arial Narrow" w:hAnsi="Arial Narrow" w:cs="Arial Narrow"/>
        </w:rPr>
        <w:t>.</w:t>
      </w:r>
    </w:p>
    <w:p w:rsidR="00B918FA" w:rsidRPr="00AE1A33" w:rsidRDefault="00B918FA" w:rsidP="00B918FA">
      <w:pPr>
        <w:pStyle w:val="ListParagraph"/>
        <w:autoSpaceDE w:val="0"/>
        <w:autoSpaceDN w:val="0"/>
        <w:adjustRightInd w:val="0"/>
        <w:spacing w:after="0" w:line="240" w:lineRule="auto"/>
        <w:rPr>
          <w:rFonts w:ascii="Arial Narrow" w:hAnsi="Arial Narrow" w:cs="Arial Narrow"/>
        </w:rPr>
      </w:pPr>
    </w:p>
    <w:p w:rsidR="00B918FA" w:rsidRPr="00AE1A33" w:rsidRDefault="00B918FA" w:rsidP="00B918FA">
      <w:pPr>
        <w:pStyle w:val="ListParagraph"/>
        <w:numPr>
          <w:ilvl w:val="0"/>
          <w:numId w:val="1"/>
        </w:numPr>
        <w:autoSpaceDE w:val="0"/>
        <w:autoSpaceDN w:val="0"/>
        <w:adjustRightInd w:val="0"/>
        <w:spacing w:after="0" w:line="240" w:lineRule="auto"/>
        <w:rPr>
          <w:rFonts w:ascii="Arial Narrow" w:hAnsi="Arial Narrow" w:cs="Arial Narrow"/>
        </w:rPr>
      </w:pPr>
      <w:r w:rsidRPr="00AE1A33">
        <w:rPr>
          <w:rFonts w:ascii="Arial Narrow" w:hAnsi="Arial Narrow" w:cs="Arial Narrow"/>
        </w:rPr>
        <w:t>Short term Funds used For long term purposes  like Investment, fixed assets purchase etc. can be calculated as under:</w:t>
      </w:r>
    </w:p>
    <w:p w:rsidR="00B918FA" w:rsidRPr="00AE1A33" w:rsidRDefault="00B918FA" w:rsidP="00B918FA">
      <w:pPr>
        <w:pStyle w:val="ListParagraph"/>
        <w:rPr>
          <w:rFonts w:ascii="Arial Narrow" w:hAnsi="Arial Narrow" w:cs="Arial Narrow"/>
        </w:rPr>
      </w:pPr>
    </w:p>
    <w:p w:rsidR="00B918FA" w:rsidRPr="00AE1A33" w:rsidRDefault="00B918FA" w:rsidP="00B918FA">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 xml:space="preserve">Short term funds  as </w:t>
      </w:r>
      <w:r w:rsidRPr="00AE1A33">
        <w:rPr>
          <w:rFonts w:ascii="Arial Narrow" w:hAnsi="Arial Narrow" w:cs="Arial Narrow"/>
          <w:sz w:val="24"/>
          <w:szCs w:val="24"/>
          <w:highlight w:val="yellow"/>
        </w:rPr>
        <w:t>reduced</w:t>
      </w:r>
      <w:r w:rsidRPr="00AE1A33">
        <w:rPr>
          <w:rFonts w:ascii="Arial Narrow" w:hAnsi="Arial Narrow" w:cs="Arial Narrow"/>
          <w:sz w:val="24"/>
          <w:szCs w:val="24"/>
        </w:rPr>
        <w:t xml:space="preserve"> by short term application</w:t>
      </w:r>
      <w:r w:rsidR="00B269CE" w:rsidRPr="00AE1A33">
        <w:rPr>
          <w:rFonts w:ascii="Arial Narrow" w:hAnsi="Arial Narrow" w:cs="Arial Narrow"/>
          <w:sz w:val="24"/>
          <w:szCs w:val="24"/>
        </w:rPr>
        <w:t xml:space="preserve"> of the funds i.e. Short term funds – Net current assets if it is positive</w:t>
      </w:r>
    </w:p>
    <w:p w:rsidR="00B918FA" w:rsidRPr="00AE1A33" w:rsidRDefault="00B918FA" w:rsidP="00B918FA">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ab/>
      </w:r>
      <w:r w:rsidRPr="00AE1A33">
        <w:rPr>
          <w:rFonts w:ascii="Arial Narrow" w:hAnsi="Arial Narrow" w:cs="Arial Narrow"/>
          <w:sz w:val="24"/>
          <w:szCs w:val="24"/>
        </w:rPr>
        <w:tab/>
      </w:r>
      <w:r w:rsidRPr="00AE1A33">
        <w:rPr>
          <w:rFonts w:ascii="Arial Narrow" w:hAnsi="Arial Narrow" w:cs="Arial Narrow"/>
          <w:sz w:val="24"/>
          <w:szCs w:val="24"/>
        </w:rPr>
        <w:tab/>
        <w:t>OR</w:t>
      </w:r>
    </w:p>
    <w:p w:rsidR="00B918FA" w:rsidRPr="00AE1A33" w:rsidRDefault="00B269CE" w:rsidP="00B918FA">
      <w:pPr>
        <w:pStyle w:val="ListParagraph"/>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Share capital + Reserves + long term funds as reduced by long term investment like investment in shares, debentures , bonds, govt. securities and fixed assets. If this comes negative then it is long term investment of funds out of short term sources.</w:t>
      </w:r>
    </w:p>
    <w:p w:rsidR="00483354" w:rsidRPr="00AE1A33" w:rsidRDefault="00483354" w:rsidP="00206C0A">
      <w:pPr>
        <w:pStyle w:val="ListParagraph"/>
        <w:autoSpaceDE w:val="0"/>
        <w:autoSpaceDN w:val="0"/>
        <w:adjustRightInd w:val="0"/>
        <w:spacing w:after="0" w:line="240" w:lineRule="auto"/>
        <w:ind w:left="360"/>
        <w:rPr>
          <w:rFonts w:ascii="Arial Narrow" w:hAnsi="Arial Narrow" w:cs="Arial Narrow"/>
        </w:rPr>
      </w:pPr>
    </w:p>
    <w:p w:rsidR="00483354" w:rsidRPr="00AE1A33" w:rsidRDefault="00483354" w:rsidP="00206C0A">
      <w:pPr>
        <w:pStyle w:val="ListParagraph"/>
        <w:numPr>
          <w:ilvl w:val="0"/>
          <w:numId w:val="1"/>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 xml:space="preserve">Following Companies are required to have an </w:t>
      </w:r>
      <w:r w:rsidRPr="00AE1A33">
        <w:rPr>
          <w:rFonts w:ascii="Arial Narrow" w:hAnsi="Arial Narrow" w:cs="Arial Narrow"/>
          <w:bCs/>
          <w:sz w:val="24"/>
          <w:szCs w:val="24"/>
        </w:rPr>
        <w:t>internal audit system</w:t>
      </w:r>
      <w:r w:rsidRPr="00AE1A33">
        <w:rPr>
          <w:rFonts w:ascii="Arial Narrow" w:hAnsi="Arial Narrow" w:cs="Arial Narrow"/>
          <w:sz w:val="24"/>
          <w:szCs w:val="24"/>
        </w:rPr>
        <w:t>:</w:t>
      </w:r>
    </w:p>
    <w:p w:rsidR="00483354" w:rsidRPr="00AE1A33" w:rsidRDefault="00483354" w:rsidP="00206C0A">
      <w:pPr>
        <w:pStyle w:val="ListParagraph"/>
        <w:numPr>
          <w:ilvl w:val="0"/>
          <w:numId w:val="8"/>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 xml:space="preserve">It is mandatory for </w:t>
      </w:r>
      <w:r w:rsidRPr="00AE1A33">
        <w:rPr>
          <w:rFonts w:ascii="Arial Narrow" w:hAnsi="Arial Narrow" w:cs="Arial Narrow"/>
          <w:bCs/>
          <w:i/>
          <w:iCs/>
          <w:sz w:val="24"/>
          <w:szCs w:val="24"/>
        </w:rPr>
        <w:t>listed Companies</w:t>
      </w:r>
    </w:p>
    <w:p w:rsidR="00483354" w:rsidRPr="00AE1A33" w:rsidRDefault="00483354" w:rsidP="00206C0A">
      <w:pPr>
        <w:pStyle w:val="ListParagraph"/>
        <w:numPr>
          <w:ilvl w:val="0"/>
          <w:numId w:val="8"/>
        </w:numPr>
        <w:autoSpaceDE w:val="0"/>
        <w:autoSpaceDN w:val="0"/>
        <w:adjustRightInd w:val="0"/>
        <w:spacing w:after="0" w:line="240" w:lineRule="auto"/>
        <w:rPr>
          <w:rFonts w:ascii="Arial Narrow" w:hAnsi="Arial Narrow" w:cs="Arial Narrow"/>
          <w:sz w:val="24"/>
          <w:szCs w:val="24"/>
        </w:rPr>
      </w:pPr>
      <w:r w:rsidRPr="00AE1A33">
        <w:rPr>
          <w:rFonts w:ascii="Arial Narrow" w:hAnsi="Arial Narrow" w:cs="Arial Narrow"/>
          <w:sz w:val="24"/>
          <w:szCs w:val="24"/>
        </w:rPr>
        <w:t xml:space="preserve">In respect of </w:t>
      </w:r>
      <w:r w:rsidRPr="00AE1A33">
        <w:rPr>
          <w:rFonts w:ascii="Arial Narrow" w:hAnsi="Arial Narrow" w:cs="Arial Narrow"/>
          <w:bCs/>
          <w:i/>
          <w:iCs/>
          <w:sz w:val="24"/>
          <w:szCs w:val="24"/>
        </w:rPr>
        <w:t>non-listed companies</w:t>
      </w:r>
      <w:r w:rsidRPr="00AE1A33">
        <w:rPr>
          <w:rFonts w:ascii="Arial Narrow" w:hAnsi="Arial Narrow" w:cs="Arial Narrow"/>
          <w:sz w:val="24"/>
          <w:szCs w:val="24"/>
        </w:rPr>
        <w:t xml:space="preserve"> the </w:t>
      </w:r>
      <w:r w:rsidRPr="00AE1A33">
        <w:rPr>
          <w:rFonts w:ascii="Arial Narrow" w:hAnsi="Arial Narrow" w:cs="Arial Narrow"/>
          <w:bCs/>
          <w:sz w:val="24"/>
          <w:szCs w:val="24"/>
        </w:rPr>
        <w:t>clause is applicable</w:t>
      </w:r>
      <w:r w:rsidRPr="00AE1A33">
        <w:rPr>
          <w:rFonts w:ascii="Arial Narrow" w:hAnsi="Arial Narrow" w:cs="Arial Narrow"/>
          <w:sz w:val="24"/>
          <w:szCs w:val="24"/>
        </w:rPr>
        <w:t xml:space="preserve"> </w:t>
      </w:r>
      <w:r w:rsidRPr="00AE1A33">
        <w:rPr>
          <w:rFonts w:ascii="Arial Narrow" w:hAnsi="Arial Narrow" w:cs="Arial Narrow"/>
          <w:bCs/>
          <w:sz w:val="24"/>
          <w:szCs w:val="24"/>
        </w:rPr>
        <w:t>only if:</w:t>
      </w:r>
    </w:p>
    <w:p w:rsidR="00483354" w:rsidRPr="00AE1A33" w:rsidRDefault="00483354" w:rsidP="00206C0A">
      <w:pPr>
        <w:autoSpaceDE w:val="0"/>
        <w:autoSpaceDN w:val="0"/>
        <w:adjustRightInd w:val="0"/>
        <w:spacing w:after="0" w:line="240" w:lineRule="auto"/>
        <w:ind w:left="720"/>
        <w:rPr>
          <w:rFonts w:ascii="Arial Narrow" w:hAnsi="Arial Narrow" w:cs="Arial Narrow"/>
          <w:sz w:val="24"/>
          <w:szCs w:val="24"/>
        </w:rPr>
      </w:pPr>
      <w:r w:rsidRPr="00AE1A33">
        <w:rPr>
          <w:rFonts w:ascii="Arial Narrow" w:hAnsi="Arial Narrow" w:cs="Arial Narrow"/>
          <w:sz w:val="24"/>
          <w:szCs w:val="24"/>
        </w:rPr>
        <w:t xml:space="preserve">(i) the paid-up capital and reserves of the company are more than rupees fifty lakhs as at the                          </w:t>
      </w:r>
      <w:r w:rsidRPr="00AE1A33">
        <w:rPr>
          <w:rFonts w:ascii="Arial Narrow" w:hAnsi="Arial Narrow" w:cs="Arial Narrow"/>
          <w:bCs/>
          <w:sz w:val="24"/>
          <w:szCs w:val="24"/>
        </w:rPr>
        <w:t>commencement of the financial year</w:t>
      </w:r>
      <w:r w:rsidRPr="00AE1A33">
        <w:rPr>
          <w:rFonts w:ascii="Arial Narrow" w:hAnsi="Arial Narrow" w:cs="Arial Narrow"/>
          <w:sz w:val="24"/>
          <w:szCs w:val="24"/>
        </w:rPr>
        <w:t xml:space="preserve">; </w:t>
      </w:r>
      <w:r w:rsidRPr="00AE1A33">
        <w:rPr>
          <w:rFonts w:ascii="Arial Narrow" w:hAnsi="Arial Narrow" w:cs="Arial Narrow"/>
          <w:bCs/>
          <w:i/>
          <w:iCs/>
          <w:sz w:val="24"/>
          <w:szCs w:val="24"/>
        </w:rPr>
        <w:t>or</w:t>
      </w:r>
    </w:p>
    <w:p w:rsidR="00483354" w:rsidRPr="00AE1A33" w:rsidRDefault="00483354" w:rsidP="007C3829">
      <w:pPr>
        <w:autoSpaceDE w:val="0"/>
        <w:autoSpaceDN w:val="0"/>
        <w:adjustRightInd w:val="0"/>
        <w:spacing w:after="0" w:line="240" w:lineRule="auto"/>
        <w:ind w:left="720"/>
        <w:rPr>
          <w:rFonts w:ascii="Arial Narrow" w:hAnsi="Arial Narrow" w:cs="Arial Narrow"/>
          <w:sz w:val="24"/>
          <w:szCs w:val="24"/>
        </w:rPr>
      </w:pPr>
      <w:r w:rsidRPr="00AE1A33">
        <w:rPr>
          <w:rFonts w:ascii="Arial Narrow" w:hAnsi="Arial Narrow" w:cs="Arial Narrow"/>
          <w:sz w:val="24"/>
          <w:szCs w:val="24"/>
        </w:rPr>
        <w:t xml:space="preserve">(ii) </w:t>
      </w:r>
      <w:r w:rsidRPr="00AE1A33">
        <w:rPr>
          <w:rFonts w:ascii="Arial Narrow" w:hAnsi="Arial Narrow" w:cs="Arial Narrow"/>
          <w:bCs/>
          <w:sz w:val="24"/>
          <w:szCs w:val="24"/>
        </w:rPr>
        <w:t xml:space="preserve">average annual turnover exceeds rupees five </w:t>
      </w:r>
      <w:proofErr w:type="spellStart"/>
      <w:r w:rsidRPr="00AE1A33">
        <w:rPr>
          <w:rFonts w:ascii="Arial Narrow" w:hAnsi="Arial Narrow" w:cs="Arial Narrow"/>
          <w:bCs/>
          <w:sz w:val="24"/>
          <w:szCs w:val="24"/>
        </w:rPr>
        <w:t>crores</w:t>
      </w:r>
      <w:proofErr w:type="spellEnd"/>
      <w:r w:rsidRPr="00AE1A33">
        <w:rPr>
          <w:rFonts w:ascii="Arial Narrow" w:hAnsi="Arial Narrow" w:cs="Arial Narrow"/>
          <w:sz w:val="24"/>
          <w:szCs w:val="24"/>
        </w:rPr>
        <w:t xml:space="preserve"> for a period of </w:t>
      </w:r>
      <w:r w:rsidRPr="00AE1A33">
        <w:rPr>
          <w:rFonts w:ascii="Arial Narrow" w:hAnsi="Arial Narrow" w:cs="Arial Narrow"/>
          <w:bCs/>
          <w:sz w:val="24"/>
          <w:szCs w:val="24"/>
        </w:rPr>
        <w:t>three consecutive financial years</w:t>
      </w:r>
      <w:r w:rsidRPr="00AE1A33">
        <w:rPr>
          <w:rFonts w:ascii="Arial Narrow" w:hAnsi="Arial Narrow" w:cs="Arial Narrow"/>
          <w:sz w:val="24"/>
          <w:szCs w:val="24"/>
        </w:rPr>
        <w:t xml:space="preserve"> immediately preceding the financial year concerned.</w:t>
      </w:r>
    </w:p>
    <w:p w:rsidR="00483354" w:rsidRPr="00AE1A33" w:rsidRDefault="00483354" w:rsidP="007C3829">
      <w:pPr>
        <w:autoSpaceDE w:val="0"/>
        <w:autoSpaceDN w:val="0"/>
        <w:adjustRightInd w:val="0"/>
        <w:spacing w:after="0" w:line="240" w:lineRule="auto"/>
        <w:ind w:left="720"/>
        <w:rPr>
          <w:rFonts w:ascii="Arial Narrow" w:hAnsi="Arial Narrow" w:cs="Arial Narrow"/>
          <w:sz w:val="24"/>
          <w:szCs w:val="24"/>
        </w:rPr>
      </w:pPr>
    </w:p>
    <w:p w:rsidR="00483354" w:rsidRPr="00AE1A33" w:rsidRDefault="00483354" w:rsidP="00F55C50">
      <w:pPr>
        <w:numPr>
          <w:ilvl w:val="0"/>
          <w:numId w:val="12"/>
        </w:numPr>
        <w:autoSpaceDE w:val="0"/>
        <w:autoSpaceDN w:val="0"/>
        <w:adjustRightInd w:val="0"/>
        <w:spacing w:after="0" w:line="240" w:lineRule="auto"/>
        <w:ind w:left="720"/>
        <w:jc w:val="both"/>
        <w:rPr>
          <w:rFonts w:ascii="Arial Narrow" w:hAnsi="Arial Narrow" w:cs="Arial Narrow"/>
          <w:sz w:val="24"/>
          <w:szCs w:val="24"/>
        </w:rPr>
      </w:pPr>
      <w:r w:rsidRPr="00AE1A33">
        <w:rPr>
          <w:rFonts w:ascii="Arial Narrow" w:hAnsi="Arial Narrow" w:cs="Arial Narrow"/>
          <w:sz w:val="24"/>
          <w:szCs w:val="24"/>
        </w:rPr>
        <w:t>It is important to note that the Act does not require a company to necessarily have an internal audit system. However, where such a system does not exist in the companies to which this act is applicable, the Order requires the auditor to mention the fact in his report.</w:t>
      </w:r>
    </w:p>
    <w:sectPr w:rsidR="00483354" w:rsidRPr="00AE1A33" w:rsidSect="00E16DB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3354" w:rsidRDefault="00483354">
      <w:r>
        <w:separator/>
      </w:r>
    </w:p>
  </w:endnote>
  <w:endnote w:type="continuationSeparator" w:id="0">
    <w:p w:rsidR="00483354" w:rsidRDefault="00483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3354" w:rsidRDefault="00483354">
      <w:r>
        <w:separator/>
      </w:r>
    </w:p>
  </w:footnote>
  <w:footnote w:type="continuationSeparator" w:id="0">
    <w:p w:rsidR="00483354" w:rsidRDefault="0048335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3354" w:rsidRDefault="00483354">
    <w:pPr>
      <w:pStyle w:val="Header"/>
    </w:pPr>
    <w:r>
      <w:t>Compiled by : Mr. Sharukh Khan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83D70"/>
    <w:multiLevelType w:val="hybridMultilevel"/>
    <w:tmpl w:val="4C76A542"/>
    <w:lvl w:ilvl="0" w:tplc="9F0641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27E4EB5"/>
    <w:multiLevelType w:val="hybridMultilevel"/>
    <w:tmpl w:val="60F056AA"/>
    <w:lvl w:ilvl="0" w:tplc="2F065C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DE966A0"/>
    <w:multiLevelType w:val="hybridMultilevel"/>
    <w:tmpl w:val="947E2720"/>
    <w:lvl w:ilvl="0" w:tplc="5A24B206">
      <w:start w:val="25"/>
      <w:numFmt w:val="decimal"/>
      <w:lvlText w:val="%1."/>
      <w:lvlJc w:val="left"/>
      <w:pPr>
        <w:tabs>
          <w:tab w:val="num" w:pos="360"/>
        </w:tabs>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B90503"/>
    <w:multiLevelType w:val="hybridMultilevel"/>
    <w:tmpl w:val="60F056AA"/>
    <w:lvl w:ilvl="0" w:tplc="2F065C6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69D5621"/>
    <w:multiLevelType w:val="hybridMultilevel"/>
    <w:tmpl w:val="E1B8E0AA"/>
    <w:lvl w:ilvl="0" w:tplc="F1C0EF24">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5">
    <w:nsid w:val="46810BBB"/>
    <w:multiLevelType w:val="hybridMultilevel"/>
    <w:tmpl w:val="91CCD11C"/>
    <w:lvl w:ilvl="0" w:tplc="A292401A">
      <w:start w:val="24"/>
      <w:numFmt w:val="decimal"/>
      <w:lvlText w:val="%1."/>
      <w:lvlJc w:val="left"/>
      <w:pPr>
        <w:tabs>
          <w:tab w:val="num" w:pos="360"/>
        </w:tabs>
        <w:ind w:left="108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6">
    <w:nsid w:val="468D4B64"/>
    <w:multiLevelType w:val="hybridMultilevel"/>
    <w:tmpl w:val="E70658E4"/>
    <w:lvl w:ilvl="0" w:tplc="A292401A">
      <w:start w:val="24"/>
      <w:numFmt w:val="decimal"/>
      <w:lvlText w:val="%1."/>
      <w:lvlJc w:val="left"/>
      <w:pPr>
        <w:tabs>
          <w:tab w:val="num" w:pos="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4D772334"/>
    <w:multiLevelType w:val="hybridMultilevel"/>
    <w:tmpl w:val="4C76A542"/>
    <w:lvl w:ilvl="0" w:tplc="9F06411C">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4D7C41C9"/>
    <w:multiLevelType w:val="hybridMultilevel"/>
    <w:tmpl w:val="CE2C1368"/>
    <w:lvl w:ilvl="0" w:tplc="B9C0A400">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719C4F7C"/>
    <w:multiLevelType w:val="hybridMultilevel"/>
    <w:tmpl w:val="717C0BA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77996D63"/>
    <w:multiLevelType w:val="multilevel"/>
    <w:tmpl w:val="91CCD11C"/>
    <w:lvl w:ilvl="0">
      <w:start w:val="24"/>
      <w:numFmt w:val="decimal"/>
      <w:lvlText w:val="%1."/>
      <w:lvlJc w:val="left"/>
      <w:pPr>
        <w:tabs>
          <w:tab w:val="num" w:pos="36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nsid w:val="7A740D92"/>
    <w:multiLevelType w:val="hybridMultilevel"/>
    <w:tmpl w:val="3B7210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9"/>
  </w:num>
  <w:num w:numId="3">
    <w:abstractNumId w:val="11"/>
  </w:num>
  <w:num w:numId="4">
    <w:abstractNumId w:val="7"/>
  </w:num>
  <w:num w:numId="5">
    <w:abstractNumId w:val="0"/>
  </w:num>
  <w:num w:numId="6">
    <w:abstractNumId w:val="3"/>
  </w:num>
  <w:num w:numId="7">
    <w:abstractNumId w:val="1"/>
  </w:num>
  <w:num w:numId="8">
    <w:abstractNumId w:val="4"/>
  </w:num>
  <w:num w:numId="9">
    <w:abstractNumId w:val="6"/>
  </w:num>
  <w:num w:numId="10">
    <w:abstractNumId w:val="5"/>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E24A3"/>
    <w:rsid w:val="00000A80"/>
    <w:rsid w:val="000569EA"/>
    <w:rsid w:val="001B1063"/>
    <w:rsid w:val="001B79BE"/>
    <w:rsid w:val="00206C0A"/>
    <w:rsid w:val="00220093"/>
    <w:rsid w:val="002C08DF"/>
    <w:rsid w:val="00461280"/>
    <w:rsid w:val="00470B68"/>
    <w:rsid w:val="00483354"/>
    <w:rsid w:val="004B6A4A"/>
    <w:rsid w:val="004E2CD9"/>
    <w:rsid w:val="0074787E"/>
    <w:rsid w:val="00761D86"/>
    <w:rsid w:val="007658DC"/>
    <w:rsid w:val="007C3829"/>
    <w:rsid w:val="007C4F46"/>
    <w:rsid w:val="00813A4C"/>
    <w:rsid w:val="00A02325"/>
    <w:rsid w:val="00A26D61"/>
    <w:rsid w:val="00A33F20"/>
    <w:rsid w:val="00A57126"/>
    <w:rsid w:val="00AC792C"/>
    <w:rsid w:val="00AE1A33"/>
    <w:rsid w:val="00AE290C"/>
    <w:rsid w:val="00B22138"/>
    <w:rsid w:val="00B269CE"/>
    <w:rsid w:val="00B87E3A"/>
    <w:rsid w:val="00B918FA"/>
    <w:rsid w:val="00B96C3A"/>
    <w:rsid w:val="00BC4ED4"/>
    <w:rsid w:val="00BD2B06"/>
    <w:rsid w:val="00BE2322"/>
    <w:rsid w:val="00C24D95"/>
    <w:rsid w:val="00DA1F8E"/>
    <w:rsid w:val="00DE24A3"/>
    <w:rsid w:val="00E16DB2"/>
    <w:rsid w:val="00EB61FF"/>
    <w:rsid w:val="00F55C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6DB2"/>
    <w:pPr>
      <w:spacing w:after="200" w:line="276" w:lineRule="auto"/>
    </w:pPr>
    <w:rPr>
      <w:rFonts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1B79BE"/>
    <w:pPr>
      <w:ind w:left="720"/>
    </w:pPr>
  </w:style>
  <w:style w:type="paragraph" w:styleId="Header">
    <w:name w:val="header"/>
    <w:basedOn w:val="Normal"/>
    <w:link w:val="HeaderChar"/>
    <w:uiPriority w:val="99"/>
    <w:rsid w:val="00C24D9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C24D95"/>
  </w:style>
  <w:style w:type="paragraph" w:styleId="Footer">
    <w:name w:val="footer"/>
    <w:basedOn w:val="Normal"/>
    <w:link w:val="FooterChar"/>
    <w:uiPriority w:val="99"/>
    <w:rsid w:val="00BC4ED4"/>
    <w:pPr>
      <w:tabs>
        <w:tab w:val="center" w:pos="4320"/>
        <w:tab w:val="right" w:pos="8640"/>
      </w:tabs>
    </w:pPr>
  </w:style>
  <w:style w:type="character" w:customStyle="1" w:styleId="FooterChar">
    <w:name w:val="Footer Char"/>
    <w:basedOn w:val="DefaultParagraphFont"/>
    <w:link w:val="Footer"/>
    <w:uiPriority w:val="99"/>
    <w:semiHidden/>
    <w:lock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TotalTime>
  <Pages>2</Pages>
  <Words>809</Words>
  <Characters>4612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SSA</Company>
  <LinksUpToDate>false</LinksUpToDate>
  <CharactersWithSpaces>5411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2011-11-24T12:10:00Z</dcterms:created>
  <dcterms:modified xsi:type="dcterms:W3CDTF">2011-12-10T12:57:00Z</dcterms:modified>
</cp:coreProperties>
</file>