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F0D" w:rsidRPr="00A44F0D" w:rsidRDefault="00A44F0D" w:rsidP="005D3B0D">
      <w:pPr>
        <w:pStyle w:val="Heading1"/>
        <w:jc w:val="center"/>
        <w:rPr>
          <w:rFonts w:ascii="Copperplate Gothic Bold" w:hAnsi="Copperplate Gothic Bold"/>
          <w:sz w:val="56"/>
          <w:szCs w:val="56"/>
          <w:u w:val="single"/>
        </w:rPr>
      </w:pPr>
      <w:r w:rsidRPr="00A44F0D">
        <w:rPr>
          <w:rFonts w:ascii="Copperplate Gothic Bold" w:hAnsi="Copperplate Gothic Bold"/>
          <w:sz w:val="56"/>
          <w:szCs w:val="56"/>
          <w:u w:val="single"/>
        </w:rPr>
        <w:t xml:space="preserve">COMPANY AUDIT </w:t>
      </w:r>
    </w:p>
    <w:p w:rsidR="00A44F0D" w:rsidRDefault="00A44F0D" w:rsidP="005D3B0D">
      <w:pPr>
        <w:pStyle w:val="Heading1"/>
        <w:jc w:val="center"/>
        <w:rPr>
          <w:rFonts w:ascii="Bell Gothic Std Black" w:hAnsi="Bell Gothic Std Black"/>
          <w:sz w:val="36"/>
          <w:szCs w:val="36"/>
        </w:rPr>
      </w:pPr>
    </w:p>
    <w:p w:rsidR="00A44F0D" w:rsidRDefault="00A44F0D" w:rsidP="005D3B0D">
      <w:pPr>
        <w:pStyle w:val="Heading1"/>
        <w:jc w:val="center"/>
        <w:rPr>
          <w:rFonts w:ascii="Bell Gothic Std Black" w:hAnsi="Bell Gothic Std Black"/>
          <w:sz w:val="36"/>
          <w:szCs w:val="36"/>
        </w:rPr>
      </w:pPr>
    </w:p>
    <w:p w:rsidR="00B81440" w:rsidRPr="00A44F0D" w:rsidRDefault="00A44F0D" w:rsidP="005D3B0D">
      <w:pPr>
        <w:pStyle w:val="Heading1"/>
        <w:jc w:val="center"/>
        <w:rPr>
          <w:rFonts w:ascii="Consolas" w:hAnsi="Consolas" w:cs="Consolas"/>
          <w:sz w:val="40"/>
          <w:szCs w:val="40"/>
        </w:rPr>
      </w:pPr>
      <w:r w:rsidRPr="00A44F0D">
        <w:rPr>
          <w:rFonts w:ascii="Consolas" w:hAnsi="Consolas" w:cs="Consolas"/>
          <w:sz w:val="40"/>
          <w:szCs w:val="40"/>
        </w:rPr>
        <w:t>(</w:t>
      </w:r>
      <w:r>
        <w:rPr>
          <w:rFonts w:ascii="Consolas" w:hAnsi="Consolas" w:cs="Consolas"/>
          <w:sz w:val="40"/>
          <w:szCs w:val="40"/>
        </w:rPr>
        <w:t>Some Important points to R</w:t>
      </w:r>
      <w:r w:rsidRPr="00A44F0D">
        <w:rPr>
          <w:rFonts w:ascii="Consolas" w:hAnsi="Consolas" w:cs="Consolas"/>
          <w:sz w:val="40"/>
          <w:szCs w:val="40"/>
        </w:rPr>
        <w:t>emember)</w:t>
      </w:r>
    </w:p>
    <w:p w:rsidR="00B81440" w:rsidRDefault="00B81440" w:rsidP="005D3B0D">
      <w:pPr>
        <w:pStyle w:val="Heading1"/>
        <w:jc w:val="center"/>
        <w:rPr>
          <w:rFonts w:ascii="Comic Sans MS" w:hAnsi="Comic Sans MS"/>
          <w:sz w:val="28"/>
          <w:szCs w:val="28"/>
          <w:u w:val="single"/>
        </w:rPr>
      </w:pPr>
    </w:p>
    <w:p w:rsidR="00A44F0D" w:rsidRDefault="00A44F0D" w:rsidP="00B81440">
      <w:pPr>
        <w:pStyle w:val="Default"/>
        <w:rPr>
          <w:rFonts w:ascii="Castellar" w:hAnsi="Castellar"/>
          <w:b/>
          <w:bCs/>
          <w:sz w:val="36"/>
          <w:szCs w:val="36"/>
        </w:rPr>
      </w:pPr>
    </w:p>
    <w:p w:rsidR="00A44F0D" w:rsidRDefault="00A44F0D" w:rsidP="00B81440">
      <w:pPr>
        <w:pStyle w:val="Default"/>
        <w:rPr>
          <w:rFonts w:ascii="Castellar" w:hAnsi="Castellar"/>
          <w:b/>
          <w:bCs/>
          <w:sz w:val="36"/>
          <w:szCs w:val="36"/>
        </w:rPr>
      </w:pPr>
    </w:p>
    <w:p w:rsidR="00A44F0D" w:rsidRDefault="00A44F0D" w:rsidP="00B81440">
      <w:pPr>
        <w:pStyle w:val="Default"/>
        <w:rPr>
          <w:rFonts w:ascii="Castellar" w:hAnsi="Castellar"/>
          <w:b/>
          <w:bCs/>
          <w:sz w:val="36"/>
          <w:szCs w:val="36"/>
        </w:rPr>
      </w:pPr>
    </w:p>
    <w:p w:rsidR="00A44F0D" w:rsidRDefault="00A44F0D" w:rsidP="00B81440">
      <w:pPr>
        <w:pStyle w:val="Default"/>
        <w:rPr>
          <w:rFonts w:ascii="Castellar" w:hAnsi="Castellar"/>
          <w:b/>
          <w:bCs/>
          <w:sz w:val="36"/>
          <w:szCs w:val="36"/>
        </w:rPr>
      </w:pPr>
    </w:p>
    <w:p w:rsidR="00A44F0D" w:rsidRDefault="00A44F0D" w:rsidP="00B81440">
      <w:pPr>
        <w:pStyle w:val="Default"/>
        <w:rPr>
          <w:rFonts w:ascii="Castellar" w:hAnsi="Castellar"/>
          <w:b/>
          <w:bCs/>
          <w:sz w:val="36"/>
          <w:szCs w:val="36"/>
        </w:rPr>
      </w:pPr>
    </w:p>
    <w:p w:rsidR="00A44F0D" w:rsidRDefault="00A44F0D" w:rsidP="00B81440">
      <w:pPr>
        <w:pStyle w:val="Default"/>
        <w:rPr>
          <w:rFonts w:ascii="Castellar" w:hAnsi="Castellar"/>
          <w:b/>
          <w:bCs/>
          <w:sz w:val="36"/>
          <w:szCs w:val="36"/>
        </w:rPr>
      </w:pPr>
    </w:p>
    <w:p w:rsidR="00A44F0D" w:rsidRDefault="00A44F0D" w:rsidP="00B81440">
      <w:pPr>
        <w:pStyle w:val="Default"/>
        <w:rPr>
          <w:rFonts w:ascii="Castellar" w:hAnsi="Castellar"/>
          <w:b/>
          <w:bCs/>
          <w:sz w:val="36"/>
          <w:szCs w:val="36"/>
        </w:rPr>
      </w:pPr>
    </w:p>
    <w:p w:rsidR="00A44F0D" w:rsidRDefault="00A44F0D" w:rsidP="00B81440">
      <w:pPr>
        <w:pStyle w:val="Default"/>
        <w:rPr>
          <w:rFonts w:ascii="Castellar" w:hAnsi="Castellar"/>
          <w:b/>
          <w:bCs/>
          <w:sz w:val="36"/>
          <w:szCs w:val="36"/>
        </w:rPr>
      </w:pPr>
    </w:p>
    <w:p w:rsidR="00B81440" w:rsidRPr="00B81440" w:rsidRDefault="00B81440" w:rsidP="00B81440">
      <w:pPr>
        <w:pStyle w:val="Default"/>
        <w:rPr>
          <w:rFonts w:ascii="Castellar" w:hAnsi="Castellar"/>
          <w:sz w:val="36"/>
          <w:szCs w:val="36"/>
        </w:rPr>
      </w:pPr>
      <w:r w:rsidRPr="00B81440">
        <w:rPr>
          <w:rFonts w:ascii="Castellar" w:hAnsi="Castellar"/>
          <w:b/>
          <w:bCs/>
          <w:sz w:val="36"/>
          <w:szCs w:val="36"/>
        </w:rPr>
        <w:t xml:space="preserve">Rules of My Life: </w:t>
      </w:r>
    </w:p>
    <w:p w:rsidR="00B81440" w:rsidRDefault="00B81440" w:rsidP="00B81440">
      <w:pPr>
        <w:pStyle w:val="Default"/>
        <w:rPr>
          <w:rFonts w:ascii="Bell Gothic Std Black" w:hAnsi="Bell Gothic Std Black"/>
          <w:b/>
          <w:bCs/>
          <w:sz w:val="36"/>
          <w:szCs w:val="36"/>
        </w:rPr>
      </w:pPr>
    </w:p>
    <w:p w:rsidR="00B81440" w:rsidRPr="00B81440" w:rsidRDefault="00B81440" w:rsidP="00B81440">
      <w:pPr>
        <w:pStyle w:val="Default"/>
        <w:rPr>
          <w:rFonts w:ascii="Rupee Foradian" w:hAnsi="Rupee Foradian"/>
          <w:sz w:val="36"/>
          <w:szCs w:val="36"/>
        </w:rPr>
      </w:pPr>
      <w:r w:rsidRPr="00B81440">
        <w:rPr>
          <w:rFonts w:ascii="Rupee Foradian" w:hAnsi="Rupee Foradian"/>
          <w:b/>
          <w:bCs/>
          <w:sz w:val="36"/>
          <w:szCs w:val="36"/>
        </w:rPr>
        <w:t xml:space="preserve">“Don't use anyone, but being useful for everyone.” </w:t>
      </w:r>
    </w:p>
    <w:p w:rsidR="00B81440" w:rsidRPr="00B81440" w:rsidRDefault="00B81440" w:rsidP="00B81440">
      <w:pPr>
        <w:pStyle w:val="Default"/>
        <w:rPr>
          <w:rFonts w:ascii="Rupee Foradian" w:hAnsi="Rupee Foradian"/>
          <w:sz w:val="36"/>
          <w:szCs w:val="36"/>
        </w:rPr>
      </w:pPr>
      <w:r w:rsidRPr="00B81440">
        <w:rPr>
          <w:rFonts w:ascii="Rupee Foradian" w:hAnsi="Rupee Foradian"/>
          <w:b/>
          <w:bCs/>
          <w:sz w:val="36"/>
          <w:szCs w:val="36"/>
        </w:rPr>
        <w:t xml:space="preserve">“There is no tax on helping each other.” </w:t>
      </w:r>
    </w:p>
    <w:p w:rsidR="00B81440" w:rsidRPr="00B81440" w:rsidRDefault="00B81440" w:rsidP="00B81440">
      <w:pPr>
        <w:pStyle w:val="Default"/>
        <w:rPr>
          <w:rFonts w:ascii="Rupee Foradian" w:hAnsi="Rupee Foradian"/>
          <w:sz w:val="36"/>
          <w:szCs w:val="36"/>
        </w:rPr>
      </w:pPr>
      <w:r w:rsidRPr="00B81440">
        <w:rPr>
          <w:rFonts w:ascii="Rupee Foradian" w:hAnsi="Rupee Foradian"/>
          <w:b/>
          <w:bCs/>
          <w:sz w:val="36"/>
          <w:szCs w:val="36"/>
        </w:rPr>
        <w:t xml:space="preserve">“Live for other is more joyful rather than live for yourself.” </w:t>
      </w:r>
    </w:p>
    <w:p w:rsidR="00B81440" w:rsidRPr="00B81440" w:rsidRDefault="00B81440" w:rsidP="00B81440">
      <w:pPr>
        <w:pStyle w:val="Default"/>
        <w:rPr>
          <w:rFonts w:ascii="Rupee Foradian" w:hAnsi="Rupee Foradian"/>
          <w:sz w:val="36"/>
          <w:szCs w:val="36"/>
        </w:rPr>
      </w:pPr>
      <w:r w:rsidRPr="00B81440">
        <w:rPr>
          <w:rFonts w:ascii="Rupee Foradian" w:hAnsi="Rupee Foradian"/>
          <w:b/>
          <w:bCs/>
          <w:sz w:val="36"/>
          <w:szCs w:val="36"/>
        </w:rPr>
        <w:t xml:space="preserve">“If you light a lamp for somebody, it will also brighten your path.” </w:t>
      </w:r>
    </w:p>
    <w:p w:rsidR="00B81440" w:rsidRPr="00B81440" w:rsidRDefault="00B81440" w:rsidP="00B81440">
      <w:pPr>
        <w:pStyle w:val="Default"/>
        <w:rPr>
          <w:rFonts w:ascii="Rupee Foradian" w:hAnsi="Rupee Foradian"/>
          <w:sz w:val="36"/>
          <w:szCs w:val="36"/>
        </w:rPr>
      </w:pPr>
      <w:r w:rsidRPr="00B81440">
        <w:rPr>
          <w:rFonts w:ascii="Rupee Foradian" w:hAnsi="Rupee Foradian"/>
          <w:b/>
          <w:bCs/>
          <w:sz w:val="36"/>
          <w:szCs w:val="36"/>
        </w:rPr>
        <w:t xml:space="preserve">“Happiness is a by-product of an effort to make someone else happy.” </w:t>
      </w:r>
      <w:r w:rsidRPr="00B81440">
        <w:rPr>
          <w:rFonts w:ascii="Rupee Foradian" w:hAnsi="Rupee Foradian" w:cs="Wingdings"/>
          <w:sz w:val="36"/>
          <w:szCs w:val="36"/>
        </w:rPr>
        <w:t xml:space="preserve"> </w:t>
      </w:r>
    </w:p>
    <w:p w:rsidR="00B81440" w:rsidRPr="00B81440" w:rsidRDefault="00B81440" w:rsidP="00B81440">
      <w:pPr>
        <w:pStyle w:val="ListParagraph"/>
        <w:ind w:left="6120"/>
        <w:rPr>
          <w:rFonts w:ascii="Bell Gothic Std Black" w:hAnsi="Bell Gothic Std Black"/>
          <w:kern w:val="32"/>
          <w:sz w:val="36"/>
          <w:szCs w:val="36"/>
        </w:rPr>
      </w:pPr>
    </w:p>
    <w:p w:rsidR="00B81440" w:rsidRPr="00B81440" w:rsidRDefault="00B81440" w:rsidP="00B81440">
      <w:pPr>
        <w:pStyle w:val="ListParagraph"/>
        <w:numPr>
          <w:ilvl w:val="0"/>
          <w:numId w:val="4"/>
        </w:numPr>
        <w:rPr>
          <w:rFonts w:ascii="Adobe Caslon Pro Bold" w:hAnsi="Adobe Caslon Pro Bold"/>
          <w:kern w:val="32"/>
          <w:sz w:val="36"/>
          <w:szCs w:val="36"/>
        </w:rPr>
      </w:pPr>
      <w:r w:rsidRPr="00B81440">
        <w:rPr>
          <w:rFonts w:ascii="Bell Gothic Std Black" w:hAnsi="Bell Gothic Std Black"/>
          <w:b/>
          <w:bCs/>
          <w:sz w:val="36"/>
          <w:szCs w:val="36"/>
        </w:rPr>
        <w:t xml:space="preserve"> </w:t>
      </w:r>
      <w:r>
        <w:rPr>
          <w:rFonts w:ascii="Bell Gothic Std Black" w:hAnsi="Bell Gothic Std Black"/>
          <w:b/>
          <w:bCs/>
          <w:sz w:val="36"/>
          <w:szCs w:val="36"/>
        </w:rPr>
        <w:t>Manoj Kori</w:t>
      </w:r>
      <w:r>
        <w:rPr>
          <w:rFonts w:ascii="Bell Gothic Std Black" w:hAnsi="Bell Gothic Std Black"/>
          <w:b/>
          <w:bCs/>
          <w:sz w:val="36"/>
          <w:szCs w:val="36"/>
          <w:vertAlign w:val="superscript"/>
        </w:rPr>
        <w:t>©</w:t>
      </w:r>
    </w:p>
    <w:p w:rsidR="00B81440" w:rsidRDefault="00B81440" w:rsidP="00B81440">
      <w:pPr>
        <w:rPr>
          <w:rFonts w:ascii="Comic Sans MS" w:hAnsi="Comic Sans MS"/>
          <w:sz w:val="28"/>
          <w:szCs w:val="28"/>
          <w:u w:val="single"/>
        </w:rPr>
      </w:pPr>
    </w:p>
    <w:p w:rsidR="00B81440" w:rsidRDefault="00B81440" w:rsidP="00B81440">
      <w:pPr>
        <w:rPr>
          <w:rFonts w:ascii="Comic Sans MS" w:hAnsi="Comic Sans MS"/>
          <w:sz w:val="28"/>
          <w:szCs w:val="28"/>
          <w:u w:val="single"/>
        </w:rPr>
      </w:pPr>
    </w:p>
    <w:p w:rsidR="00B81440" w:rsidRDefault="00B81440" w:rsidP="00B81440">
      <w:pPr>
        <w:rPr>
          <w:rFonts w:ascii="Comic Sans MS" w:hAnsi="Comic Sans MS"/>
          <w:sz w:val="28"/>
          <w:szCs w:val="28"/>
          <w:u w:val="single"/>
        </w:rPr>
      </w:pPr>
    </w:p>
    <w:p w:rsidR="005D3B0D" w:rsidRPr="00585FCF" w:rsidRDefault="005D3B0D" w:rsidP="00A44F0D">
      <w:pPr>
        <w:rPr>
          <w:rFonts w:ascii="Adobe Caslon Pro Bold" w:hAnsi="Adobe Caslon Pro Bold"/>
          <w:color w:val="365F91" w:themeColor="accent1" w:themeShade="BF"/>
          <w:kern w:val="32"/>
          <w:sz w:val="32"/>
          <w:szCs w:val="32"/>
        </w:rPr>
      </w:pPr>
      <w:r w:rsidRPr="00585FCF">
        <w:rPr>
          <w:rFonts w:ascii="Comic Sans MS" w:hAnsi="Comic Sans MS"/>
          <w:color w:val="365F91" w:themeColor="accent1" w:themeShade="BF"/>
          <w:sz w:val="32"/>
          <w:szCs w:val="32"/>
        </w:rPr>
        <w:t>Company Audit 1</w:t>
      </w:r>
    </w:p>
    <w:p w:rsidR="005D3B0D" w:rsidRDefault="005D3B0D" w:rsidP="005D3B0D"/>
    <w:p w:rsidR="005D3B0D" w:rsidRDefault="005D3B0D" w:rsidP="005D3B0D">
      <w:pPr>
        <w:pStyle w:val="List2"/>
        <w:numPr>
          <w:ilvl w:val="0"/>
          <w:numId w:val="1"/>
        </w:numPr>
        <w:rPr>
          <w:rFonts w:ascii="Comic Sans MS" w:hAnsi="Comic Sans MS"/>
          <w:sz w:val="20"/>
          <w:szCs w:val="20"/>
        </w:rPr>
      </w:pPr>
      <w:r w:rsidRPr="00585FCF">
        <w:rPr>
          <w:rFonts w:ascii="Comic Sans MS" w:hAnsi="Comic Sans MS"/>
          <w:color w:val="FF0000"/>
          <w:sz w:val="22"/>
          <w:szCs w:val="22"/>
        </w:rPr>
        <w:t>Regulation 191 of the chartered Accountants Regulations 1988 allows the Chartered Accountant</w:t>
      </w:r>
      <w:r w:rsidRPr="00585FCF">
        <w:rPr>
          <w:rFonts w:ascii="Comic Sans MS" w:hAnsi="Comic Sans MS"/>
          <w:color w:val="FF0000"/>
          <w:sz w:val="20"/>
          <w:szCs w:val="20"/>
        </w:rPr>
        <w:t xml:space="preserve"> </w:t>
      </w:r>
      <w:r>
        <w:rPr>
          <w:rFonts w:ascii="Comic Sans MS" w:hAnsi="Comic Sans MS"/>
          <w:sz w:val="20"/>
          <w:szCs w:val="20"/>
        </w:rPr>
        <w:t>to act as a liquidator but the Institute of Chartered Accountants of India in order to establish a healthy competition, recommended that where the chartered accountant act as a liquidator, the statement of accounts to be filled u/s 551(1) of the companies act 1956 should be audited by a qualified chartered accountant other than the chartered accountant who is the liquidator of the company.</w:t>
      </w:r>
    </w:p>
    <w:p w:rsidR="005D3B0D" w:rsidRDefault="005D3B0D" w:rsidP="005D3B0D">
      <w:pPr>
        <w:pStyle w:val="List2"/>
        <w:numPr>
          <w:ilvl w:val="0"/>
          <w:numId w:val="1"/>
        </w:numPr>
        <w:rPr>
          <w:rFonts w:ascii="Comic Sans MS" w:hAnsi="Comic Sans MS"/>
          <w:sz w:val="20"/>
          <w:szCs w:val="20"/>
        </w:rPr>
      </w:pPr>
      <w:r w:rsidRPr="00585FCF">
        <w:rPr>
          <w:rFonts w:ascii="Comic Sans MS" w:hAnsi="Comic Sans MS"/>
          <w:color w:val="E36C0A" w:themeColor="accent6" w:themeShade="BF"/>
          <w:sz w:val="20"/>
          <w:szCs w:val="20"/>
        </w:rPr>
        <w:t xml:space="preserve">U/s 228(4) </w:t>
      </w:r>
      <w:r>
        <w:rPr>
          <w:rFonts w:ascii="Comic Sans MS" w:hAnsi="Comic Sans MS"/>
          <w:sz w:val="20"/>
          <w:szCs w:val="20"/>
        </w:rPr>
        <w:t>of the company’s act 1956, the central govt. has formulated Companies (Branch Audit Exemption) Rule. 1961. These Rules require that, if during the said financial year, the average quantum of activity of the branch does not exceed Rs. 200000/- or 2% of the average of total turnover and the earning from the other sources of the company as the whole, which ever is higher, the said branch is exempted.</w:t>
      </w:r>
    </w:p>
    <w:p w:rsidR="005D3B0D" w:rsidRDefault="005D3B0D" w:rsidP="005D3B0D">
      <w:pPr>
        <w:pStyle w:val="List2"/>
        <w:numPr>
          <w:ilvl w:val="0"/>
          <w:numId w:val="1"/>
        </w:numPr>
        <w:rPr>
          <w:rFonts w:ascii="Comic Sans MS" w:hAnsi="Comic Sans MS"/>
          <w:sz w:val="20"/>
          <w:szCs w:val="20"/>
        </w:rPr>
      </w:pPr>
      <w:r w:rsidRPr="00585FCF">
        <w:rPr>
          <w:rFonts w:ascii="Comic Sans MS" w:hAnsi="Comic Sans MS"/>
          <w:color w:val="E36C0A" w:themeColor="accent6" w:themeShade="BF"/>
          <w:sz w:val="20"/>
          <w:szCs w:val="20"/>
        </w:rPr>
        <w:t xml:space="preserve">Section 226(3) </w:t>
      </w:r>
      <w:r>
        <w:rPr>
          <w:rFonts w:ascii="Comic Sans MS" w:hAnsi="Comic Sans MS"/>
          <w:sz w:val="20"/>
          <w:szCs w:val="20"/>
        </w:rPr>
        <w:t>of the company’s act 1956 specifies that a person shall be disqualified to act as an auditor if he is indebted to the company for the amount exceeding Rs. 1000/- no matter what the case in the advance was taken.</w:t>
      </w:r>
    </w:p>
    <w:p w:rsidR="005D3B0D" w:rsidRDefault="005D3B0D" w:rsidP="005D3B0D">
      <w:pPr>
        <w:pStyle w:val="List2"/>
        <w:numPr>
          <w:ilvl w:val="0"/>
          <w:numId w:val="1"/>
        </w:numPr>
        <w:rPr>
          <w:rFonts w:ascii="Comic Sans MS" w:hAnsi="Comic Sans MS"/>
          <w:sz w:val="20"/>
          <w:szCs w:val="20"/>
        </w:rPr>
      </w:pPr>
      <w:r w:rsidRPr="00585FCF">
        <w:rPr>
          <w:rFonts w:ascii="Comic Sans MS" w:hAnsi="Comic Sans MS"/>
          <w:color w:val="E36C0A" w:themeColor="accent6" w:themeShade="BF"/>
          <w:sz w:val="20"/>
          <w:szCs w:val="20"/>
        </w:rPr>
        <w:t xml:space="preserve">Section 231 </w:t>
      </w:r>
      <w:r>
        <w:rPr>
          <w:rFonts w:ascii="Comic Sans MS" w:hAnsi="Comic Sans MS"/>
          <w:sz w:val="20"/>
          <w:szCs w:val="20"/>
        </w:rPr>
        <w:t>of the Companies Act 1956 empowers the auditors of the company to attend any general meeting of the company; to receive all the notices and other communications relating to the general meeting, which member are entitled to receive and to be heard at any general meeting in any part of the business of the meeting which concern them as auditors. The discovery of a fact after the issuance of the financial statement that existed at the date of the audit report which would have cost the revision of the audit report requires that the auditor brings this to the notice of shareholders.</w:t>
      </w:r>
    </w:p>
    <w:p w:rsidR="005D3B0D" w:rsidRDefault="005D3B0D" w:rsidP="005D3B0D">
      <w:pPr>
        <w:pStyle w:val="List2"/>
        <w:numPr>
          <w:ilvl w:val="0"/>
          <w:numId w:val="1"/>
        </w:numPr>
        <w:rPr>
          <w:rFonts w:ascii="Comic Sans MS" w:hAnsi="Comic Sans MS"/>
          <w:sz w:val="20"/>
          <w:szCs w:val="20"/>
        </w:rPr>
      </w:pPr>
      <w:r>
        <w:rPr>
          <w:rFonts w:ascii="Comic Sans MS" w:hAnsi="Comic Sans MS"/>
          <w:sz w:val="20"/>
          <w:szCs w:val="20"/>
        </w:rPr>
        <w:t xml:space="preserve">The provisions of the Companies Act 1956 applicable to the appointment of an auditor In place of a retiring auditor due to disqualification, death, resignation </w:t>
      </w:r>
      <w:r w:rsidR="00715BF8">
        <w:rPr>
          <w:rFonts w:ascii="Comic Sans MS" w:hAnsi="Comic Sans MS"/>
          <w:sz w:val="20"/>
          <w:szCs w:val="20"/>
        </w:rPr>
        <w:t>etc.</w:t>
      </w:r>
      <w:r>
        <w:rPr>
          <w:rFonts w:ascii="Comic Sans MS" w:hAnsi="Comic Sans MS"/>
          <w:sz w:val="20"/>
          <w:szCs w:val="20"/>
        </w:rPr>
        <w:t xml:space="preserve"> would be instant cases are given below:-</w:t>
      </w:r>
    </w:p>
    <w:p w:rsidR="005D3B0D" w:rsidRDefault="005D3B0D" w:rsidP="005D3B0D">
      <w:pPr>
        <w:pStyle w:val="List3"/>
        <w:numPr>
          <w:ilvl w:val="0"/>
          <w:numId w:val="2"/>
        </w:numPr>
        <w:tabs>
          <w:tab w:val="clear" w:pos="720"/>
          <w:tab w:val="num" w:pos="1260"/>
        </w:tabs>
        <w:ind w:left="1260"/>
        <w:rPr>
          <w:rFonts w:ascii="Comic Sans MS" w:hAnsi="Comic Sans MS"/>
          <w:sz w:val="20"/>
          <w:szCs w:val="20"/>
        </w:rPr>
      </w:pPr>
      <w:r w:rsidRPr="00585FCF">
        <w:rPr>
          <w:rFonts w:ascii="Comic Sans MS" w:hAnsi="Comic Sans MS"/>
          <w:color w:val="E36C0A" w:themeColor="accent6" w:themeShade="BF"/>
          <w:sz w:val="20"/>
          <w:szCs w:val="20"/>
          <w:u w:val="single"/>
        </w:rPr>
        <w:t>Section 225(1):</w:t>
      </w:r>
      <w:r w:rsidRPr="00585FCF">
        <w:rPr>
          <w:rFonts w:ascii="Comic Sans MS" w:hAnsi="Comic Sans MS"/>
          <w:color w:val="E36C0A" w:themeColor="accent6" w:themeShade="BF"/>
          <w:sz w:val="20"/>
          <w:szCs w:val="20"/>
        </w:rPr>
        <w:t xml:space="preserve"> </w:t>
      </w:r>
      <w:r>
        <w:rPr>
          <w:rFonts w:ascii="Comic Sans MS" w:hAnsi="Comic Sans MS"/>
          <w:sz w:val="20"/>
          <w:szCs w:val="20"/>
        </w:rPr>
        <w:t>Special notice shall be required for a resolution at an annual general meeting appointing as auditor other than retiring auditor.</w:t>
      </w:r>
    </w:p>
    <w:p w:rsidR="005D3B0D" w:rsidRDefault="005D3B0D" w:rsidP="005D3B0D">
      <w:pPr>
        <w:pStyle w:val="List3"/>
        <w:numPr>
          <w:ilvl w:val="0"/>
          <w:numId w:val="2"/>
        </w:numPr>
        <w:tabs>
          <w:tab w:val="clear" w:pos="720"/>
          <w:tab w:val="num" w:pos="1260"/>
        </w:tabs>
        <w:ind w:left="1260"/>
        <w:rPr>
          <w:rFonts w:ascii="Comic Sans MS" w:hAnsi="Comic Sans MS"/>
          <w:sz w:val="20"/>
          <w:szCs w:val="20"/>
        </w:rPr>
      </w:pPr>
      <w:r w:rsidRPr="00585FCF">
        <w:rPr>
          <w:rFonts w:ascii="Comic Sans MS" w:hAnsi="Comic Sans MS"/>
          <w:color w:val="E36C0A" w:themeColor="accent6" w:themeShade="BF"/>
          <w:sz w:val="20"/>
          <w:szCs w:val="20"/>
          <w:u w:val="single"/>
        </w:rPr>
        <w:t>Section 190(2):</w:t>
      </w:r>
      <w:r w:rsidRPr="00585FCF">
        <w:rPr>
          <w:rFonts w:ascii="Comic Sans MS" w:hAnsi="Comic Sans MS"/>
          <w:color w:val="E36C0A" w:themeColor="accent6" w:themeShade="BF"/>
          <w:sz w:val="20"/>
          <w:szCs w:val="20"/>
        </w:rPr>
        <w:t xml:space="preserve"> </w:t>
      </w:r>
      <w:r>
        <w:rPr>
          <w:rFonts w:ascii="Comic Sans MS" w:hAnsi="Comic Sans MS"/>
          <w:sz w:val="20"/>
          <w:szCs w:val="20"/>
        </w:rPr>
        <w:t>Special notice id to be given to all the members of the company at least 7 days before the date of AGM</w:t>
      </w:r>
    </w:p>
    <w:p w:rsidR="005D3B0D" w:rsidRDefault="005D3B0D" w:rsidP="005D3B0D">
      <w:pPr>
        <w:pStyle w:val="List3"/>
        <w:numPr>
          <w:ilvl w:val="0"/>
          <w:numId w:val="2"/>
        </w:numPr>
        <w:tabs>
          <w:tab w:val="clear" w:pos="720"/>
          <w:tab w:val="num" w:pos="1260"/>
        </w:tabs>
        <w:ind w:left="1260"/>
        <w:rPr>
          <w:rFonts w:ascii="Comic Sans MS" w:hAnsi="Comic Sans MS"/>
          <w:sz w:val="20"/>
          <w:szCs w:val="20"/>
        </w:rPr>
      </w:pPr>
      <w:r w:rsidRPr="00585FCF">
        <w:rPr>
          <w:rFonts w:ascii="Comic Sans MS" w:hAnsi="Comic Sans MS"/>
          <w:color w:val="E36C0A" w:themeColor="accent6" w:themeShade="BF"/>
          <w:sz w:val="20"/>
          <w:szCs w:val="20"/>
          <w:u w:val="single"/>
        </w:rPr>
        <w:t xml:space="preserve">Section 225(2): </w:t>
      </w:r>
      <w:r>
        <w:rPr>
          <w:rFonts w:ascii="Comic Sans MS" w:hAnsi="Comic Sans MS"/>
          <w:sz w:val="20"/>
          <w:szCs w:val="20"/>
        </w:rPr>
        <w:t>On the receipt of notice of such a resolution, the company shall forthwith send a copy thereof to the retiring auditor.</w:t>
      </w:r>
    </w:p>
    <w:p w:rsidR="005D3B0D" w:rsidRDefault="005D3B0D" w:rsidP="005D3B0D">
      <w:pPr>
        <w:pStyle w:val="List3"/>
        <w:numPr>
          <w:ilvl w:val="0"/>
          <w:numId w:val="2"/>
        </w:numPr>
        <w:tabs>
          <w:tab w:val="clear" w:pos="720"/>
          <w:tab w:val="num" w:pos="1260"/>
        </w:tabs>
        <w:ind w:left="1260"/>
        <w:rPr>
          <w:rFonts w:ascii="Comic Sans MS" w:hAnsi="Comic Sans MS"/>
          <w:sz w:val="20"/>
          <w:szCs w:val="20"/>
        </w:rPr>
      </w:pPr>
      <w:r w:rsidRPr="00585FCF">
        <w:rPr>
          <w:rFonts w:ascii="Comic Sans MS" w:hAnsi="Comic Sans MS"/>
          <w:color w:val="E36C0A" w:themeColor="accent6" w:themeShade="BF"/>
          <w:sz w:val="20"/>
          <w:szCs w:val="20"/>
          <w:u w:val="single"/>
        </w:rPr>
        <w:t>Section 225(3):</w:t>
      </w:r>
      <w:r w:rsidRPr="00585FCF">
        <w:rPr>
          <w:rFonts w:ascii="Comic Sans MS" w:hAnsi="Comic Sans MS"/>
          <w:color w:val="E36C0A" w:themeColor="accent6" w:themeShade="BF"/>
          <w:sz w:val="20"/>
          <w:szCs w:val="20"/>
        </w:rPr>
        <w:t xml:space="preserve"> </w:t>
      </w:r>
      <w:r>
        <w:rPr>
          <w:rFonts w:ascii="Comic Sans MS" w:hAnsi="Comic Sans MS"/>
          <w:sz w:val="20"/>
          <w:szCs w:val="20"/>
        </w:rPr>
        <w:t>Representation if any, received from the retiring auditor should be sent to the members of the company.</w:t>
      </w:r>
    </w:p>
    <w:p w:rsidR="005D3B0D" w:rsidRDefault="005D3B0D" w:rsidP="005D3B0D">
      <w:pPr>
        <w:pStyle w:val="List3"/>
        <w:numPr>
          <w:ilvl w:val="0"/>
          <w:numId w:val="2"/>
        </w:numPr>
        <w:tabs>
          <w:tab w:val="clear" w:pos="720"/>
          <w:tab w:val="num" w:pos="1260"/>
        </w:tabs>
        <w:ind w:left="1260"/>
        <w:rPr>
          <w:rFonts w:ascii="Comic Sans MS" w:hAnsi="Comic Sans MS"/>
          <w:sz w:val="20"/>
          <w:szCs w:val="20"/>
        </w:rPr>
      </w:pPr>
      <w:r w:rsidRPr="00585FCF">
        <w:rPr>
          <w:rFonts w:ascii="Comic Sans MS" w:hAnsi="Comic Sans MS"/>
          <w:color w:val="E36C0A" w:themeColor="accent6" w:themeShade="BF"/>
          <w:sz w:val="20"/>
          <w:szCs w:val="20"/>
          <w:u w:val="single"/>
        </w:rPr>
        <w:t>Section 224A:</w:t>
      </w:r>
      <w:r>
        <w:rPr>
          <w:rFonts w:ascii="Comic Sans MS" w:hAnsi="Comic Sans MS"/>
          <w:sz w:val="20"/>
          <w:szCs w:val="20"/>
        </w:rPr>
        <w:t xml:space="preserve"> Special resolution as required under this section should be duly passed</w:t>
      </w:r>
    </w:p>
    <w:p w:rsidR="005D3B0D" w:rsidRDefault="005D3B0D" w:rsidP="005D3B0D">
      <w:pPr>
        <w:pStyle w:val="List3"/>
        <w:numPr>
          <w:ilvl w:val="0"/>
          <w:numId w:val="2"/>
        </w:numPr>
        <w:tabs>
          <w:tab w:val="clear" w:pos="720"/>
          <w:tab w:val="num" w:pos="1260"/>
        </w:tabs>
        <w:ind w:left="1260"/>
        <w:rPr>
          <w:rFonts w:ascii="Comic Sans MS" w:hAnsi="Comic Sans MS"/>
          <w:sz w:val="20"/>
          <w:szCs w:val="20"/>
        </w:rPr>
      </w:pPr>
      <w:r w:rsidRPr="00585FCF">
        <w:rPr>
          <w:rFonts w:ascii="Comic Sans MS" w:hAnsi="Comic Sans MS"/>
          <w:color w:val="E36C0A" w:themeColor="accent6" w:themeShade="BF"/>
          <w:sz w:val="20"/>
          <w:szCs w:val="20"/>
          <w:u w:val="single"/>
        </w:rPr>
        <w:t>Section 224(1B):</w:t>
      </w:r>
      <w:r w:rsidRPr="00585FCF">
        <w:rPr>
          <w:rFonts w:ascii="Comic Sans MS" w:hAnsi="Comic Sans MS"/>
          <w:color w:val="E36C0A" w:themeColor="accent6" w:themeShade="BF"/>
          <w:sz w:val="20"/>
          <w:szCs w:val="20"/>
        </w:rPr>
        <w:t xml:space="preserve"> </w:t>
      </w:r>
      <w:r>
        <w:rPr>
          <w:rFonts w:ascii="Comic Sans MS" w:hAnsi="Comic Sans MS"/>
          <w:sz w:val="20"/>
          <w:szCs w:val="20"/>
        </w:rPr>
        <w:t xml:space="preserve">Before any appointment or reappointment of auditor is made at an AGM, a written certificate is to be obtained from the auditor proposed to be appointed that his appointment will be in accordance with the limits specified in </w:t>
      </w:r>
      <w:r w:rsidRPr="00585FCF">
        <w:rPr>
          <w:rFonts w:ascii="Comic Sans MS" w:hAnsi="Comic Sans MS"/>
          <w:color w:val="E36C0A" w:themeColor="accent6" w:themeShade="BF"/>
          <w:sz w:val="20"/>
          <w:szCs w:val="20"/>
        </w:rPr>
        <w:t>section 224(1B).</w:t>
      </w:r>
    </w:p>
    <w:p w:rsidR="005D3B0D" w:rsidRDefault="005D3B0D" w:rsidP="005D3B0D">
      <w:pPr>
        <w:pStyle w:val="List3"/>
        <w:numPr>
          <w:ilvl w:val="0"/>
          <w:numId w:val="2"/>
        </w:numPr>
        <w:tabs>
          <w:tab w:val="clear" w:pos="720"/>
          <w:tab w:val="num" w:pos="1260"/>
        </w:tabs>
        <w:ind w:left="1260"/>
        <w:rPr>
          <w:rFonts w:ascii="Comic Sans MS" w:hAnsi="Comic Sans MS"/>
          <w:sz w:val="20"/>
          <w:szCs w:val="20"/>
        </w:rPr>
      </w:pPr>
      <w:r>
        <w:rPr>
          <w:rFonts w:ascii="Comic Sans MS" w:hAnsi="Comic Sans MS"/>
          <w:sz w:val="20"/>
          <w:szCs w:val="20"/>
        </w:rPr>
        <w:t xml:space="preserve">The incoming auditor should also satisfy himself that the notice provided for under </w:t>
      </w:r>
      <w:r w:rsidRPr="00585FCF">
        <w:rPr>
          <w:rFonts w:ascii="Comic Sans MS" w:hAnsi="Comic Sans MS"/>
          <w:color w:val="E36C0A" w:themeColor="accent6" w:themeShade="BF"/>
          <w:sz w:val="20"/>
          <w:szCs w:val="20"/>
        </w:rPr>
        <w:t xml:space="preserve">Section 224 and225 </w:t>
      </w:r>
      <w:r>
        <w:rPr>
          <w:rFonts w:ascii="Comic Sans MS" w:hAnsi="Comic Sans MS"/>
          <w:sz w:val="20"/>
          <w:szCs w:val="20"/>
        </w:rPr>
        <w:t>has been effectively served on the outgoing auditor</w:t>
      </w:r>
    </w:p>
    <w:p w:rsidR="005D3B0D" w:rsidRDefault="005D3B0D" w:rsidP="005D3B0D">
      <w:pPr>
        <w:pStyle w:val="List2"/>
        <w:numPr>
          <w:ilvl w:val="0"/>
          <w:numId w:val="1"/>
        </w:numPr>
        <w:pBdr>
          <w:top w:val="single" w:sz="6" w:space="1" w:color="auto"/>
        </w:pBdr>
        <w:rPr>
          <w:rFonts w:ascii="Comic Sans MS" w:hAnsi="Comic Sans MS"/>
          <w:sz w:val="20"/>
          <w:szCs w:val="20"/>
        </w:rPr>
      </w:pPr>
      <w:bookmarkStart w:id="0" w:name="_GoBack"/>
      <w:bookmarkEnd w:id="0"/>
      <w:r>
        <w:rPr>
          <w:rFonts w:ascii="Comic Sans MS" w:hAnsi="Comic Sans MS"/>
          <w:sz w:val="20"/>
          <w:szCs w:val="20"/>
        </w:rPr>
        <w:t xml:space="preserve">Section (3) (c) of the Companies Act 1956 prescribes that any person who is a partner or in employment of an officer or employee of the co will be disqualified to act as an auditor of a </w:t>
      </w:r>
      <w:r>
        <w:rPr>
          <w:rFonts w:ascii="Comic Sans MS" w:hAnsi="Comic Sans MS"/>
          <w:sz w:val="20"/>
          <w:szCs w:val="20"/>
        </w:rPr>
        <w:lastRenderedPageBreak/>
        <w:t>company. Sub-section (5) of section 226 provides that an auditor who becomes the subject, after his appointment, to any of the disqualifications specified in sub-section (3) and (4)</w:t>
      </w:r>
    </w:p>
    <w:p w:rsidR="005D3B0D" w:rsidRDefault="005D3B0D" w:rsidP="005D3B0D">
      <w:pPr>
        <w:pStyle w:val="List2"/>
        <w:numPr>
          <w:ilvl w:val="0"/>
          <w:numId w:val="1"/>
        </w:numPr>
        <w:pBdr>
          <w:top w:val="single" w:sz="6" w:space="1" w:color="auto"/>
        </w:pBdr>
        <w:rPr>
          <w:rFonts w:ascii="Comic Sans MS" w:hAnsi="Comic Sans MS"/>
          <w:sz w:val="20"/>
          <w:szCs w:val="20"/>
        </w:rPr>
      </w:pPr>
      <w:r w:rsidRPr="00585FCF">
        <w:rPr>
          <w:rFonts w:ascii="Comic Sans MS" w:hAnsi="Comic Sans MS"/>
          <w:color w:val="E36C0A" w:themeColor="accent6" w:themeShade="BF"/>
          <w:sz w:val="20"/>
          <w:szCs w:val="20"/>
        </w:rPr>
        <w:t xml:space="preserve">Section 224 (7) </w:t>
      </w:r>
      <w:r>
        <w:rPr>
          <w:rFonts w:ascii="Comic Sans MS" w:hAnsi="Comic Sans MS"/>
          <w:sz w:val="20"/>
          <w:szCs w:val="20"/>
        </w:rPr>
        <w:t>of the Companies Act 1956 provides that an auditor may be removed from the office before the expiry of his term, by the company only in a general meeting after</w:t>
      </w:r>
      <w:r>
        <w:rPr>
          <w:rFonts w:ascii="Comic Sans MS" w:hAnsi="Comic Sans MS"/>
          <w:b/>
          <w:sz w:val="20"/>
          <w:szCs w:val="20"/>
        </w:rPr>
        <w:t xml:space="preserve"> obtaining the prior approval of the Central Government in that behalf.</w:t>
      </w:r>
      <w:r>
        <w:rPr>
          <w:rFonts w:ascii="Comic Sans MS" w:hAnsi="Comic Sans MS"/>
          <w:sz w:val="20"/>
          <w:szCs w:val="20"/>
        </w:rPr>
        <w:t xml:space="preserve"> An exception to this rule this that no such approval is required for the removal of the FIRST AUDITOR appointed by the board of directors u/s </w:t>
      </w:r>
      <w:r w:rsidRPr="00585FCF">
        <w:rPr>
          <w:rFonts w:ascii="Comic Sans MS" w:hAnsi="Comic Sans MS"/>
          <w:color w:val="E36C0A" w:themeColor="accent6" w:themeShade="BF"/>
          <w:sz w:val="20"/>
          <w:szCs w:val="20"/>
        </w:rPr>
        <w:t xml:space="preserve">224(5) </w:t>
      </w:r>
      <w:r>
        <w:rPr>
          <w:rFonts w:ascii="Comic Sans MS" w:hAnsi="Comic Sans MS"/>
          <w:sz w:val="20"/>
          <w:szCs w:val="20"/>
        </w:rPr>
        <w:t>of the Companies Act 1956.</w:t>
      </w:r>
    </w:p>
    <w:p w:rsidR="005D3B0D" w:rsidRDefault="005D3B0D" w:rsidP="005D3B0D">
      <w:pPr>
        <w:pStyle w:val="List2"/>
        <w:numPr>
          <w:ilvl w:val="0"/>
          <w:numId w:val="1"/>
        </w:numPr>
        <w:pBdr>
          <w:top w:val="single" w:sz="6" w:space="1" w:color="auto"/>
        </w:pBdr>
        <w:rPr>
          <w:rFonts w:ascii="Comic Sans MS" w:hAnsi="Comic Sans MS"/>
          <w:sz w:val="20"/>
          <w:szCs w:val="20"/>
        </w:rPr>
      </w:pPr>
      <w:r>
        <w:rPr>
          <w:rFonts w:ascii="Comic Sans MS" w:hAnsi="Comic Sans MS"/>
          <w:sz w:val="20"/>
          <w:szCs w:val="20"/>
        </w:rPr>
        <w:t xml:space="preserve">There is no concept of full or part audit u/s 227 of the Companies Act 1956. And the remuneration is a matter of agreement between the auditor and the shareholders. </w:t>
      </w:r>
      <w:r w:rsidRPr="00585FCF">
        <w:rPr>
          <w:rFonts w:ascii="Comic Sans MS" w:hAnsi="Comic Sans MS"/>
          <w:color w:val="E36C0A" w:themeColor="accent6" w:themeShade="BF"/>
          <w:sz w:val="20"/>
          <w:szCs w:val="20"/>
        </w:rPr>
        <w:t>Section</w:t>
      </w:r>
      <w:r>
        <w:rPr>
          <w:rFonts w:ascii="Comic Sans MS" w:hAnsi="Comic Sans MS"/>
          <w:sz w:val="20"/>
          <w:szCs w:val="20"/>
        </w:rPr>
        <w:t xml:space="preserve"> </w:t>
      </w:r>
      <w:r w:rsidRPr="00585FCF">
        <w:rPr>
          <w:rFonts w:ascii="Comic Sans MS" w:hAnsi="Comic Sans MS"/>
          <w:color w:val="E36C0A" w:themeColor="accent6" w:themeShade="BF"/>
          <w:sz w:val="20"/>
          <w:szCs w:val="20"/>
        </w:rPr>
        <w:t xml:space="preserve">224(8) </w:t>
      </w:r>
      <w:r>
        <w:rPr>
          <w:rFonts w:ascii="Comic Sans MS" w:hAnsi="Comic Sans MS"/>
          <w:sz w:val="20"/>
          <w:szCs w:val="20"/>
        </w:rPr>
        <w:t>specifies the remuneration of an auditor, shall be fixed by the company in general meeting or in such a as the company in general meeting may determine.</w:t>
      </w:r>
    </w:p>
    <w:p w:rsidR="005D3B0D" w:rsidRDefault="005D3B0D" w:rsidP="005D3B0D">
      <w:pPr>
        <w:pStyle w:val="List2"/>
        <w:numPr>
          <w:ilvl w:val="0"/>
          <w:numId w:val="1"/>
        </w:numPr>
        <w:pBdr>
          <w:top w:val="single" w:sz="6" w:space="1" w:color="auto"/>
        </w:pBdr>
        <w:rPr>
          <w:rFonts w:ascii="Comic Sans MS" w:hAnsi="Comic Sans MS"/>
          <w:sz w:val="20"/>
          <w:szCs w:val="20"/>
        </w:rPr>
      </w:pPr>
      <w:r>
        <w:rPr>
          <w:rFonts w:ascii="Comic Sans MS" w:hAnsi="Comic Sans MS"/>
          <w:sz w:val="20"/>
          <w:szCs w:val="20"/>
        </w:rPr>
        <w:t xml:space="preserve">Section 227 of the Companies Act 1956 grants power to the auditor that every auditor has a right to access, at the time to the books of accounts including all statutory records such as minute books, fixed assets register, </w:t>
      </w:r>
      <w:r w:rsidR="005A25DB">
        <w:rPr>
          <w:rFonts w:ascii="Comic Sans MS" w:hAnsi="Comic Sans MS"/>
          <w:sz w:val="20"/>
          <w:szCs w:val="20"/>
        </w:rPr>
        <w:t>etc.</w:t>
      </w:r>
      <w:r>
        <w:rPr>
          <w:rFonts w:ascii="Comic Sans MS" w:hAnsi="Comic Sans MS"/>
          <w:sz w:val="20"/>
          <w:szCs w:val="20"/>
        </w:rPr>
        <w:t xml:space="preserve"> of the company for conducting the audit.</w:t>
      </w:r>
    </w:p>
    <w:p w:rsidR="005D3B0D" w:rsidRDefault="005D3B0D" w:rsidP="005D3B0D">
      <w:pPr>
        <w:pStyle w:val="List2"/>
        <w:numPr>
          <w:ilvl w:val="0"/>
          <w:numId w:val="1"/>
        </w:numPr>
        <w:pBdr>
          <w:top w:val="single" w:sz="6" w:space="1" w:color="auto"/>
        </w:pBdr>
        <w:rPr>
          <w:rFonts w:ascii="Comic Sans MS" w:hAnsi="Comic Sans MS"/>
          <w:sz w:val="20"/>
          <w:szCs w:val="20"/>
        </w:rPr>
      </w:pPr>
      <w:r w:rsidRPr="00585FCF">
        <w:rPr>
          <w:rFonts w:ascii="Comic Sans MS" w:hAnsi="Comic Sans MS"/>
          <w:color w:val="E36C0A" w:themeColor="accent6" w:themeShade="BF"/>
          <w:sz w:val="20"/>
          <w:szCs w:val="20"/>
        </w:rPr>
        <w:t xml:space="preserve">Section 224(3) </w:t>
      </w:r>
      <w:r>
        <w:rPr>
          <w:rFonts w:ascii="Comic Sans MS" w:hAnsi="Comic Sans MS"/>
          <w:sz w:val="20"/>
          <w:szCs w:val="20"/>
        </w:rPr>
        <w:t>of the Companies Act 1956, empowers the Central Government to fill up a vacancy in case no auditors are appointed or r-appointed at an AGM (it is also opined that that the appointment of an auditor has been made by shareholders, sub- section (3) cannot be invoked. Thus the auditor can only be appointed at general meeting by shareholders). Thus the Board of Director is not authorized to fill up the vacancy in case the existing auditor (s) appointed at the AGM refuse to accept the appointment.</w:t>
      </w:r>
    </w:p>
    <w:p w:rsidR="005D3B0D" w:rsidRDefault="005D3B0D" w:rsidP="005D3B0D">
      <w:pPr>
        <w:pStyle w:val="List2"/>
        <w:numPr>
          <w:ilvl w:val="0"/>
          <w:numId w:val="1"/>
        </w:numPr>
        <w:rPr>
          <w:rFonts w:ascii="Comic Sans MS" w:hAnsi="Comic Sans MS"/>
          <w:sz w:val="20"/>
          <w:szCs w:val="20"/>
        </w:rPr>
      </w:pPr>
      <w:r>
        <w:rPr>
          <w:rFonts w:ascii="Comic Sans MS" w:hAnsi="Comic Sans MS"/>
          <w:sz w:val="20"/>
          <w:szCs w:val="20"/>
        </w:rPr>
        <w:t xml:space="preserve">As per </w:t>
      </w:r>
      <w:r w:rsidRPr="00585FCF">
        <w:rPr>
          <w:rFonts w:ascii="Comic Sans MS" w:hAnsi="Comic Sans MS"/>
          <w:color w:val="E36C0A" w:themeColor="accent6" w:themeShade="BF"/>
          <w:sz w:val="20"/>
          <w:szCs w:val="20"/>
        </w:rPr>
        <w:t xml:space="preserve">section 224(6) </w:t>
      </w:r>
      <w:r>
        <w:rPr>
          <w:rFonts w:ascii="Comic Sans MS" w:hAnsi="Comic Sans MS"/>
          <w:sz w:val="20"/>
          <w:szCs w:val="20"/>
        </w:rPr>
        <w:t>of the Companies Act 1956, casual vacancy can be filled by the Board of Directors, provided that such vacancy has been caused by the resignation of the auditor.</w:t>
      </w:r>
    </w:p>
    <w:p w:rsidR="005D3B0D" w:rsidRDefault="005D3B0D" w:rsidP="005D3B0D">
      <w:pPr>
        <w:pStyle w:val="List2"/>
        <w:numPr>
          <w:ilvl w:val="0"/>
          <w:numId w:val="1"/>
        </w:numPr>
        <w:rPr>
          <w:rFonts w:ascii="Comic Sans MS" w:hAnsi="Comic Sans MS"/>
          <w:sz w:val="20"/>
          <w:szCs w:val="20"/>
        </w:rPr>
      </w:pPr>
      <w:r w:rsidRPr="00585FCF">
        <w:rPr>
          <w:rFonts w:ascii="Comic Sans MS" w:hAnsi="Comic Sans MS"/>
          <w:color w:val="E36C0A" w:themeColor="accent6" w:themeShade="BF"/>
          <w:sz w:val="20"/>
          <w:szCs w:val="20"/>
        </w:rPr>
        <w:t xml:space="preserve">Section 226(3) (e), </w:t>
      </w:r>
      <w:r>
        <w:rPr>
          <w:rFonts w:ascii="Comic Sans MS" w:hAnsi="Comic Sans MS"/>
          <w:sz w:val="20"/>
          <w:szCs w:val="20"/>
        </w:rPr>
        <w:t xml:space="preserve">a person holding any security of the company after a period of 1 year from the date of commencement of the Companies (Amendment ) Act 2000 w.e.f. 13 December 2001 is not qualified for appointment as the auditor if the company. For the purpose of this section, “Security “means an instrument which carries voting rights. A firm would also be disqualified to be appointed as an auditor even when 1 partner is disqualified </w:t>
      </w:r>
      <w:r w:rsidRPr="00585FCF">
        <w:rPr>
          <w:rFonts w:ascii="Comic Sans MS" w:hAnsi="Comic Sans MS"/>
          <w:color w:val="215868" w:themeColor="accent5" w:themeShade="80"/>
          <w:sz w:val="20"/>
          <w:szCs w:val="20"/>
        </w:rPr>
        <w:t>u/s 226(3) (e).</w:t>
      </w:r>
    </w:p>
    <w:p w:rsidR="005D3B0D" w:rsidRDefault="005D3B0D" w:rsidP="005D3B0D">
      <w:pPr>
        <w:pStyle w:val="List2"/>
        <w:numPr>
          <w:ilvl w:val="0"/>
          <w:numId w:val="1"/>
        </w:numPr>
        <w:rPr>
          <w:rFonts w:ascii="Comic Sans MS" w:hAnsi="Comic Sans MS"/>
          <w:sz w:val="20"/>
          <w:szCs w:val="20"/>
        </w:rPr>
      </w:pPr>
      <w:r w:rsidRPr="00585FCF">
        <w:rPr>
          <w:rFonts w:ascii="Comic Sans MS" w:hAnsi="Comic Sans MS"/>
          <w:color w:val="E36C0A" w:themeColor="accent6" w:themeShade="BF"/>
          <w:sz w:val="20"/>
          <w:szCs w:val="20"/>
        </w:rPr>
        <w:t xml:space="preserve">Section 229 </w:t>
      </w:r>
      <w:r>
        <w:rPr>
          <w:rFonts w:ascii="Comic Sans MS" w:hAnsi="Comic Sans MS"/>
          <w:sz w:val="20"/>
          <w:szCs w:val="20"/>
        </w:rPr>
        <w:t>of the Companies Act 1956 requires a person that only a person appointed as the auditor of the company or where a firm is so appointed, a partner in the firm practicing in India, may sign the auditor’s report or sign or authenticate any other document of the company required by law to be signed or authenticated by the auditor.</w:t>
      </w:r>
    </w:p>
    <w:p w:rsidR="005D3B0D" w:rsidRDefault="005D3B0D" w:rsidP="005D3B0D">
      <w:pPr>
        <w:pStyle w:val="List2"/>
        <w:numPr>
          <w:ilvl w:val="0"/>
          <w:numId w:val="1"/>
        </w:numPr>
        <w:rPr>
          <w:rFonts w:ascii="Comic Sans MS" w:hAnsi="Comic Sans MS"/>
          <w:sz w:val="20"/>
          <w:szCs w:val="20"/>
        </w:rPr>
      </w:pPr>
      <w:r w:rsidRPr="00585FCF">
        <w:rPr>
          <w:rFonts w:ascii="Comic Sans MS" w:hAnsi="Comic Sans MS"/>
          <w:color w:val="E36C0A" w:themeColor="accent6" w:themeShade="BF"/>
          <w:sz w:val="20"/>
          <w:szCs w:val="20"/>
        </w:rPr>
        <w:t xml:space="preserve">Section  224 (5) </w:t>
      </w:r>
      <w:r>
        <w:rPr>
          <w:rFonts w:ascii="Comic Sans MS" w:hAnsi="Comic Sans MS"/>
          <w:sz w:val="20"/>
          <w:szCs w:val="20"/>
        </w:rPr>
        <w:t xml:space="preserve">of the Companies Act 1956 lays down that “ the first auditor of a company shall be appointed by the Board of Directors within one month of the date of registration of the company. But in case of a Government company the appointment or reappointment of the auditor is governed by provision of section 619 of the Companies Act 1956 and shall be appointed by the Comptroller and Auditor General of </w:t>
      </w:r>
      <w:smartTag w:uri="urn:schemas-microsoft-com:office:smarttags" w:element="place">
        <w:smartTag w:uri="urn:schemas-microsoft-com:office:smarttags" w:element="country-region">
          <w:r>
            <w:rPr>
              <w:rFonts w:ascii="Comic Sans MS" w:hAnsi="Comic Sans MS"/>
              <w:sz w:val="20"/>
              <w:szCs w:val="20"/>
            </w:rPr>
            <w:t>India</w:t>
          </w:r>
        </w:smartTag>
      </w:smartTag>
      <w:r>
        <w:rPr>
          <w:rFonts w:ascii="Comic Sans MS" w:hAnsi="Comic Sans MS"/>
          <w:sz w:val="20"/>
          <w:szCs w:val="20"/>
        </w:rPr>
        <w:t>.</w:t>
      </w:r>
    </w:p>
    <w:p w:rsidR="005D3B0D" w:rsidRDefault="005D3B0D" w:rsidP="005D3B0D">
      <w:pPr>
        <w:pStyle w:val="List2"/>
        <w:numPr>
          <w:ilvl w:val="0"/>
          <w:numId w:val="1"/>
        </w:numPr>
        <w:rPr>
          <w:rFonts w:ascii="Comic Sans MS" w:hAnsi="Comic Sans MS"/>
          <w:sz w:val="20"/>
          <w:szCs w:val="20"/>
        </w:rPr>
      </w:pPr>
      <w:r w:rsidRPr="00585FCF">
        <w:rPr>
          <w:rFonts w:ascii="Comic Sans MS" w:hAnsi="Comic Sans MS"/>
          <w:color w:val="E36C0A" w:themeColor="accent6" w:themeShade="BF"/>
          <w:sz w:val="20"/>
          <w:szCs w:val="20"/>
        </w:rPr>
        <w:t xml:space="preserve">Section 224(1A) </w:t>
      </w:r>
      <w:r>
        <w:rPr>
          <w:rFonts w:ascii="Comic Sans MS" w:hAnsi="Comic Sans MS"/>
          <w:sz w:val="20"/>
          <w:szCs w:val="20"/>
        </w:rPr>
        <w:t>of the act deals with the duties of an auditors requiring auditor to make an enquiry in respect of specified matters. Since the law requires the auditor to make an enquiry, the institute opined that the auditor is not required to report on the matter specified in sub-section (1A) unless he has any special comments to make on any of the terms referred to therein.</w:t>
      </w:r>
    </w:p>
    <w:p w:rsidR="005D3B0D" w:rsidRDefault="005D3B0D" w:rsidP="005D3B0D">
      <w:pPr>
        <w:pStyle w:val="List2"/>
        <w:numPr>
          <w:ilvl w:val="0"/>
          <w:numId w:val="1"/>
        </w:numPr>
        <w:rPr>
          <w:rFonts w:ascii="Comic Sans MS" w:hAnsi="Comic Sans MS"/>
          <w:sz w:val="20"/>
          <w:szCs w:val="20"/>
        </w:rPr>
      </w:pPr>
      <w:r w:rsidRPr="00585FCF">
        <w:rPr>
          <w:rFonts w:ascii="Comic Sans MS" w:hAnsi="Comic Sans MS"/>
          <w:color w:val="E36C0A" w:themeColor="accent6" w:themeShade="BF"/>
          <w:sz w:val="20"/>
          <w:szCs w:val="20"/>
        </w:rPr>
        <w:t xml:space="preserve">Section 227 </w:t>
      </w:r>
      <w:r>
        <w:rPr>
          <w:rFonts w:ascii="Comic Sans MS" w:hAnsi="Comic Sans MS"/>
          <w:sz w:val="20"/>
          <w:szCs w:val="20"/>
        </w:rPr>
        <w:t xml:space="preserve">of the Companies Act 1956 lays down that the power and duties of the auditor. As per the provision of the law, it is no part of the auditor’s duty to send the copy of his report to member of the company. The auditor’s duty concludes once he forwards his report </w:t>
      </w:r>
      <w:r>
        <w:rPr>
          <w:rFonts w:ascii="Comic Sans MS" w:hAnsi="Comic Sans MS"/>
          <w:sz w:val="20"/>
          <w:szCs w:val="20"/>
        </w:rPr>
        <w:lastRenderedPageBreak/>
        <w:t>to the company. It is the responsibility of the company to send the report to every member of the company.</w:t>
      </w:r>
    </w:p>
    <w:p w:rsidR="005D3B0D" w:rsidRDefault="005D3B0D" w:rsidP="005D3B0D">
      <w:pPr>
        <w:pStyle w:val="List2"/>
        <w:numPr>
          <w:ilvl w:val="0"/>
          <w:numId w:val="1"/>
        </w:numPr>
        <w:rPr>
          <w:rFonts w:ascii="Comic Sans MS" w:hAnsi="Comic Sans MS"/>
          <w:sz w:val="20"/>
          <w:szCs w:val="20"/>
        </w:rPr>
      </w:pPr>
      <w:r w:rsidRPr="00585FCF">
        <w:rPr>
          <w:rFonts w:ascii="Comic Sans MS" w:hAnsi="Comic Sans MS"/>
          <w:color w:val="E36C0A" w:themeColor="accent6" w:themeShade="BF"/>
          <w:sz w:val="20"/>
          <w:szCs w:val="20"/>
        </w:rPr>
        <w:t xml:space="preserve">Section 227(1) (g) </w:t>
      </w:r>
      <w:r>
        <w:rPr>
          <w:rFonts w:ascii="Comic Sans MS" w:hAnsi="Comic Sans MS"/>
          <w:sz w:val="20"/>
          <w:szCs w:val="20"/>
        </w:rPr>
        <w:t xml:space="preserve"> of the Companies Act 1956, the auditor has to ensure that the written representation has been obtained by the board from the each director that one is not hit by </w:t>
      </w:r>
      <w:r w:rsidRPr="00585FCF">
        <w:rPr>
          <w:rFonts w:ascii="Comic Sans MS" w:hAnsi="Comic Sans MS"/>
          <w:color w:val="E36C0A" w:themeColor="accent6" w:themeShade="BF"/>
          <w:sz w:val="20"/>
          <w:szCs w:val="20"/>
        </w:rPr>
        <w:t>section 274 (1) (g).</w:t>
      </w:r>
    </w:p>
    <w:p w:rsidR="005D3B0D" w:rsidRDefault="005D3B0D" w:rsidP="005D3B0D">
      <w:pPr>
        <w:pStyle w:val="List2"/>
        <w:numPr>
          <w:ilvl w:val="0"/>
          <w:numId w:val="1"/>
        </w:numPr>
        <w:rPr>
          <w:rFonts w:ascii="Comic Sans MS" w:hAnsi="Comic Sans MS"/>
          <w:sz w:val="20"/>
          <w:szCs w:val="20"/>
        </w:rPr>
      </w:pPr>
      <w:r>
        <w:rPr>
          <w:rFonts w:ascii="Comic Sans MS" w:hAnsi="Comic Sans MS"/>
          <w:sz w:val="20"/>
          <w:szCs w:val="20"/>
        </w:rPr>
        <w:t xml:space="preserve"> Under the Chartered Accountants Act 1949 only a chartered accountant holding the certificate of practice can engage in public practice. Chartered accountant of any other country can’t be appointed as the auditor of a public company of </w:t>
      </w:r>
      <w:smartTag w:uri="urn:schemas-microsoft-com:office:smarttags" w:element="place">
        <w:smartTag w:uri="urn:schemas-microsoft-com:office:smarttags" w:element="country-region">
          <w:r>
            <w:rPr>
              <w:rFonts w:ascii="Comic Sans MS" w:hAnsi="Comic Sans MS"/>
              <w:sz w:val="20"/>
              <w:szCs w:val="20"/>
            </w:rPr>
            <w:t>India</w:t>
          </w:r>
        </w:smartTag>
      </w:smartTag>
      <w:r>
        <w:rPr>
          <w:rFonts w:ascii="Comic Sans MS" w:hAnsi="Comic Sans MS"/>
          <w:sz w:val="20"/>
          <w:szCs w:val="20"/>
        </w:rPr>
        <w:t xml:space="preserve">. Under Chartered Accountant Act 1949 an auditor of public limited company of </w:t>
      </w:r>
      <w:smartTag w:uri="urn:schemas-microsoft-com:office:smarttags" w:element="place">
        <w:smartTag w:uri="urn:schemas-microsoft-com:office:smarttags" w:element="country-region">
          <w:r>
            <w:rPr>
              <w:rFonts w:ascii="Comic Sans MS" w:hAnsi="Comic Sans MS"/>
              <w:sz w:val="20"/>
              <w:szCs w:val="20"/>
            </w:rPr>
            <w:t>India</w:t>
          </w:r>
        </w:smartTag>
      </w:smartTag>
      <w:r>
        <w:rPr>
          <w:rFonts w:ascii="Comic Sans MS" w:hAnsi="Comic Sans MS"/>
          <w:sz w:val="20"/>
          <w:szCs w:val="20"/>
        </w:rPr>
        <w:t xml:space="preserve"> must hold the certificated of Practice from the Institute of Chartered Accountant of India.</w:t>
      </w:r>
    </w:p>
    <w:p w:rsidR="005D3B0D" w:rsidRDefault="005D3B0D" w:rsidP="005D3B0D">
      <w:pPr>
        <w:pStyle w:val="List2"/>
        <w:numPr>
          <w:ilvl w:val="0"/>
          <w:numId w:val="1"/>
        </w:numPr>
        <w:rPr>
          <w:rFonts w:ascii="Comic Sans MS" w:hAnsi="Comic Sans MS"/>
          <w:sz w:val="20"/>
          <w:szCs w:val="20"/>
        </w:rPr>
      </w:pPr>
      <w:r>
        <w:rPr>
          <w:rFonts w:ascii="Comic Sans MS" w:hAnsi="Comic Sans MS"/>
          <w:sz w:val="20"/>
          <w:szCs w:val="20"/>
        </w:rPr>
        <w:t xml:space="preserve">Companies (Audit Report) Order 2003 applies to all the Companies including a foreign company as defined </w:t>
      </w:r>
      <w:r w:rsidRPr="00585FCF">
        <w:rPr>
          <w:rFonts w:ascii="Comic Sans MS" w:hAnsi="Comic Sans MS"/>
          <w:color w:val="E36C0A" w:themeColor="accent6" w:themeShade="BF"/>
          <w:sz w:val="20"/>
          <w:szCs w:val="20"/>
        </w:rPr>
        <w:t xml:space="preserve">u/s 591 </w:t>
      </w:r>
      <w:r>
        <w:rPr>
          <w:rFonts w:ascii="Comic Sans MS" w:hAnsi="Comic Sans MS"/>
          <w:sz w:val="20"/>
          <w:szCs w:val="20"/>
        </w:rPr>
        <w:t xml:space="preserve">of the Companies Act 1956.the Order specially exempt banking Companies, insurance companies and the companies which has been licensed to operate </w:t>
      </w:r>
      <w:r w:rsidRPr="00585FCF">
        <w:rPr>
          <w:rFonts w:ascii="Comic Sans MS" w:hAnsi="Comic Sans MS"/>
          <w:color w:val="E36C0A" w:themeColor="accent6" w:themeShade="BF"/>
          <w:sz w:val="20"/>
          <w:szCs w:val="20"/>
        </w:rPr>
        <w:t>u/s 25</w:t>
      </w:r>
      <w:r>
        <w:rPr>
          <w:rFonts w:ascii="Comic Sans MS" w:hAnsi="Comic Sans MS"/>
          <w:sz w:val="20"/>
          <w:szCs w:val="20"/>
        </w:rPr>
        <w:t xml:space="preserve"> of the Act. The order also exempts from its application a private company which </w:t>
      </w:r>
      <w:r w:rsidR="00585FCF">
        <w:rPr>
          <w:rFonts w:ascii="Comic Sans MS" w:hAnsi="Comic Sans MS"/>
          <w:sz w:val="20"/>
          <w:szCs w:val="20"/>
        </w:rPr>
        <w:t>fulfills</w:t>
      </w:r>
      <w:r>
        <w:rPr>
          <w:rFonts w:ascii="Comic Sans MS" w:hAnsi="Comic Sans MS"/>
          <w:sz w:val="20"/>
          <w:szCs w:val="20"/>
        </w:rPr>
        <w:t xml:space="preserve"> certain conditions.</w:t>
      </w:r>
    </w:p>
    <w:p w:rsidR="005D3B0D" w:rsidRDefault="005D3B0D" w:rsidP="005D3B0D">
      <w:pPr>
        <w:pStyle w:val="List2"/>
        <w:numPr>
          <w:ilvl w:val="0"/>
          <w:numId w:val="1"/>
        </w:numPr>
        <w:rPr>
          <w:rFonts w:ascii="Comic Sans MS" w:hAnsi="Comic Sans MS"/>
          <w:sz w:val="20"/>
          <w:szCs w:val="20"/>
        </w:rPr>
      </w:pPr>
      <w:r w:rsidRPr="00585FCF">
        <w:rPr>
          <w:rFonts w:ascii="Comic Sans MS" w:hAnsi="Comic Sans MS"/>
          <w:color w:val="E36C0A" w:themeColor="accent6" w:themeShade="BF"/>
          <w:sz w:val="20"/>
          <w:szCs w:val="20"/>
        </w:rPr>
        <w:t xml:space="preserve">Section 209 </w:t>
      </w:r>
      <w:r>
        <w:rPr>
          <w:rFonts w:ascii="Comic Sans MS" w:hAnsi="Comic Sans MS"/>
          <w:sz w:val="20"/>
          <w:szCs w:val="20"/>
        </w:rPr>
        <w:t xml:space="preserve">of the Companies Act 1956 states that  every company shall keep at its registered office proper books of accounts with respect to all sums of money received and spent, all purchase and sell of goods all assets and liabilities of the company and the required cost records. However if the company requires to keep the books of accounts at any place in India as the Board </w:t>
      </w:r>
      <w:proofErr w:type="spellStart"/>
      <w:r>
        <w:rPr>
          <w:rFonts w:ascii="Comic Sans MS" w:hAnsi="Comic Sans MS"/>
          <w:sz w:val="20"/>
          <w:szCs w:val="20"/>
        </w:rPr>
        <w:t>pf</w:t>
      </w:r>
      <w:proofErr w:type="spellEnd"/>
      <w:r>
        <w:rPr>
          <w:rFonts w:ascii="Comic Sans MS" w:hAnsi="Comic Sans MS"/>
          <w:sz w:val="20"/>
          <w:szCs w:val="20"/>
        </w:rPr>
        <w:t xml:space="preserve"> Directors may decide, then within seven days of the decision it should be file with the registrar a notice in From 23 AA in writing giving the full address of the place.</w:t>
      </w:r>
    </w:p>
    <w:p w:rsidR="005D3B0D" w:rsidRDefault="005D3B0D" w:rsidP="005D3B0D">
      <w:pPr>
        <w:pStyle w:val="List2"/>
        <w:numPr>
          <w:ilvl w:val="0"/>
          <w:numId w:val="1"/>
        </w:numPr>
        <w:rPr>
          <w:rFonts w:ascii="Comic Sans MS" w:hAnsi="Comic Sans MS"/>
          <w:sz w:val="20"/>
          <w:szCs w:val="20"/>
        </w:rPr>
      </w:pPr>
      <w:r w:rsidRPr="00585FCF">
        <w:rPr>
          <w:rFonts w:ascii="Comic Sans MS" w:hAnsi="Comic Sans MS"/>
          <w:color w:val="E36C0A" w:themeColor="accent6" w:themeShade="BF"/>
          <w:sz w:val="20"/>
          <w:szCs w:val="20"/>
        </w:rPr>
        <w:t xml:space="preserve">Section 231 </w:t>
      </w:r>
      <w:r>
        <w:rPr>
          <w:rFonts w:ascii="Comic Sans MS" w:hAnsi="Comic Sans MS"/>
          <w:sz w:val="20"/>
          <w:szCs w:val="20"/>
        </w:rPr>
        <w:t>of the Companies Act 1956 confers the right on the auditor to attend the general meeting. The section does not cast any duty on the auditor to attend the annual general meeting. The law only confers right on the auditor to receive notices and also attend the general meeting if he so desires.</w:t>
      </w:r>
    </w:p>
    <w:p w:rsidR="005D3B0D" w:rsidRDefault="005D3B0D" w:rsidP="005D3B0D">
      <w:pPr>
        <w:pStyle w:val="List2"/>
        <w:numPr>
          <w:ilvl w:val="0"/>
          <w:numId w:val="1"/>
        </w:numPr>
        <w:rPr>
          <w:rFonts w:ascii="Comic Sans MS" w:hAnsi="Comic Sans MS"/>
          <w:sz w:val="20"/>
          <w:szCs w:val="20"/>
        </w:rPr>
      </w:pPr>
      <w:r w:rsidRPr="00585FCF">
        <w:rPr>
          <w:rFonts w:ascii="Comic Sans MS" w:hAnsi="Comic Sans MS"/>
          <w:color w:val="E36C0A" w:themeColor="accent6" w:themeShade="BF"/>
          <w:sz w:val="20"/>
          <w:szCs w:val="20"/>
        </w:rPr>
        <w:t xml:space="preserve">Section 233A </w:t>
      </w:r>
      <w:r>
        <w:rPr>
          <w:rFonts w:ascii="Comic Sans MS" w:hAnsi="Comic Sans MS"/>
          <w:sz w:val="20"/>
          <w:szCs w:val="20"/>
        </w:rPr>
        <w:t xml:space="preserve">of the Companies Act 1956, under the circumstances as specified in the section, empowers the Central Government that it may issue direction to the effect that a special audit of the company’s account for the specified period shall be conducted. No matter whether the member of </w:t>
      </w:r>
      <w:smartTag w:uri="urn:schemas-microsoft-com:office:smarttags" w:element="place">
        <w:smartTag w:uri="urn:schemas-microsoft-com:office:smarttags" w:element="City">
          <w:r>
            <w:rPr>
              <w:rFonts w:ascii="Comic Sans MS" w:hAnsi="Comic Sans MS"/>
              <w:sz w:val="20"/>
              <w:szCs w:val="20"/>
            </w:rPr>
            <w:t>ICA</w:t>
          </w:r>
        </w:smartTag>
      </w:smartTag>
      <w:r>
        <w:rPr>
          <w:rFonts w:ascii="Comic Sans MS" w:hAnsi="Comic Sans MS"/>
          <w:sz w:val="20"/>
          <w:szCs w:val="20"/>
        </w:rPr>
        <w:t xml:space="preserve"> has the certificate of practice.</w:t>
      </w:r>
    </w:p>
    <w:p w:rsidR="005D3B0D" w:rsidRDefault="005D3B0D" w:rsidP="005D3B0D">
      <w:pPr>
        <w:pStyle w:val="List2"/>
        <w:numPr>
          <w:ilvl w:val="0"/>
          <w:numId w:val="1"/>
        </w:numPr>
        <w:rPr>
          <w:rFonts w:ascii="Comic Sans MS" w:hAnsi="Comic Sans MS"/>
          <w:sz w:val="20"/>
          <w:szCs w:val="20"/>
        </w:rPr>
      </w:pPr>
      <w:r>
        <w:rPr>
          <w:rFonts w:ascii="Comic Sans MS" w:hAnsi="Comic Sans MS"/>
          <w:sz w:val="20"/>
          <w:szCs w:val="20"/>
        </w:rPr>
        <w:t xml:space="preserve"> </w:t>
      </w:r>
      <w:r w:rsidRPr="00585FCF">
        <w:rPr>
          <w:rFonts w:ascii="Comic Sans MS" w:hAnsi="Comic Sans MS"/>
          <w:color w:val="E36C0A" w:themeColor="accent6" w:themeShade="BF"/>
          <w:sz w:val="20"/>
          <w:szCs w:val="20"/>
        </w:rPr>
        <w:t xml:space="preserve">Section 274(1)(g), </w:t>
      </w:r>
      <w:r>
        <w:rPr>
          <w:rFonts w:ascii="Comic Sans MS" w:hAnsi="Comic Sans MS"/>
          <w:sz w:val="20"/>
          <w:szCs w:val="20"/>
        </w:rPr>
        <w:t xml:space="preserve">if the director is already holding a directorship of a </w:t>
      </w:r>
      <w:r>
        <w:rPr>
          <w:rFonts w:ascii="Comic Sans MS" w:hAnsi="Comic Sans MS"/>
          <w:b/>
          <w:sz w:val="20"/>
          <w:szCs w:val="20"/>
        </w:rPr>
        <w:t>“public company”</w:t>
      </w:r>
      <w:r>
        <w:rPr>
          <w:rFonts w:ascii="Comic Sans MS" w:hAnsi="Comic Sans MS"/>
          <w:sz w:val="20"/>
          <w:szCs w:val="20"/>
        </w:rPr>
        <w:t xml:space="preserve"> which has not filled the annual account and annual returns for the continuous three financial years shall not be eligible to be appointed as the director of any other public company. </w:t>
      </w:r>
    </w:p>
    <w:p w:rsidR="005D3B0D" w:rsidRDefault="005D3B0D" w:rsidP="005D3B0D">
      <w:pPr>
        <w:pStyle w:val="List2"/>
        <w:numPr>
          <w:ilvl w:val="0"/>
          <w:numId w:val="1"/>
        </w:numPr>
        <w:rPr>
          <w:rFonts w:ascii="Comic Sans MS" w:hAnsi="Comic Sans MS"/>
          <w:sz w:val="20"/>
          <w:szCs w:val="20"/>
        </w:rPr>
      </w:pPr>
      <w:r>
        <w:rPr>
          <w:rFonts w:ascii="Comic Sans MS" w:hAnsi="Comic Sans MS"/>
          <w:sz w:val="20"/>
          <w:szCs w:val="20"/>
        </w:rPr>
        <w:t xml:space="preserve">As per </w:t>
      </w:r>
      <w:proofErr w:type="spellStart"/>
      <w:r>
        <w:rPr>
          <w:rFonts w:ascii="Comic Sans MS" w:hAnsi="Comic Sans MS"/>
          <w:sz w:val="20"/>
          <w:szCs w:val="20"/>
        </w:rPr>
        <w:t>para</w:t>
      </w:r>
      <w:proofErr w:type="spellEnd"/>
      <w:r>
        <w:rPr>
          <w:rFonts w:ascii="Comic Sans MS" w:hAnsi="Comic Sans MS"/>
          <w:sz w:val="20"/>
          <w:szCs w:val="20"/>
        </w:rPr>
        <w:t xml:space="preserve"> 4(vii) of CARO 2003, statutory auditor is required to comment on whether the </w:t>
      </w:r>
      <w:proofErr w:type="spellStart"/>
      <w:r>
        <w:rPr>
          <w:rFonts w:ascii="Comic Sans MS" w:hAnsi="Comic Sans MS"/>
          <w:sz w:val="20"/>
          <w:szCs w:val="20"/>
        </w:rPr>
        <w:t>auditee</w:t>
      </w:r>
      <w:proofErr w:type="spellEnd"/>
      <w:r>
        <w:rPr>
          <w:rFonts w:ascii="Comic Sans MS" w:hAnsi="Comic Sans MS"/>
          <w:sz w:val="20"/>
          <w:szCs w:val="20"/>
        </w:rPr>
        <w:t xml:space="preserve"> company has an internal audit system commensurate with its size and nature of its business. The clause has a mandatory application in respect of listed companies. For other company it is applicable if either of the following conditions is satisfied.</w:t>
      </w:r>
    </w:p>
    <w:p w:rsidR="005D3B0D" w:rsidRDefault="005D3B0D" w:rsidP="005D3B0D">
      <w:pPr>
        <w:pStyle w:val="List2"/>
        <w:numPr>
          <w:ilvl w:val="0"/>
          <w:numId w:val="3"/>
        </w:numPr>
        <w:rPr>
          <w:rFonts w:ascii="Comic Sans MS" w:hAnsi="Comic Sans MS"/>
          <w:sz w:val="20"/>
          <w:szCs w:val="20"/>
        </w:rPr>
      </w:pPr>
      <w:r>
        <w:rPr>
          <w:rFonts w:ascii="Comic Sans MS" w:hAnsi="Comic Sans MS"/>
          <w:sz w:val="20"/>
          <w:szCs w:val="20"/>
        </w:rPr>
        <w:t>The company has a paid up capital and reserve exceeding Rs. 50lac at the commencement of the financial year.</w:t>
      </w:r>
    </w:p>
    <w:p w:rsidR="005D3B0D" w:rsidRDefault="005D3B0D" w:rsidP="005D3B0D">
      <w:pPr>
        <w:pStyle w:val="List2"/>
        <w:numPr>
          <w:ilvl w:val="0"/>
          <w:numId w:val="3"/>
        </w:numPr>
        <w:rPr>
          <w:rFonts w:ascii="Comic Sans MS" w:hAnsi="Comic Sans MS"/>
          <w:sz w:val="20"/>
          <w:szCs w:val="20"/>
        </w:rPr>
      </w:pPr>
      <w:r>
        <w:rPr>
          <w:rFonts w:ascii="Comic Sans MS" w:hAnsi="Comic Sans MS"/>
          <w:sz w:val="20"/>
          <w:szCs w:val="20"/>
        </w:rPr>
        <w:t xml:space="preserve">The company has an average annual turnover of Rs. 5cr or more for a period of 3 years </w:t>
      </w:r>
      <w:proofErr w:type="spellStart"/>
      <w:r>
        <w:rPr>
          <w:rFonts w:ascii="Comic Sans MS" w:hAnsi="Comic Sans MS"/>
          <w:sz w:val="20"/>
          <w:szCs w:val="20"/>
        </w:rPr>
        <w:t>proceeding</w:t>
      </w:r>
      <w:proofErr w:type="spellEnd"/>
      <w:r>
        <w:rPr>
          <w:rFonts w:ascii="Comic Sans MS" w:hAnsi="Comic Sans MS"/>
          <w:sz w:val="20"/>
          <w:szCs w:val="20"/>
        </w:rPr>
        <w:t xml:space="preserve"> the current financial year.</w:t>
      </w:r>
    </w:p>
    <w:p w:rsidR="00C40B54" w:rsidRDefault="00C40B54"/>
    <w:sectPr w:rsidR="00C40B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ell Gothic Std Black">
    <w:panose1 w:val="00000000000000000000"/>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BookmanITC Lt BT">
    <w:altName w:val="Bookman ITC Light"/>
    <w:panose1 w:val="00000000000000000000"/>
    <w:charset w:val="00"/>
    <w:family w:val="swiss"/>
    <w:notTrueType/>
    <w:pitch w:val="default"/>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Rupee Foradian">
    <w:panose1 w:val="020B0603030804020204"/>
    <w:charset w:val="00"/>
    <w:family w:val="swiss"/>
    <w:pitch w:val="variable"/>
    <w:sig w:usb0="800000AF" w:usb1="1000204A" w:usb2="00000000" w:usb3="00000000" w:csb0="00000001" w:csb1="00000000"/>
  </w:font>
  <w:font w:name="Adobe Caslon Pro Bold">
    <w:panose1 w:val="00000000000000000000"/>
    <w:charset w:val="00"/>
    <w:family w:val="roman"/>
    <w:notTrueType/>
    <w:pitch w:val="variable"/>
    <w:sig w:usb0="800000AF" w:usb1="5000205B"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D1501"/>
    <w:multiLevelType w:val="hybridMultilevel"/>
    <w:tmpl w:val="8A6CE84C"/>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278C4ED5"/>
    <w:multiLevelType w:val="hybridMultilevel"/>
    <w:tmpl w:val="02A0045A"/>
    <w:lvl w:ilvl="0" w:tplc="37FABAF2">
      <w:start w:val="1"/>
      <w:numFmt w:val="decimal"/>
      <w:lvlText w:val="%1."/>
      <w:lvlJc w:val="left"/>
      <w:pPr>
        <w:tabs>
          <w:tab w:val="num" w:pos="720"/>
        </w:tabs>
        <w:ind w:left="720" w:hanging="360"/>
      </w:pPr>
      <w:rPr>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3B6E2AF1"/>
    <w:multiLevelType w:val="hybridMultilevel"/>
    <w:tmpl w:val="7E6A0D40"/>
    <w:lvl w:ilvl="0" w:tplc="1A34B516">
      <w:start w:val="1"/>
      <w:numFmt w:val="lowerRoman"/>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699A7C1B"/>
    <w:multiLevelType w:val="hybridMultilevel"/>
    <w:tmpl w:val="60340DA2"/>
    <w:lvl w:ilvl="0" w:tplc="774E778A">
      <w:numFmt w:val="bullet"/>
      <w:lvlText w:val="–"/>
      <w:lvlJc w:val="left"/>
      <w:pPr>
        <w:ind w:left="6120" w:hanging="360"/>
      </w:pPr>
      <w:rPr>
        <w:rFonts w:ascii="Bell Gothic Std Black" w:eastAsia="Times New Roman" w:hAnsi="Bell Gothic Std Black" w:cs="Times New Roman" w:hint="default"/>
        <w:b/>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B0D"/>
    <w:rsid w:val="00585FCF"/>
    <w:rsid w:val="005A25DB"/>
    <w:rsid w:val="005D3B0D"/>
    <w:rsid w:val="00715BF8"/>
    <w:rsid w:val="00A44F0D"/>
    <w:rsid w:val="00B029BC"/>
    <w:rsid w:val="00B81440"/>
    <w:rsid w:val="00C40B5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Lis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B0D"/>
    <w:pPr>
      <w:spacing w:after="0" w:line="240" w:lineRule="auto"/>
    </w:pPr>
    <w:rPr>
      <w:rFonts w:ascii="Times New Roman" w:eastAsia="Times New Roman" w:hAnsi="Times New Roman" w:cs="Times New Roman"/>
      <w:color w:val="000000"/>
      <w:sz w:val="24"/>
      <w:szCs w:val="24"/>
    </w:rPr>
  </w:style>
  <w:style w:type="paragraph" w:styleId="Heading1">
    <w:name w:val="heading 1"/>
    <w:basedOn w:val="Normal"/>
    <w:next w:val="Normal"/>
    <w:link w:val="Heading1Char"/>
    <w:qFormat/>
    <w:rsid w:val="005D3B0D"/>
    <w:pPr>
      <w:keepNext/>
      <w:spacing w:before="240" w:after="60"/>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3B0D"/>
    <w:rPr>
      <w:rFonts w:ascii="Times New Roman" w:eastAsia="Times New Roman" w:hAnsi="Times New Roman" w:cs="Times New Roman"/>
      <w:b/>
      <w:bCs/>
      <w:color w:val="000000"/>
      <w:kern w:val="32"/>
      <w:sz w:val="32"/>
      <w:szCs w:val="32"/>
    </w:rPr>
  </w:style>
  <w:style w:type="paragraph" w:styleId="List2">
    <w:name w:val="List 2"/>
    <w:basedOn w:val="Normal"/>
    <w:semiHidden/>
    <w:unhideWhenUsed/>
    <w:rsid w:val="005D3B0D"/>
    <w:pPr>
      <w:ind w:left="720" w:hanging="360"/>
    </w:pPr>
  </w:style>
  <w:style w:type="paragraph" w:styleId="List3">
    <w:name w:val="List 3"/>
    <w:basedOn w:val="Normal"/>
    <w:semiHidden/>
    <w:unhideWhenUsed/>
    <w:rsid w:val="005D3B0D"/>
    <w:pPr>
      <w:ind w:left="1080" w:hanging="360"/>
    </w:pPr>
  </w:style>
  <w:style w:type="paragraph" w:customStyle="1" w:styleId="Default">
    <w:name w:val="Default"/>
    <w:rsid w:val="00B81440"/>
    <w:pPr>
      <w:autoSpaceDE w:val="0"/>
      <w:autoSpaceDN w:val="0"/>
      <w:adjustRightInd w:val="0"/>
      <w:spacing w:after="0" w:line="240" w:lineRule="auto"/>
    </w:pPr>
    <w:rPr>
      <w:rFonts w:ascii="BookmanITC Lt BT" w:hAnsi="BookmanITC Lt BT" w:cs="BookmanITC Lt BT"/>
      <w:color w:val="000000"/>
      <w:sz w:val="24"/>
      <w:szCs w:val="24"/>
    </w:rPr>
  </w:style>
  <w:style w:type="paragraph" w:styleId="ListParagraph">
    <w:name w:val="List Paragraph"/>
    <w:basedOn w:val="Normal"/>
    <w:uiPriority w:val="34"/>
    <w:qFormat/>
    <w:rsid w:val="00B814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Lis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B0D"/>
    <w:pPr>
      <w:spacing w:after="0" w:line="240" w:lineRule="auto"/>
    </w:pPr>
    <w:rPr>
      <w:rFonts w:ascii="Times New Roman" w:eastAsia="Times New Roman" w:hAnsi="Times New Roman" w:cs="Times New Roman"/>
      <w:color w:val="000000"/>
      <w:sz w:val="24"/>
      <w:szCs w:val="24"/>
    </w:rPr>
  </w:style>
  <w:style w:type="paragraph" w:styleId="Heading1">
    <w:name w:val="heading 1"/>
    <w:basedOn w:val="Normal"/>
    <w:next w:val="Normal"/>
    <w:link w:val="Heading1Char"/>
    <w:qFormat/>
    <w:rsid w:val="005D3B0D"/>
    <w:pPr>
      <w:keepNext/>
      <w:spacing w:before="240" w:after="60"/>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3B0D"/>
    <w:rPr>
      <w:rFonts w:ascii="Times New Roman" w:eastAsia="Times New Roman" w:hAnsi="Times New Roman" w:cs="Times New Roman"/>
      <w:b/>
      <w:bCs/>
      <w:color w:val="000000"/>
      <w:kern w:val="32"/>
      <w:sz w:val="32"/>
      <w:szCs w:val="32"/>
    </w:rPr>
  </w:style>
  <w:style w:type="paragraph" w:styleId="List2">
    <w:name w:val="List 2"/>
    <w:basedOn w:val="Normal"/>
    <w:semiHidden/>
    <w:unhideWhenUsed/>
    <w:rsid w:val="005D3B0D"/>
    <w:pPr>
      <w:ind w:left="720" w:hanging="360"/>
    </w:pPr>
  </w:style>
  <w:style w:type="paragraph" w:styleId="List3">
    <w:name w:val="List 3"/>
    <w:basedOn w:val="Normal"/>
    <w:semiHidden/>
    <w:unhideWhenUsed/>
    <w:rsid w:val="005D3B0D"/>
    <w:pPr>
      <w:ind w:left="1080" w:hanging="360"/>
    </w:pPr>
  </w:style>
  <w:style w:type="paragraph" w:customStyle="1" w:styleId="Default">
    <w:name w:val="Default"/>
    <w:rsid w:val="00B81440"/>
    <w:pPr>
      <w:autoSpaceDE w:val="0"/>
      <w:autoSpaceDN w:val="0"/>
      <w:adjustRightInd w:val="0"/>
      <w:spacing w:after="0" w:line="240" w:lineRule="auto"/>
    </w:pPr>
    <w:rPr>
      <w:rFonts w:ascii="BookmanITC Lt BT" w:hAnsi="BookmanITC Lt BT" w:cs="BookmanITC Lt BT"/>
      <w:color w:val="000000"/>
      <w:sz w:val="24"/>
      <w:szCs w:val="24"/>
    </w:rPr>
  </w:style>
  <w:style w:type="paragraph" w:styleId="ListParagraph">
    <w:name w:val="List Paragraph"/>
    <w:basedOn w:val="Normal"/>
    <w:uiPriority w:val="34"/>
    <w:qFormat/>
    <w:rsid w:val="00B814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68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1561</Words>
  <Characters>8902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dc:creator>
  <cp:lastModifiedBy>Kori</cp:lastModifiedBy>
  <cp:revision>6</cp:revision>
  <dcterms:created xsi:type="dcterms:W3CDTF">2011-11-13T18:57:00Z</dcterms:created>
  <dcterms:modified xsi:type="dcterms:W3CDTF">2011-11-25T08:06:00Z</dcterms:modified>
</cp:coreProperties>
</file>