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57298" w:rsidRDefault="00A57298">
      <w:pPr>
        <w:rPr>
          <w:b/>
        </w:rPr>
      </w:pPr>
      <w:r w:rsidRPr="00D768C6">
        <w:rPr>
          <w:b/>
          <w:sz w:val="28"/>
        </w:rPr>
        <w:t xml:space="preserve">Bond valuation </w:t>
      </w:r>
    </w:p>
    <w:p w:rsidR="00A57298" w:rsidRDefault="00A57298">
      <w:r>
        <w:t>Some simplified formulae</w:t>
      </w:r>
    </w:p>
    <w:p w:rsidR="00A57298" w:rsidRDefault="00A57298">
      <w:r w:rsidRPr="00D768C6">
        <w:rPr>
          <w:b/>
        </w:rPr>
        <w:t>1. Value of redeemable bond:</w:t>
      </w:r>
      <w:r>
        <w:t xml:space="preserve"> Those bonds which are redeemable after the specified time as indicated in indenture are called redeemable bonds.</w:t>
      </w:r>
    </w:p>
    <w:p w:rsidR="00A57298" w:rsidRDefault="00A57298">
      <w:r>
        <w:t>Value of redeemable bond is the sum of present value of all the future interest earnings and the present value of maturity payment.</w:t>
      </w:r>
    </w:p>
    <w:p w:rsidR="00A57298" w:rsidRDefault="00A57298">
      <w:r>
        <w:t>Interest payments are fixed normally and the maturity payment may be at par, premium or discount.</w:t>
      </w:r>
    </w:p>
    <w:p w:rsidR="00A57298" w:rsidRDefault="00A57298">
      <w:pPr>
        <w:rPr>
          <w:b/>
        </w:rPr>
      </w:pPr>
      <w:r>
        <w:t xml:space="preserve">Present value of </w:t>
      </w:r>
      <w:r w:rsidRPr="00D768C6">
        <w:rPr>
          <w:b/>
          <w:i/>
        </w:rPr>
        <w:t>redeemable bond</w:t>
      </w:r>
      <w:r>
        <w:t xml:space="preserve">= </w:t>
      </w:r>
      <w:r w:rsidRPr="00D768C6">
        <w:rPr>
          <w:b/>
          <w:sz w:val="26"/>
        </w:rPr>
        <w:t>I*PVIFA k</w:t>
      </w:r>
      <w:r w:rsidR="00D768C6">
        <w:rPr>
          <w:b/>
          <w:sz w:val="26"/>
        </w:rPr>
        <w:t>/m</w:t>
      </w:r>
      <w:r w:rsidRPr="00D768C6">
        <w:rPr>
          <w:b/>
          <w:sz w:val="26"/>
        </w:rPr>
        <w:t>%</w:t>
      </w:r>
      <w:r w:rsidR="00D768C6" w:rsidRPr="00D768C6">
        <w:rPr>
          <w:b/>
          <w:sz w:val="26"/>
        </w:rPr>
        <w:t>, n</w:t>
      </w:r>
      <w:r w:rsidR="00D768C6">
        <w:rPr>
          <w:b/>
          <w:sz w:val="26"/>
        </w:rPr>
        <w:t xml:space="preserve">*m </w:t>
      </w:r>
      <w:r w:rsidR="00D768C6" w:rsidRPr="00D768C6">
        <w:rPr>
          <w:b/>
          <w:sz w:val="26"/>
        </w:rPr>
        <w:t>yrs</w:t>
      </w:r>
      <w:r w:rsidRPr="00D768C6">
        <w:rPr>
          <w:b/>
          <w:sz w:val="26"/>
        </w:rPr>
        <w:t xml:space="preserve"> + RV* PVIF k</w:t>
      </w:r>
      <w:r w:rsidR="00D768C6">
        <w:rPr>
          <w:b/>
          <w:sz w:val="26"/>
        </w:rPr>
        <w:t>/m</w:t>
      </w:r>
      <w:r w:rsidRPr="00D768C6">
        <w:rPr>
          <w:b/>
          <w:sz w:val="26"/>
        </w:rPr>
        <w:t>%</w:t>
      </w:r>
      <w:r w:rsidR="00D768C6" w:rsidRPr="00D768C6">
        <w:rPr>
          <w:b/>
          <w:sz w:val="26"/>
        </w:rPr>
        <w:t>, n</w:t>
      </w:r>
      <w:r w:rsidR="00D768C6">
        <w:rPr>
          <w:b/>
          <w:sz w:val="26"/>
        </w:rPr>
        <w:t xml:space="preserve">*m </w:t>
      </w:r>
      <w:r w:rsidRPr="00D768C6">
        <w:rPr>
          <w:b/>
          <w:sz w:val="26"/>
        </w:rPr>
        <w:t>yrs</w:t>
      </w:r>
    </w:p>
    <w:p w:rsidR="00A57298" w:rsidRDefault="00A57298">
      <w:pPr>
        <w:rPr>
          <w:b/>
        </w:rPr>
      </w:pPr>
      <w:r>
        <w:rPr>
          <w:b/>
        </w:rPr>
        <w:t>Where</w:t>
      </w:r>
    </w:p>
    <w:p w:rsidR="00A57298" w:rsidRDefault="00A57298">
      <w:pPr>
        <w:rPr>
          <w:b/>
        </w:rPr>
      </w:pPr>
      <w:r>
        <w:rPr>
          <w:b/>
        </w:rPr>
        <w:t>I= annual interest payments</w:t>
      </w:r>
    </w:p>
    <w:p w:rsidR="00AB5AEB" w:rsidRDefault="00AB5AEB">
      <w:pPr>
        <w:rPr>
          <w:b/>
        </w:rPr>
      </w:pPr>
      <w:r>
        <w:rPr>
          <w:b/>
        </w:rPr>
        <w:t>N=maturity period of bond</w:t>
      </w:r>
    </w:p>
    <w:p w:rsidR="00A57298" w:rsidRDefault="00A57298">
      <w:pPr>
        <w:rPr>
          <w:b/>
        </w:rPr>
      </w:pPr>
      <w:r>
        <w:rPr>
          <w:b/>
        </w:rPr>
        <w:t>RV= redeemable value of bond</w:t>
      </w:r>
    </w:p>
    <w:p w:rsidR="00A57298" w:rsidRDefault="00A57298">
      <w:pPr>
        <w:rPr>
          <w:b/>
        </w:rPr>
      </w:pPr>
      <w:r>
        <w:rPr>
          <w:b/>
        </w:rPr>
        <w:t>K= required rate of return on bond/cost of debt</w:t>
      </w:r>
    </w:p>
    <w:p w:rsidR="00A57298" w:rsidRDefault="00A57298">
      <w:pPr>
        <w:rPr>
          <w:b/>
        </w:rPr>
      </w:pPr>
      <w:r>
        <w:rPr>
          <w:b/>
        </w:rPr>
        <w:t xml:space="preserve">PVIFA= present value interest factor of annuity </w:t>
      </w:r>
      <w:r w:rsidRPr="00D768C6">
        <w:rPr>
          <w:b/>
          <w:sz w:val="26"/>
        </w:rPr>
        <w:t>[1-1/ (1+k</w:t>
      </w:r>
      <w:r w:rsidR="00D768C6">
        <w:rPr>
          <w:b/>
          <w:sz w:val="26"/>
        </w:rPr>
        <w:t>/m</w:t>
      </w:r>
      <w:r w:rsidRPr="00D768C6">
        <w:rPr>
          <w:b/>
          <w:sz w:val="26"/>
        </w:rPr>
        <w:t>)</w:t>
      </w:r>
      <w:r w:rsidRPr="00D768C6">
        <w:rPr>
          <w:b/>
          <w:sz w:val="26"/>
          <w:vertAlign w:val="superscript"/>
        </w:rPr>
        <w:t xml:space="preserve"> n</w:t>
      </w:r>
      <w:r w:rsidR="00D768C6">
        <w:rPr>
          <w:b/>
          <w:sz w:val="26"/>
          <w:vertAlign w:val="superscript"/>
        </w:rPr>
        <w:t>*m</w:t>
      </w:r>
      <w:r w:rsidRPr="00D768C6">
        <w:rPr>
          <w:b/>
          <w:sz w:val="26"/>
        </w:rPr>
        <w:t>]/</w:t>
      </w:r>
      <w:r w:rsidR="00D768C6">
        <w:rPr>
          <w:b/>
          <w:sz w:val="26"/>
        </w:rPr>
        <w:t>(</w:t>
      </w:r>
      <w:r w:rsidRPr="00D768C6">
        <w:rPr>
          <w:b/>
          <w:sz w:val="26"/>
        </w:rPr>
        <w:t>k</w:t>
      </w:r>
      <w:r w:rsidR="00D768C6">
        <w:rPr>
          <w:b/>
          <w:sz w:val="26"/>
        </w:rPr>
        <w:t>/2)</w:t>
      </w:r>
    </w:p>
    <w:p w:rsidR="00A57298" w:rsidRDefault="00A57298">
      <w:pPr>
        <w:rPr>
          <w:b/>
        </w:rPr>
      </w:pPr>
      <w:r>
        <w:rPr>
          <w:b/>
        </w:rPr>
        <w:t xml:space="preserve">PVIF= present value interest factor </w:t>
      </w:r>
      <w:r w:rsidRPr="00D768C6">
        <w:rPr>
          <w:b/>
          <w:sz w:val="26"/>
        </w:rPr>
        <w:t>[1</w:t>
      </w:r>
      <w:r w:rsidR="00D768C6" w:rsidRPr="00D768C6">
        <w:rPr>
          <w:b/>
          <w:sz w:val="26"/>
        </w:rPr>
        <w:t>/ (</w:t>
      </w:r>
      <w:r w:rsidRPr="00D768C6">
        <w:rPr>
          <w:b/>
          <w:sz w:val="26"/>
        </w:rPr>
        <w:t>1+k</w:t>
      </w:r>
      <w:r w:rsidR="00D768C6">
        <w:rPr>
          <w:b/>
          <w:sz w:val="26"/>
        </w:rPr>
        <w:t>/m</w:t>
      </w:r>
      <w:r w:rsidR="00D768C6" w:rsidRPr="00D768C6">
        <w:rPr>
          <w:b/>
          <w:sz w:val="26"/>
        </w:rPr>
        <w:t>)</w:t>
      </w:r>
      <w:r w:rsidR="00D768C6" w:rsidRPr="00D768C6">
        <w:rPr>
          <w:b/>
          <w:sz w:val="26"/>
          <w:vertAlign w:val="superscript"/>
        </w:rPr>
        <w:t xml:space="preserve"> n</w:t>
      </w:r>
      <w:r w:rsidR="00D768C6">
        <w:rPr>
          <w:b/>
          <w:sz w:val="26"/>
          <w:vertAlign w:val="superscript"/>
        </w:rPr>
        <w:t>*m</w:t>
      </w:r>
      <w:r w:rsidRPr="00D768C6">
        <w:rPr>
          <w:b/>
          <w:sz w:val="26"/>
        </w:rPr>
        <w:t>]</w:t>
      </w:r>
    </w:p>
    <w:p w:rsidR="00D768C6" w:rsidRDefault="00D768C6">
      <w:pPr>
        <w:rPr>
          <w:b/>
        </w:rPr>
      </w:pPr>
      <w:r>
        <w:rPr>
          <w:b/>
        </w:rPr>
        <w:t>And</w:t>
      </w:r>
    </w:p>
    <w:p w:rsidR="00D768C6" w:rsidRDefault="00D768C6">
      <w:pPr>
        <w:rPr>
          <w:b/>
        </w:rPr>
      </w:pPr>
      <w:r>
        <w:rPr>
          <w:b/>
        </w:rPr>
        <w:t>M=number of compounding periods in a year</w:t>
      </w:r>
    </w:p>
    <w:p w:rsidR="00A57298" w:rsidRDefault="00A57298">
      <w:pPr>
        <w:rPr>
          <w:b/>
        </w:rPr>
      </w:pPr>
      <w:r>
        <w:rPr>
          <w:b/>
        </w:rPr>
        <w:t>i.e.</w:t>
      </w:r>
    </w:p>
    <w:p w:rsidR="00A57298" w:rsidRDefault="00A57298">
      <w:pPr>
        <w:rPr>
          <w:b/>
          <w:sz w:val="28"/>
        </w:rPr>
      </w:pPr>
      <w:r>
        <w:rPr>
          <w:b/>
        </w:rPr>
        <w:t>Present value of redeemable bond=</w:t>
      </w:r>
      <w:r w:rsidRPr="00D768C6">
        <w:rPr>
          <w:b/>
          <w:sz w:val="28"/>
        </w:rPr>
        <w:t xml:space="preserve"> </w:t>
      </w:r>
      <w:r w:rsidR="00D768C6">
        <w:rPr>
          <w:b/>
          <w:sz w:val="28"/>
        </w:rPr>
        <w:t>I*</w:t>
      </w:r>
      <w:r w:rsidR="00D768C6" w:rsidRPr="00D768C6">
        <w:rPr>
          <w:b/>
          <w:sz w:val="26"/>
        </w:rPr>
        <w:t>[1-1/ (1+k</w:t>
      </w:r>
      <w:r w:rsidR="00D768C6">
        <w:rPr>
          <w:b/>
          <w:sz w:val="26"/>
        </w:rPr>
        <w:t>/m</w:t>
      </w:r>
      <w:r w:rsidR="00D768C6" w:rsidRPr="00D768C6">
        <w:rPr>
          <w:b/>
          <w:sz w:val="26"/>
        </w:rPr>
        <w:t>)</w:t>
      </w:r>
      <w:r w:rsidR="00D768C6" w:rsidRPr="00D768C6">
        <w:rPr>
          <w:b/>
          <w:sz w:val="26"/>
          <w:vertAlign w:val="superscript"/>
        </w:rPr>
        <w:t xml:space="preserve"> n</w:t>
      </w:r>
      <w:r w:rsidR="00D768C6">
        <w:rPr>
          <w:b/>
          <w:sz w:val="26"/>
          <w:vertAlign w:val="superscript"/>
        </w:rPr>
        <w:t>*m</w:t>
      </w:r>
      <w:r w:rsidR="00D768C6" w:rsidRPr="00D768C6">
        <w:rPr>
          <w:b/>
          <w:sz w:val="26"/>
        </w:rPr>
        <w:t>]/</w:t>
      </w:r>
      <w:r w:rsidR="00D768C6">
        <w:rPr>
          <w:b/>
          <w:sz w:val="26"/>
        </w:rPr>
        <w:t>(</w:t>
      </w:r>
      <w:r w:rsidR="00D768C6" w:rsidRPr="00D768C6">
        <w:rPr>
          <w:b/>
          <w:sz w:val="26"/>
        </w:rPr>
        <w:t>k</w:t>
      </w:r>
      <w:r w:rsidR="00D768C6">
        <w:rPr>
          <w:b/>
          <w:sz w:val="26"/>
        </w:rPr>
        <w:t>/2)+ RV*</w:t>
      </w:r>
      <w:r w:rsidR="00D768C6">
        <w:rPr>
          <w:b/>
        </w:rPr>
        <w:t xml:space="preserve"> </w:t>
      </w:r>
      <w:r w:rsidR="00D768C6" w:rsidRPr="00D768C6">
        <w:rPr>
          <w:b/>
          <w:sz w:val="26"/>
        </w:rPr>
        <w:t>[1/ (1+k</w:t>
      </w:r>
      <w:r w:rsidR="00D768C6">
        <w:rPr>
          <w:b/>
          <w:sz w:val="26"/>
        </w:rPr>
        <w:t>/m</w:t>
      </w:r>
      <w:r w:rsidR="00D768C6" w:rsidRPr="00D768C6">
        <w:rPr>
          <w:b/>
          <w:sz w:val="26"/>
        </w:rPr>
        <w:t>)</w:t>
      </w:r>
      <w:r w:rsidR="00D768C6" w:rsidRPr="00D768C6">
        <w:rPr>
          <w:b/>
          <w:sz w:val="26"/>
          <w:vertAlign w:val="superscript"/>
        </w:rPr>
        <w:t xml:space="preserve"> n</w:t>
      </w:r>
      <w:r w:rsidR="00D768C6">
        <w:rPr>
          <w:b/>
          <w:sz w:val="26"/>
          <w:vertAlign w:val="superscript"/>
        </w:rPr>
        <w:t>*m</w:t>
      </w:r>
      <w:r w:rsidR="00D768C6" w:rsidRPr="00D768C6">
        <w:rPr>
          <w:b/>
          <w:sz w:val="26"/>
        </w:rPr>
        <w:t>]</w:t>
      </w:r>
    </w:p>
    <w:p w:rsidR="00D768C6" w:rsidRPr="00AB5AEB" w:rsidRDefault="00D768C6">
      <w:pPr>
        <w:rPr>
          <w:b/>
          <w:i/>
          <w:sz w:val="28"/>
        </w:rPr>
      </w:pPr>
      <w:r w:rsidRPr="00AB5AEB">
        <w:rPr>
          <w:b/>
          <w:i/>
          <w:sz w:val="28"/>
        </w:rPr>
        <w:t>Note:</w:t>
      </w:r>
    </w:p>
    <w:p w:rsidR="00D768C6" w:rsidRPr="00AB5AEB" w:rsidRDefault="00D768C6">
      <w:pPr>
        <w:rPr>
          <w:b/>
          <w:i/>
          <w:sz w:val="28"/>
        </w:rPr>
      </w:pPr>
      <w:r w:rsidRPr="00AB5AEB">
        <w:rPr>
          <w:b/>
          <w:i/>
          <w:sz w:val="28"/>
        </w:rPr>
        <w:t>Number of compounding period in a year is illustrated as follows:</w:t>
      </w:r>
    </w:p>
    <w:p w:rsidR="00D768C6" w:rsidRPr="00AB5AEB" w:rsidRDefault="00D768C6">
      <w:pPr>
        <w:rPr>
          <w:i/>
          <w:sz w:val="24"/>
        </w:rPr>
      </w:pPr>
      <w:r w:rsidRPr="00AB5AEB">
        <w:rPr>
          <w:i/>
          <w:sz w:val="24"/>
        </w:rPr>
        <w:t>If interest are semiannually compounded, m=2</w:t>
      </w:r>
    </w:p>
    <w:p w:rsidR="00D768C6" w:rsidRPr="00AB5AEB" w:rsidRDefault="00D768C6">
      <w:pPr>
        <w:rPr>
          <w:i/>
          <w:sz w:val="24"/>
        </w:rPr>
      </w:pPr>
      <w:r w:rsidRPr="00AB5AEB">
        <w:rPr>
          <w:i/>
          <w:sz w:val="24"/>
        </w:rPr>
        <w:t>If interest are quarterly compounded, m=4</w:t>
      </w:r>
    </w:p>
    <w:p w:rsidR="00D768C6" w:rsidRPr="00AB5AEB" w:rsidRDefault="00D768C6">
      <w:pPr>
        <w:rPr>
          <w:i/>
          <w:sz w:val="24"/>
        </w:rPr>
      </w:pPr>
      <w:r w:rsidRPr="00AB5AEB">
        <w:rPr>
          <w:i/>
          <w:sz w:val="24"/>
        </w:rPr>
        <w:t>If interest are monthly compounded, m=12</w:t>
      </w:r>
    </w:p>
    <w:p w:rsidR="00D768C6" w:rsidRPr="00AB5AEB" w:rsidRDefault="00D768C6">
      <w:pPr>
        <w:rPr>
          <w:i/>
          <w:sz w:val="24"/>
        </w:rPr>
      </w:pPr>
      <w:r w:rsidRPr="00AB5AEB">
        <w:rPr>
          <w:i/>
          <w:sz w:val="24"/>
        </w:rPr>
        <w:t>And so on…..</w:t>
      </w:r>
    </w:p>
    <w:p w:rsidR="00AB5AEB" w:rsidRPr="00AB5AEB" w:rsidRDefault="00AB5AEB">
      <w:pPr>
        <w:rPr>
          <w:i/>
          <w:sz w:val="24"/>
        </w:rPr>
      </w:pPr>
      <w:r w:rsidRPr="00AB5AEB">
        <w:rPr>
          <w:i/>
          <w:sz w:val="24"/>
        </w:rPr>
        <w:lastRenderedPageBreak/>
        <w:t>When the redeemable value is not provided always assume that bond is redeemable at par</w:t>
      </w:r>
    </w:p>
    <w:p w:rsidR="00D768C6" w:rsidRDefault="00D768C6">
      <w:pPr>
        <w:rPr>
          <w:sz w:val="24"/>
        </w:rPr>
      </w:pPr>
      <w:r w:rsidRPr="00D768C6">
        <w:rPr>
          <w:b/>
          <w:sz w:val="24"/>
        </w:rPr>
        <w:t>2. Value of irredeemable bonds:</w:t>
      </w:r>
      <w:r>
        <w:rPr>
          <w:sz w:val="24"/>
        </w:rPr>
        <w:t xml:space="preserve"> The bond in which the principal amount paid is not refundable is called the irredeemable bond. The present value of the all the future interest receivable is the value of this type of bond.</w:t>
      </w:r>
      <w:r w:rsidR="00AB5AEB">
        <w:rPr>
          <w:sz w:val="24"/>
        </w:rPr>
        <w:t xml:space="preserve"> They are also called perpetual bonds</w:t>
      </w:r>
    </w:p>
    <w:p w:rsidR="00D768C6" w:rsidRDefault="00D768C6">
      <w:pPr>
        <w:rPr>
          <w:b/>
          <w:sz w:val="24"/>
        </w:rPr>
      </w:pPr>
      <w:r>
        <w:rPr>
          <w:sz w:val="24"/>
        </w:rPr>
        <w:t>Present value of</w:t>
      </w:r>
      <w:r w:rsidRPr="00AB5AEB">
        <w:rPr>
          <w:sz w:val="28"/>
        </w:rPr>
        <w:t xml:space="preserve"> </w:t>
      </w:r>
      <w:r w:rsidRPr="00AB5AEB">
        <w:rPr>
          <w:b/>
          <w:sz w:val="28"/>
        </w:rPr>
        <w:t>irredeemable bond= I/k</w:t>
      </w:r>
    </w:p>
    <w:p w:rsidR="00AB5AEB" w:rsidRDefault="00AB5AEB">
      <w:pPr>
        <w:rPr>
          <w:b/>
          <w:sz w:val="24"/>
        </w:rPr>
      </w:pPr>
      <w:r>
        <w:rPr>
          <w:b/>
          <w:sz w:val="24"/>
        </w:rPr>
        <w:t>Where</w:t>
      </w:r>
    </w:p>
    <w:p w:rsidR="00AB5AEB" w:rsidRDefault="00AB5AEB">
      <w:pPr>
        <w:rPr>
          <w:sz w:val="24"/>
        </w:rPr>
      </w:pPr>
      <w:r>
        <w:rPr>
          <w:b/>
          <w:sz w:val="24"/>
        </w:rPr>
        <w:t>I= annual interest receivable in perpuity</w:t>
      </w:r>
    </w:p>
    <w:p w:rsidR="00D768C6" w:rsidRDefault="00AB5AEB">
      <w:pPr>
        <w:rPr>
          <w:sz w:val="24"/>
        </w:rPr>
      </w:pPr>
      <w:r>
        <w:rPr>
          <w:sz w:val="24"/>
        </w:rPr>
        <w:t>K= cost of capital</w:t>
      </w:r>
    </w:p>
    <w:p w:rsidR="00AB5AEB" w:rsidRDefault="00AB5AEB">
      <w:pPr>
        <w:rPr>
          <w:sz w:val="24"/>
        </w:rPr>
      </w:pPr>
      <w:r>
        <w:rPr>
          <w:sz w:val="24"/>
        </w:rPr>
        <w:t xml:space="preserve">This formula </w:t>
      </w:r>
      <w:r w:rsidRPr="00AB5AEB">
        <w:rPr>
          <w:i/>
          <w:sz w:val="24"/>
        </w:rPr>
        <w:t>can also be presented as</w:t>
      </w:r>
      <w:r>
        <w:rPr>
          <w:sz w:val="24"/>
        </w:rPr>
        <w:t>:</w:t>
      </w:r>
    </w:p>
    <w:p w:rsidR="00AB5AEB" w:rsidRDefault="00AB5AEB">
      <w:pPr>
        <w:rPr>
          <w:b/>
          <w:sz w:val="28"/>
        </w:rPr>
      </w:pPr>
      <w:r w:rsidRPr="00AB5AEB">
        <w:rPr>
          <w:b/>
          <w:sz w:val="28"/>
        </w:rPr>
        <w:t>P= (I/m)/ (k/m)</w:t>
      </w:r>
    </w:p>
    <w:p w:rsidR="00AB5AEB" w:rsidRDefault="00AB5AEB">
      <w:pPr>
        <w:rPr>
          <w:b/>
          <w:sz w:val="28"/>
        </w:rPr>
      </w:pPr>
    </w:p>
    <w:p w:rsidR="00AB5AEB" w:rsidRDefault="00B847B2">
      <w:pPr>
        <w:rPr>
          <w:b/>
          <w:sz w:val="28"/>
        </w:rPr>
      </w:pPr>
      <w:r>
        <w:rPr>
          <w:b/>
          <w:sz w:val="28"/>
        </w:rPr>
        <w:t>3. Value of Callable bond:</w:t>
      </w:r>
    </w:p>
    <w:p w:rsidR="00B847B2" w:rsidRDefault="00B847B2">
      <w:pPr>
        <w:rPr>
          <w:sz w:val="24"/>
        </w:rPr>
      </w:pPr>
      <w:r>
        <w:rPr>
          <w:sz w:val="24"/>
        </w:rPr>
        <w:t>When the indenture includes the call option on the bond then in such case the issuer may call the bond for redemption before its maturity period.</w:t>
      </w:r>
    </w:p>
    <w:p w:rsidR="00B847B2" w:rsidRPr="00B847B2" w:rsidRDefault="00B847B2">
      <w:pPr>
        <w:rPr>
          <w:b/>
          <w:i/>
          <w:sz w:val="24"/>
        </w:rPr>
      </w:pPr>
      <w:r>
        <w:rPr>
          <w:sz w:val="24"/>
        </w:rPr>
        <w:t>We can calculate the value of callable bond by using same formula as we used above in redeemable bond</w:t>
      </w:r>
    </w:p>
    <w:p w:rsidR="00B847B2" w:rsidRPr="00B847B2" w:rsidRDefault="00B847B2">
      <w:pPr>
        <w:rPr>
          <w:b/>
          <w:i/>
          <w:sz w:val="24"/>
        </w:rPr>
      </w:pPr>
      <w:r w:rsidRPr="00B847B2">
        <w:rPr>
          <w:b/>
          <w:i/>
          <w:sz w:val="24"/>
        </w:rPr>
        <w:t>In this case the given formula is changed in following manner</w:t>
      </w:r>
    </w:p>
    <w:p w:rsidR="00B847B2" w:rsidRPr="00B847B2" w:rsidRDefault="00B847B2" w:rsidP="00B847B2">
      <w:pPr>
        <w:pStyle w:val="ListParagraph"/>
        <w:numPr>
          <w:ilvl w:val="0"/>
          <w:numId w:val="1"/>
        </w:numPr>
        <w:rPr>
          <w:b/>
          <w:i/>
          <w:sz w:val="24"/>
        </w:rPr>
      </w:pPr>
      <w:r w:rsidRPr="00B847B2">
        <w:rPr>
          <w:b/>
          <w:i/>
          <w:sz w:val="24"/>
        </w:rPr>
        <w:t>The maturity period is replaced by call period</w:t>
      </w:r>
    </w:p>
    <w:p w:rsidR="00B847B2" w:rsidRPr="00B847B2" w:rsidRDefault="00B847B2" w:rsidP="00B847B2">
      <w:pPr>
        <w:pStyle w:val="ListParagraph"/>
        <w:numPr>
          <w:ilvl w:val="0"/>
          <w:numId w:val="1"/>
        </w:numPr>
        <w:rPr>
          <w:b/>
          <w:i/>
          <w:sz w:val="24"/>
        </w:rPr>
      </w:pPr>
      <w:r w:rsidRPr="00B847B2">
        <w:rPr>
          <w:b/>
          <w:i/>
          <w:sz w:val="24"/>
        </w:rPr>
        <w:t>The redeemable value is replaced by call price</w:t>
      </w:r>
    </w:p>
    <w:p w:rsidR="00B847B2" w:rsidRDefault="00B847B2">
      <w:pPr>
        <w:rPr>
          <w:b/>
          <w:sz w:val="28"/>
        </w:rPr>
      </w:pPr>
    </w:p>
    <w:p w:rsidR="00AB5AEB" w:rsidRPr="00AB5AEB" w:rsidRDefault="00AB5AEB">
      <w:pPr>
        <w:rPr>
          <w:b/>
          <w:sz w:val="28"/>
        </w:rPr>
      </w:pPr>
    </w:p>
    <w:p w:rsidR="00AB5AEB" w:rsidRPr="00D768C6" w:rsidRDefault="00AB5AEB">
      <w:pPr>
        <w:rPr>
          <w:sz w:val="24"/>
        </w:rPr>
      </w:pPr>
    </w:p>
    <w:sectPr w:rsidR="00AB5AEB" w:rsidRPr="00D768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67E" w:rsidRDefault="009A467E" w:rsidP="00365906">
      <w:pPr>
        <w:spacing w:after="0" w:line="240" w:lineRule="auto"/>
      </w:pPr>
      <w:r>
        <w:separator/>
      </w:r>
    </w:p>
  </w:endnote>
  <w:endnote w:type="continuationSeparator" w:id="1">
    <w:p w:rsidR="009A467E" w:rsidRDefault="009A467E" w:rsidP="003659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906" w:rsidRDefault="003659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11B" w:rsidRDefault="008A011B">
    <w:pPr>
      <w:pStyle w:val="Footer"/>
      <w:pBdr>
        <w:top w:val="thinThickSmallGap" w:sz="24" w:space="1" w:color="622423" w:themeColor="accent2" w:themeShade="7F"/>
      </w:pBdr>
      <w:rPr>
        <w:rFonts w:asciiTheme="majorHAnsi" w:hAnsiTheme="majorHAnsi"/>
      </w:rPr>
    </w:pPr>
    <w:hyperlink r:id="rId1" w:history="1">
      <w:r w:rsidRPr="00E517D6">
        <w:rPr>
          <w:rStyle w:val="Hyperlink"/>
          <w:rFonts w:asciiTheme="majorHAnsi" w:hAnsiTheme="majorHAnsi"/>
        </w:rPr>
        <w:t>narahariadhikari@gmail.com</w:t>
      </w:r>
    </w:hyperlink>
  </w:p>
  <w:p w:rsidR="008A011B" w:rsidRDefault="008A011B">
    <w:pPr>
      <w:pStyle w:val="Footer"/>
      <w:pBdr>
        <w:top w:val="thinThickSmallGap" w:sz="24" w:space="1" w:color="622423" w:themeColor="accent2" w:themeShade="7F"/>
      </w:pBdr>
      <w:rPr>
        <w:rFonts w:asciiTheme="majorHAnsi" w:hAnsiTheme="majorHAnsi"/>
      </w:rPr>
    </w:pPr>
    <w:sdt>
      <w:sdtPr>
        <w:rPr>
          <w:rFonts w:asciiTheme="majorHAnsi" w:hAnsiTheme="majorHAnsi"/>
        </w:rPr>
        <w:id w:val="76027555"/>
        <w:placeholder>
          <w:docPart w:val="B3A3DA9D14FF4A3198B85C71987125C9"/>
        </w:placeholder>
        <w:temporary/>
        <w:showingPlcHdr/>
      </w:sdtPr>
      <w:sdtContent>
        <w:r>
          <w:rPr>
            <w:rFonts w:asciiTheme="majorHAnsi" w:hAnsiTheme="majorHAnsi"/>
          </w:rPr>
          <w:t>[Type text]</w:t>
        </w:r>
      </w:sdtContent>
    </w:sdt>
    <w:r>
      <w:rPr>
        <w:rFonts w:asciiTheme="majorHAnsi" w:hAnsiTheme="majorHAnsi"/>
      </w:rPr>
      <w:ptab w:relativeTo="margin" w:alignment="right" w:leader="none"/>
    </w:r>
    <w:r>
      <w:rPr>
        <w:rFonts w:asciiTheme="majorHAnsi" w:hAnsiTheme="majorHAnsi"/>
      </w:rPr>
      <w:t xml:space="preserve">Page </w:t>
    </w:r>
    <w:fldSimple w:instr=" PAGE   \* MERGEFORMAT ">
      <w:r w:rsidRPr="008A011B">
        <w:rPr>
          <w:rFonts w:asciiTheme="majorHAnsi" w:hAnsiTheme="majorHAnsi"/>
          <w:noProof/>
        </w:rPr>
        <w:t>1</w:t>
      </w:r>
    </w:fldSimple>
  </w:p>
  <w:p w:rsidR="00365906" w:rsidRDefault="0036590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906" w:rsidRDefault="003659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67E" w:rsidRDefault="009A467E" w:rsidP="00365906">
      <w:pPr>
        <w:spacing w:after="0" w:line="240" w:lineRule="auto"/>
      </w:pPr>
      <w:r>
        <w:separator/>
      </w:r>
    </w:p>
  </w:footnote>
  <w:footnote w:type="continuationSeparator" w:id="1">
    <w:p w:rsidR="009A467E" w:rsidRDefault="009A467E" w:rsidP="003659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906" w:rsidRDefault="0036590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906" w:rsidRDefault="00365906">
    <w:pPr>
      <w:pStyle w:val="Header"/>
    </w:pPr>
    <w:r>
      <w:t>Bond valuation simplified</w:t>
    </w:r>
  </w:p>
  <w:p w:rsidR="00365906" w:rsidRDefault="00365906">
    <w:pPr>
      <w:pStyle w:val="Header"/>
    </w:pPr>
  </w:p>
  <w:p w:rsidR="00365906" w:rsidRDefault="0036590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906" w:rsidRDefault="003659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B7E09"/>
    <w:multiLevelType w:val="hybridMultilevel"/>
    <w:tmpl w:val="E368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57298"/>
    <w:rsid w:val="002F680C"/>
    <w:rsid w:val="00365906"/>
    <w:rsid w:val="008A011B"/>
    <w:rsid w:val="009A467E"/>
    <w:rsid w:val="00A57298"/>
    <w:rsid w:val="00AB5AEB"/>
    <w:rsid w:val="00B847B2"/>
    <w:rsid w:val="00D768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7B2"/>
    <w:pPr>
      <w:ind w:left="720"/>
      <w:contextualSpacing/>
    </w:pPr>
  </w:style>
  <w:style w:type="paragraph" w:styleId="Header">
    <w:name w:val="header"/>
    <w:basedOn w:val="Normal"/>
    <w:link w:val="HeaderChar"/>
    <w:uiPriority w:val="99"/>
    <w:unhideWhenUsed/>
    <w:rsid w:val="00365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906"/>
  </w:style>
  <w:style w:type="paragraph" w:styleId="Footer">
    <w:name w:val="footer"/>
    <w:basedOn w:val="Normal"/>
    <w:link w:val="FooterChar"/>
    <w:uiPriority w:val="99"/>
    <w:unhideWhenUsed/>
    <w:rsid w:val="00365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906"/>
  </w:style>
  <w:style w:type="paragraph" w:styleId="BalloonText">
    <w:name w:val="Balloon Text"/>
    <w:basedOn w:val="Normal"/>
    <w:link w:val="BalloonTextChar"/>
    <w:uiPriority w:val="99"/>
    <w:semiHidden/>
    <w:unhideWhenUsed/>
    <w:rsid w:val="003659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906"/>
    <w:rPr>
      <w:rFonts w:ascii="Tahoma" w:hAnsi="Tahoma" w:cs="Tahoma"/>
      <w:sz w:val="16"/>
      <w:szCs w:val="16"/>
    </w:rPr>
  </w:style>
  <w:style w:type="character" w:styleId="Hyperlink">
    <w:name w:val="Hyperlink"/>
    <w:basedOn w:val="DefaultParagraphFont"/>
    <w:uiPriority w:val="99"/>
    <w:unhideWhenUsed/>
    <w:rsid w:val="008A011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mailto:narahariadhik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A3DA9D14FF4A3198B85C71987125C9"/>
        <w:category>
          <w:name w:val="General"/>
          <w:gallery w:val="placeholder"/>
        </w:category>
        <w:types>
          <w:type w:val="bbPlcHdr"/>
        </w:types>
        <w:behaviors>
          <w:behavior w:val="content"/>
        </w:behaviors>
        <w:guid w:val="{0F6779A0-65BD-45EC-A4D1-E5F81C69F34B}"/>
      </w:docPartPr>
      <w:docPartBody>
        <w:p w:rsidR="00000000" w:rsidRDefault="005620B2" w:rsidP="005620B2">
          <w:pPr>
            <w:pStyle w:val="B3A3DA9D14FF4A3198B85C71987125C9"/>
          </w:pPr>
          <w:r>
            <w:rPr>
              <w:rFonts w:asciiTheme="majorHAnsi" w:hAnsiTheme="majorHAnsi"/>
            </w:rP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620B2"/>
    <w:rsid w:val="005620B2"/>
    <w:rsid w:val="00E366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421278CAAF4A80867106AEDCC5CE59">
    <w:name w:val="BD421278CAAF4A80867106AEDCC5CE59"/>
    <w:rsid w:val="005620B2"/>
  </w:style>
  <w:style w:type="paragraph" w:customStyle="1" w:styleId="B3A3DA9D14FF4A3198B85C71987125C9">
    <w:name w:val="B3A3DA9D14FF4A3198B85C71987125C9"/>
    <w:rsid w:val="005620B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GBESPL</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dc:creator>
  <cp:keywords/>
  <dc:description/>
  <cp:lastModifiedBy>auditor</cp:lastModifiedBy>
  <cp:revision>6</cp:revision>
  <dcterms:created xsi:type="dcterms:W3CDTF">2011-07-30T07:00:00Z</dcterms:created>
  <dcterms:modified xsi:type="dcterms:W3CDTF">2011-07-30T07:53:00Z</dcterms:modified>
</cp:coreProperties>
</file>