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3B1" w:rsidRPr="007C2015" w:rsidRDefault="007C2015">
      <w:pPr>
        <w:rPr>
          <w:rFonts w:ascii="Berlin Sans FB" w:hAnsi="Berlin Sans FB" w:cs="Arial"/>
          <w:sz w:val="28"/>
          <w:szCs w:val="27"/>
        </w:rPr>
      </w:pPr>
      <w:hyperlink r:id="rId4" w:tgtFrame="_blank" w:history="1">
        <w:r w:rsidRPr="007C2015">
          <w:rPr>
            <w:rStyle w:val="Strong"/>
            <w:rFonts w:ascii="Berlin Sans FB" w:hAnsi="Berlin Sans FB" w:cs="Arial"/>
            <w:color w:val="0000FF"/>
            <w:sz w:val="28"/>
            <w:szCs w:val="27"/>
            <w:u w:val="single"/>
          </w:rPr>
          <w:t xml:space="preserve">Long-Term Care (LTC) Insurance </w:t>
        </w:r>
      </w:hyperlink>
    </w:p>
    <w:p w:rsidR="007C2015" w:rsidRPr="007C2015" w:rsidRDefault="007C2015">
      <w:pPr>
        <w:rPr>
          <w:rFonts w:ascii="Berlin Sans FB" w:hAnsi="Berlin Sans FB" w:cs="Arial"/>
          <w:szCs w:val="20"/>
        </w:rPr>
      </w:pPr>
      <w:r w:rsidRPr="007C2015">
        <w:rPr>
          <w:rFonts w:ascii="Berlin Sans FB" w:hAnsi="Berlin Sans FB" w:cs="Arial"/>
          <w:szCs w:val="20"/>
        </w:rPr>
        <w:t>Coverage that provides nursing-home care, home-health care, personal or adult day care for individuals above the age of 65 or with a chronic or disabling condition that needs constant supervision. LTC insurance offers more flexibility and options than many public assistance programs.</w:t>
      </w:r>
    </w:p>
    <w:p w:rsidR="007C2015" w:rsidRPr="007C2015" w:rsidRDefault="007C2015">
      <w:pPr>
        <w:rPr>
          <w:rFonts w:ascii="Berlin Sans FB" w:hAnsi="Berlin Sans FB" w:cs="Arial"/>
          <w:szCs w:val="20"/>
        </w:rPr>
      </w:pPr>
    </w:p>
    <w:p w:rsidR="007C2015" w:rsidRPr="007C2015" w:rsidRDefault="007C2015">
      <w:pPr>
        <w:rPr>
          <w:rFonts w:ascii="Berlin Sans FB" w:hAnsi="Berlin Sans FB" w:cs="Arial"/>
          <w:sz w:val="28"/>
          <w:szCs w:val="27"/>
        </w:rPr>
      </w:pPr>
      <w:hyperlink r:id="rId5" w:tgtFrame="_blank" w:history="1">
        <w:r w:rsidRPr="007C2015">
          <w:rPr>
            <w:rStyle w:val="Strong"/>
            <w:rFonts w:ascii="Berlin Sans FB" w:hAnsi="Berlin Sans FB" w:cs="Arial"/>
            <w:color w:val="0000FF"/>
            <w:sz w:val="28"/>
            <w:szCs w:val="27"/>
            <w:u w:val="single"/>
          </w:rPr>
          <w:t xml:space="preserve">Eurodollar </w:t>
        </w:r>
      </w:hyperlink>
    </w:p>
    <w:p w:rsidR="007C2015" w:rsidRPr="007C2015" w:rsidRDefault="007C2015">
      <w:pPr>
        <w:rPr>
          <w:rFonts w:ascii="Berlin Sans FB" w:hAnsi="Berlin Sans FB"/>
          <w:sz w:val="24"/>
        </w:rPr>
      </w:pPr>
      <w:r w:rsidRPr="007C2015">
        <w:rPr>
          <w:rFonts w:ascii="Berlin Sans FB" w:hAnsi="Berlin Sans FB" w:cs="Arial"/>
          <w:szCs w:val="20"/>
        </w:rPr>
        <w:t>U.S.-dollar denominated deposits at foreign banks or foreign branches of American banks. By locating outside of the United States, euro dollars escape regulation by the Federal Reserve Board.</w:t>
      </w:r>
    </w:p>
    <w:sectPr w:rsidR="007C2015" w:rsidRPr="007C2015" w:rsidSect="008D03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2015"/>
    <w:rsid w:val="007C2015"/>
    <w:rsid w:val="008D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3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C20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nvestopedia.com/terms/e/eurodollar.asp?partner=TOD11" TargetMode="External"/><Relationship Id="rId4" Type="http://schemas.openxmlformats.org/officeDocument/2006/relationships/hyperlink" Target="http://www.investopedia.com/terms/l/ltcinsurance.asp?partner=TOD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INTEX</dc:creator>
  <cp:keywords/>
  <dc:description/>
  <cp:lastModifiedBy>INTEX</cp:lastModifiedBy>
  <cp:revision>1</cp:revision>
  <dcterms:created xsi:type="dcterms:W3CDTF">2009-11-30T10:04:00Z</dcterms:created>
  <dcterms:modified xsi:type="dcterms:W3CDTF">2009-11-30T10:06:00Z</dcterms:modified>
</cp:coreProperties>
</file>