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CB9" w:rsidRDefault="00EC0D34" w:rsidP="00D3626C">
      <w:pPr>
        <w:ind w:left="-1260" w:right="-1350"/>
        <w:rPr>
          <w:noProof/>
        </w:rPr>
      </w:pPr>
      <w:r>
        <w:rPr>
          <w:noProof/>
        </w:rPr>
        <w:t xml:space="preserve"> </w:t>
      </w:r>
      <w:r w:rsidR="002E0F2D">
        <w:rPr>
          <w:noProof/>
        </w:rPr>
        <w:drawing>
          <wp:inline distT="0" distB="0" distL="0" distR="0">
            <wp:extent cx="7581900" cy="7848600"/>
            <wp:effectExtent l="1905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3626C" w:rsidRPr="00D3626C" w:rsidRDefault="00D3626C" w:rsidP="00D3626C">
      <w:pPr>
        <w:pStyle w:val="ListParagraph"/>
        <w:rPr>
          <w:sz w:val="24"/>
          <w:szCs w:val="24"/>
        </w:rPr>
      </w:pPr>
    </w:p>
    <w:p w:rsidR="00894CB9" w:rsidRPr="00D3626C" w:rsidRDefault="00894CB9" w:rsidP="00894CB9">
      <w:pPr>
        <w:pStyle w:val="ListParagraph"/>
        <w:numPr>
          <w:ilvl w:val="0"/>
          <w:numId w:val="1"/>
        </w:numPr>
        <w:rPr>
          <w:sz w:val="24"/>
          <w:szCs w:val="24"/>
        </w:rPr>
      </w:pPr>
      <w:r w:rsidRPr="00D3626C">
        <w:rPr>
          <w:b/>
          <w:sz w:val="24"/>
          <w:szCs w:val="24"/>
        </w:rPr>
        <w:t>Net Annual Value</w:t>
      </w:r>
      <w:r w:rsidRPr="00D3626C">
        <w:rPr>
          <w:sz w:val="24"/>
          <w:szCs w:val="24"/>
        </w:rPr>
        <w:t>= Gross annual value – municipal taxes</w:t>
      </w:r>
    </w:p>
    <w:p w:rsidR="00894CB9" w:rsidRPr="00D3626C" w:rsidRDefault="00894CB9" w:rsidP="00894CB9">
      <w:pPr>
        <w:pStyle w:val="ListParagraph"/>
        <w:numPr>
          <w:ilvl w:val="0"/>
          <w:numId w:val="1"/>
        </w:numPr>
        <w:rPr>
          <w:sz w:val="24"/>
          <w:szCs w:val="24"/>
        </w:rPr>
      </w:pPr>
      <w:r w:rsidRPr="00D3626C">
        <w:rPr>
          <w:sz w:val="24"/>
          <w:szCs w:val="24"/>
        </w:rPr>
        <w:t>Municipal taxes are allowed only if paid by owner in p/y year. Deduction would be allowed even if municipal taxes paid is relates to past or future years. M.T paid for property outside India is deductable.</w:t>
      </w:r>
    </w:p>
    <w:p w:rsidR="00894CB9" w:rsidRPr="00D3626C" w:rsidRDefault="00894CB9" w:rsidP="00894CB9">
      <w:pPr>
        <w:pStyle w:val="ListParagraph"/>
        <w:numPr>
          <w:ilvl w:val="0"/>
          <w:numId w:val="1"/>
        </w:numPr>
        <w:rPr>
          <w:sz w:val="24"/>
          <w:szCs w:val="24"/>
        </w:rPr>
      </w:pPr>
      <w:r w:rsidRPr="00D3626C">
        <w:rPr>
          <w:sz w:val="24"/>
          <w:szCs w:val="24"/>
        </w:rPr>
        <w:t>Ownership in p/y is relevant, whether assessee is owner is a/y or not is not relevant.</w:t>
      </w:r>
    </w:p>
    <w:p w:rsidR="00894CB9" w:rsidRDefault="00466C87" w:rsidP="00894CB9">
      <w:pPr>
        <w:pStyle w:val="ListParagraph"/>
        <w:numPr>
          <w:ilvl w:val="0"/>
          <w:numId w:val="2"/>
        </w:numPr>
        <w:rPr>
          <w:sz w:val="24"/>
          <w:szCs w:val="24"/>
        </w:rPr>
      </w:pPr>
      <w:r w:rsidRPr="00D3626C">
        <w:rPr>
          <w:sz w:val="24"/>
          <w:szCs w:val="24"/>
        </w:rPr>
        <w:t>Owner of property is liable to tax although assessee may not be owner of annual value.</w:t>
      </w:r>
    </w:p>
    <w:p w:rsidR="00F72269" w:rsidRPr="00D3626C" w:rsidRDefault="00F72269" w:rsidP="00F72269">
      <w:pPr>
        <w:pStyle w:val="ListParagraph"/>
        <w:rPr>
          <w:sz w:val="24"/>
          <w:szCs w:val="24"/>
        </w:rPr>
      </w:pPr>
    </w:p>
    <w:p w:rsidR="00466C87" w:rsidRPr="00F72269" w:rsidRDefault="00466C87" w:rsidP="00894CB9">
      <w:pPr>
        <w:pStyle w:val="ListParagraph"/>
        <w:numPr>
          <w:ilvl w:val="0"/>
          <w:numId w:val="2"/>
        </w:numPr>
        <w:rPr>
          <w:sz w:val="24"/>
          <w:szCs w:val="24"/>
        </w:rPr>
      </w:pPr>
      <w:r w:rsidRPr="00D3626C">
        <w:rPr>
          <w:sz w:val="24"/>
          <w:szCs w:val="24"/>
        </w:rPr>
        <w:t>Income from quarters given to employees by the employer is taxable under PBGP.</w:t>
      </w:r>
      <w:r w:rsidR="00C95481" w:rsidRPr="00C95481">
        <w:rPr>
          <w:rFonts w:ascii="Verdana" w:hAnsi="Verdana"/>
          <w:b/>
          <w:bCs/>
          <w:sz w:val="20"/>
          <w:szCs w:val="20"/>
        </w:rPr>
        <w:t xml:space="preserve"> </w:t>
      </w:r>
      <w:r w:rsidR="00C95481">
        <w:rPr>
          <w:rFonts w:ascii="Verdana" w:hAnsi="Verdana"/>
          <w:b/>
          <w:bCs/>
          <w:sz w:val="20"/>
          <w:szCs w:val="20"/>
        </w:rPr>
        <w:t>{</w:t>
      </w:r>
      <w:r w:rsidR="00C95481" w:rsidRPr="006B5FCD">
        <w:rPr>
          <w:rFonts w:ascii="Verdana" w:hAnsi="Verdana"/>
          <w:b/>
          <w:bCs/>
          <w:sz w:val="20"/>
          <w:szCs w:val="20"/>
        </w:rPr>
        <w:t>CIT Vs. Delhi Cloth &amp; general mills Ltd</w:t>
      </w:r>
      <w:r w:rsidR="00C95481">
        <w:rPr>
          <w:rFonts w:ascii="Verdana" w:hAnsi="Verdana"/>
          <w:b/>
          <w:bCs/>
          <w:sz w:val="20"/>
          <w:szCs w:val="20"/>
        </w:rPr>
        <w:t xml:space="preserve"> (1966)}</w:t>
      </w:r>
    </w:p>
    <w:p w:rsidR="00F72269" w:rsidRPr="00F72269" w:rsidRDefault="00F72269" w:rsidP="00F72269">
      <w:pPr>
        <w:pStyle w:val="ListParagraph"/>
        <w:rPr>
          <w:sz w:val="24"/>
          <w:szCs w:val="24"/>
        </w:rPr>
      </w:pPr>
    </w:p>
    <w:p w:rsidR="00F72269" w:rsidRPr="00C95481" w:rsidRDefault="00F72269" w:rsidP="00F72269">
      <w:pPr>
        <w:pStyle w:val="ListParagraph"/>
        <w:rPr>
          <w:sz w:val="24"/>
          <w:szCs w:val="24"/>
        </w:rPr>
      </w:pPr>
    </w:p>
    <w:p w:rsidR="00C95481" w:rsidRDefault="00C95481" w:rsidP="00C95481">
      <w:pPr>
        <w:pStyle w:val="ListParagraph"/>
        <w:numPr>
          <w:ilvl w:val="0"/>
          <w:numId w:val="2"/>
        </w:numPr>
        <w:spacing w:line="360" w:lineRule="auto"/>
        <w:rPr>
          <w:rFonts w:ascii="Verdana" w:hAnsi="Verdana"/>
          <w:sz w:val="20"/>
          <w:szCs w:val="20"/>
        </w:rPr>
      </w:pPr>
      <w:r>
        <w:rPr>
          <w:rFonts w:ascii="Verdana" w:hAnsi="Verdana"/>
          <w:sz w:val="20"/>
          <w:szCs w:val="20"/>
        </w:rPr>
        <w:t xml:space="preserve">If </w:t>
      </w:r>
      <w:r w:rsidRPr="00C95481">
        <w:rPr>
          <w:rFonts w:ascii="Verdana" w:hAnsi="Verdana"/>
          <w:sz w:val="20"/>
          <w:szCs w:val="20"/>
        </w:rPr>
        <w:t>property</w:t>
      </w:r>
      <w:r>
        <w:rPr>
          <w:rFonts w:ascii="Verdana" w:hAnsi="Verdana"/>
          <w:sz w:val="20"/>
          <w:szCs w:val="20"/>
        </w:rPr>
        <w:t xml:space="preserve"> is given</w:t>
      </w:r>
      <w:r w:rsidRPr="00C95481">
        <w:rPr>
          <w:rFonts w:ascii="Verdana" w:hAnsi="Verdana"/>
          <w:sz w:val="20"/>
          <w:szCs w:val="20"/>
        </w:rPr>
        <w:t xml:space="preserve"> to bank and police station for smooth running of business Then this income will not be charged as IHP </w:t>
      </w:r>
      <w:r w:rsidRPr="00C95481">
        <w:rPr>
          <w:rFonts w:ascii="Verdana" w:hAnsi="Verdana"/>
          <w:b/>
          <w:bCs/>
          <w:sz w:val="20"/>
          <w:szCs w:val="20"/>
        </w:rPr>
        <w:t>[CIT Vs. National Newsprint &amp; paper Mills</w:t>
      </w:r>
      <w:r>
        <w:rPr>
          <w:rFonts w:ascii="Verdana" w:hAnsi="Verdana"/>
          <w:b/>
          <w:bCs/>
          <w:sz w:val="20"/>
          <w:szCs w:val="20"/>
        </w:rPr>
        <w:t xml:space="preserve"> (1997)</w:t>
      </w:r>
      <w:r w:rsidRPr="00C95481">
        <w:rPr>
          <w:rFonts w:ascii="Verdana" w:hAnsi="Verdana"/>
          <w:sz w:val="20"/>
          <w:szCs w:val="20"/>
        </w:rPr>
        <w:t xml:space="preserve"> ]</w:t>
      </w:r>
    </w:p>
    <w:p w:rsidR="00F72269" w:rsidRDefault="00F72269" w:rsidP="00F72269">
      <w:pPr>
        <w:pStyle w:val="ListParagraph"/>
        <w:spacing w:line="360" w:lineRule="auto"/>
        <w:rPr>
          <w:rFonts w:ascii="Verdana" w:hAnsi="Verdana"/>
          <w:sz w:val="20"/>
          <w:szCs w:val="20"/>
        </w:rPr>
      </w:pPr>
    </w:p>
    <w:p w:rsidR="00C95481" w:rsidRPr="00C95481" w:rsidRDefault="00466C87" w:rsidP="00C95481">
      <w:pPr>
        <w:pStyle w:val="ListParagraph"/>
        <w:numPr>
          <w:ilvl w:val="0"/>
          <w:numId w:val="2"/>
        </w:numPr>
        <w:spacing w:line="360" w:lineRule="auto"/>
        <w:rPr>
          <w:rFonts w:ascii="Verdana" w:hAnsi="Verdana"/>
          <w:sz w:val="20"/>
          <w:szCs w:val="20"/>
        </w:rPr>
      </w:pPr>
      <w:r w:rsidRPr="00C95481">
        <w:rPr>
          <w:sz w:val="24"/>
          <w:szCs w:val="24"/>
        </w:rPr>
        <w:t>Net benefit would be taken as actual rent</w:t>
      </w:r>
      <w:r w:rsidR="00D81252" w:rsidRPr="00C95481">
        <w:rPr>
          <w:sz w:val="24"/>
          <w:szCs w:val="24"/>
        </w:rPr>
        <w:t>. If certain obligations of tenant (water tax, electricity bill etc) are paid by owner, then actual rent should decrease by that amount. If owner’s obligations are paid by tenant then actual rent should be increase by that amount except in case of municipal taxes and repairs.</w:t>
      </w:r>
    </w:p>
    <w:p w:rsidR="00D81252" w:rsidRPr="00C95481" w:rsidRDefault="00D81252" w:rsidP="00C95481">
      <w:pPr>
        <w:pStyle w:val="ListParagraph"/>
        <w:numPr>
          <w:ilvl w:val="0"/>
          <w:numId w:val="2"/>
        </w:numPr>
        <w:spacing w:line="360" w:lineRule="auto"/>
        <w:rPr>
          <w:rFonts w:ascii="Verdana" w:hAnsi="Verdana"/>
          <w:sz w:val="20"/>
          <w:szCs w:val="20"/>
        </w:rPr>
      </w:pPr>
      <w:r w:rsidRPr="00C95481">
        <w:rPr>
          <w:sz w:val="24"/>
          <w:szCs w:val="24"/>
        </w:rPr>
        <w:t>Benefit of one house exemption of one self occupied house is available to individuals &amp; HUF only</w:t>
      </w:r>
      <w:r w:rsidR="00165D48" w:rsidRPr="00C95481">
        <w:rPr>
          <w:sz w:val="24"/>
          <w:szCs w:val="24"/>
        </w:rPr>
        <w:t>. One house may have more than one residential unit and self occupied all its units, its</w:t>
      </w:r>
      <w:r w:rsidR="00B26E6D" w:rsidRPr="00C95481">
        <w:rPr>
          <w:sz w:val="24"/>
          <w:szCs w:val="24"/>
        </w:rPr>
        <w:t xml:space="preserve"> AV would still be nil</w:t>
      </w:r>
      <w:r w:rsidR="00165D48" w:rsidRPr="00C95481">
        <w:rPr>
          <w:sz w:val="24"/>
          <w:szCs w:val="24"/>
        </w:rPr>
        <w:t>.</w:t>
      </w:r>
    </w:p>
    <w:p w:rsidR="00D06545" w:rsidRPr="004C0AD8" w:rsidRDefault="00D06545" w:rsidP="00894CB9">
      <w:pPr>
        <w:pStyle w:val="ListParagraph"/>
        <w:numPr>
          <w:ilvl w:val="0"/>
          <w:numId w:val="2"/>
        </w:numPr>
        <w:rPr>
          <w:b/>
          <w:sz w:val="24"/>
          <w:szCs w:val="24"/>
        </w:rPr>
      </w:pPr>
      <w:r w:rsidRPr="004C0AD8">
        <w:rPr>
          <w:b/>
          <w:sz w:val="24"/>
          <w:szCs w:val="24"/>
        </w:rPr>
        <w:t>Rent from vacant land and sub let is taxable under other sources.</w:t>
      </w:r>
    </w:p>
    <w:p w:rsidR="00D06545" w:rsidRDefault="00D06545" w:rsidP="00894CB9">
      <w:pPr>
        <w:pStyle w:val="ListParagraph"/>
        <w:numPr>
          <w:ilvl w:val="0"/>
          <w:numId w:val="2"/>
        </w:numPr>
        <w:rPr>
          <w:sz w:val="24"/>
          <w:szCs w:val="24"/>
        </w:rPr>
      </w:pPr>
      <w:r w:rsidRPr="00D3626C">
        <w:rPr>
          <w:sz w:val="24"/>
          <w:szCs w:val="24"/>
        </w:rPr>
        <w:t>Ownership includes both freehold and lease hold right.</w:t>
      </w:r>
    </w:p>
    <w:p w:rsidR="001A7A53" w:rsidRPr="00D3626C" w:rsidRDefault="001A7A53" w:rsidP="001A7A53">
      <w:pPr>
        <w:pStyle w:val="ListParagraph"/>
        <w:ind w:left="-270"/>
        <w:rPr>
          <w:sz w:val="24"/>
          <w:szCs w:val="24"/>
        </w:rPr>
      </w:pPr>
    </w:p>
    <w:p w:rsidR="00D06545" w:rsidRDefault="00D06545" w:rsidP="00894CB9">
      <w:pPr>
        <w:pStyle w:val="ListParagraph"/>
        <w:numPr>
          <w:ilvl w:val="0"/>
          <w:numId w:val="2"/>
        </w:numPr>
        <w:rPr>
          <w:sz w:val="24"/>
          <w:szCs w:val="24"/>
        </w:rPr>
      </w:pPr>
      <w:r w:rsidRPr="00D3626C">
        <w:rPr>
          <w:sz w:val="24"/>
          <w:szCs w:val="24"/>
        </w:rPr>
        <w:t>Person who owns the building need not also be the owner of land upon which its stands.</w:t>
      </w:r>
    </w:p>
    <w:p w:rsidR="001A7A53" w:rsidRPr="00D3626C" w:rsidRDefault="001A7A53" w:rsidP="001A7A53">
      <w:pPr>
        <w:pStyle w:val="ListParagraph"/>
        <w:rPr>
          <w:sz w:val="24"/>
          <w:szCs w:val="24"/>
        </w:rPr>
      </w:pPr>
    </w:p>
    <w:p w:rsidR="001A7A53" w:rsidRPr="001A7A53" w:rsidRDefault="00D06545" w:rsidP="001A7A53">
      <w:pPr>
        <w:pStyle w:val="ListParagraph"/>
        <w:numPr>
          <w:ilvl w:val="0"/>
          <w:numId w:val="2"/>
        </w:numPr>
        <w:rPr>
          <w:b/>
          <w:sz w:val="24"/>
          <w:szCs w:val="24"/>
        </w:rPr>
      </w:pPr>
      <w:r w:rsidRPr="004C0AD8">
        <w:rPr>
          <w:b/>
          <w:sz w:val="24"/>
          <w:szCs w:val="24"/>
        </w:rPr>
        <w:t>Deduction of unrealized rent is available provided that condition under Rule 4 is satisfied.</w:t>
      </w:r>
    </w:p>
    <w:p w:rsidR="001A7A53" w:rsidRPr="001A7A53" w:rsidRDefault="00D06545" w:rsidP="001A7A53">
      <w:pPr>
        <w:pStyle w:val="ListParagraph"/>
        <w:numPr>
          <w:ilvl w:val="0"/>
          <w:numId w:val="2"/>
        </w:numPr>
        <w:rPr>
          <w:b/>
          <w:sz w:val="24"/>
          <w:szCs w:val="24"/>
        </w:rPr>
      </w:pPr>
      <w:r w:rsidRPr="004C0AD8">
        <w:rPr>
          <w:b/>
          <w:sz w:val="24"/>
          <w:szCs w:val="24"/>
        </w:rPr>
        <w:t>Arrears of rent are taxable on receipt after allowing 30 % from such amount.</w:t>
      </w:r>
    </w:p>
    <w:p w:rsidR="001A7A53" w:rsidRPr="004C0AD8" w:rsidRDefault="001A7A53" w:rsidP="001A7A53">
      <w:pPr>
        <w:pStyle w:val="ListParagraph"/>
        <w:rPr>
          <w:b/>
          <w:sz w:val="24"/>
          <w:szCs w:val="24"/>
        </w:rPr>
      </w:pPr>
    </w:p>
    <w:p w:rsidR="00D06545" w:rsidRPr="00D3626C" w:rsidRDefault="00DC1B79" w:rsidP="00894CB9">
      <w:pPr>
        <w:pStyle w:val="ListParagraph"/>
        <w:numPr>
          <w:ilvl w:val="0"/>
          <w:numId w:val="2"/>
        </w:numPr>
        <w:rPr>
          <w:sz w:val="24"/>
          <w:szCs w:val="24"/>
        </w:rPr>
      </w:pPr>
      <w:r w:rsidRPr="00D3626C">
        <w:rPr>
          <w:sz w:val="24"/>
          <w:szCs w:val="24"/>
        </w:rPr>
        <w:t>Deemed ownership is not applicable in case house is transferred to married minor daughter.</w:t>
      </w:r>
    </w:p>
    <w:sectPr w:rsidR="00D06545" w:rsidRPr="00D3626C" w:rsidSect="00A86374">
      <w:footerReference w:type="default" r:id="rId11"/>
      <w:pgSz w:w="12240" w:h="15840"/>
      <w:pgMar w:top="1440" w:right="1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31F9" w:rsidRDefault="005031F9" w:rsidP="00F83D50">
      <w:pPr>
        <w:spacing w:after="0" w:line="240" w:lineRule="auto"/>
      </w:pPr>
      <w:r>
        <w:separator/>
      </w:r>
    </w:p>
  </w:endnote>
  <w:endnote w:type="continuationSeparator" w:id="1">
    <w:p w:rsidR="005031F9" w:rsidRDefault="005031F9" w:rsidP="00F83D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2980"/>
      <w:docPartObj>
        <w:docPartGallery w:val="Page Numbers (Bottom of Page)"/>
        <w:docPartUnique/>
      </w:docPartObj>
    </w:sdtPr>
    <w:sdtContent>
      <w:sdt>
        <w:sdtPr>
          <w:id w:val="565050523"/>
          <w:docPartObj>
            <w:docPartGallery w:val="Page Numbers (Top of Page)"/>
            <w:docPartUnique/>
          </w:docPartObj>
        </w:sdtPr>
        <w:sdtContent>
          <w:p w:rsidR="00DC1B79" w:rsidRDefault="00DC1B79" w:rsidP="00F83D50">
            <w:pPr>
              <w:pStyle w:val="Footer"/>
              <w:pBdr>
                <w:top w:val="thinThickSmallGap" w:sz="24" w:space="1" w:color="622423" w:themeColor="accent2" w:themeShade="7F"/>
              </w:pBdr>
            </w:pPr>
          </w:p>
          <w:p w:rsidR="00165D48" w:rsidRDefault="00165D48" w:rsidP="00F83D50">
            <w:pPr>
              <w:pStyle w:val="Footer"/>
              <w:pBdr>
                <w:top w:val="thinThickSmallGap" w:sz="24" w:space="1" w:color="622423" w:themeColor="accent2" w:themeShade="7F"/>
              </w:pBdr>
              <w:rPr>
                <w:rFonts w:asciiTheme="majorHAnsi" w:hAnsiTheme="majorHAnsi"/>
              </w:rPr>
            </w:pPr>
            <w:r>
              <w:rPr>
                <w:rFonts w:asciiTheme="majorHAnsi" w:hAnsiTheme="majorHAnsi"/>
              </w:rPr>
              <w:t xml:space="preserve">By- Arif Farooqui </w:t>
            </w:r>
            <w:r>
              <w:rPr>
                <w:rFonts w:asciiTheme="majorHAnsi" w:hAnsiTheme="majorHAnsi"/>
              </w:rPr>
              <w:ptab w:relativeTo="margin" w:alignment="right" w:leader="none"/>
            </w:r>
          </w:p>
          <w:p w:rsidR="00165D48" w:rsidRDefault="00165D48" w:rsidP="00F83D50">
            <w:pPr>
              <w:pStyle w:val="Footer"/>
            </w:pPr>
            <w:r>
              <w:t>Cost Accountant</w:t>
            </w:r>
          </w:p>
          <w:p w:rsidR="00165D48" w:rsidRDefault="00165D48">
            <w:pPr>
              <w:pStyle w:val="Footer"/>
            </w:pPr>
            <w:r>
              <w:t xml:space="preserve">Cell no- 9919831357                                                                                                                                                            Page </w:t>
            </w:r>
            <w:r w:rsidR="00BF3E50">
              <w:rPr>
                <w:b/>
                <w:sz w:val="24"/>
                <w:szCs w:val="24"/>
              </w:rPr>
              <w:fldChar w:fldCharType="begin"/>
            </w:r>
            <w:r>
              <w:rPr>
                <w:b/>
              </w:rPr>
              <w:instrText xml:space="preserve"> PAGE </w:instrText>
            </w:r>
            <w:r w:rsidR="00BF3E50">
              <w:rPr>
                <w:b/>
                <w:sz w:val="24"/>
                <w:szCs w:val="24"/>
              </w:rPr>
              <w:fldChar w:fldCharType="separate"/>
            </w:r>
            <w:r w:rsidR="001A7A53">
              <w:rPr>
                <w:b/>
                <w:noProof/>
              </w:rPr>
              <w:t>2</w:t>
            </w:r>
            <w:r w:rsidR="00BF3E50">
              <w:rPr>
                <w:b/>
                <w:sz w:val="24"/>
                <w:szCs w:val="24"/>
              </w:rPr>
              <w:fldChar w:fldCharType="end"/>
            </w:r>
            <w:r>
              <w:t xml:space="preserve"> of </w:t>
            </w:r>
            <w:r w:rsidR="00BF3E50">
              <w:rPr>
                <w:b/>
                <w:sz w:val="24"/>
                <w:szCs w:val="24"/>
              </w:rPr>
              <w:fldChar w:fldCharType="begin"/>
            </w:r>
            <w:r>
              <w:rPr>
                <w:b/>
              </w:rPr>
              <w:instrText xml:space="preserve"> NUMPAGES  </w:instrText>
            </w:r>
            <w:r w:rsidR="00BF3E50">
              <w:rPr>
                <w:b/>
                <w:sz w:val="24"/>
                <w:szCs w:val="24"/>
              </w:rPr>
              <w:fldChar w:fldCharType="separate"/>
            </w:r>
            <w:r w:rsidR="001A7A53">
              <w:rPr>
                <w:b/>
                <w:noProof/>
              </w:rPr>
              <w:t>2</w:t>
            </w:r>
            <w:r w:rsidR="00BF3E50">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31F9" w:rsidRDefault="005031F9" w:rsidP="00F83D50">
      <w:pPr>
        <w:spacing w:after="0" w:line="240" w:lineRule="auto"/>
      </w:pPr>
      <w:r>
        <w:separator/>
      </w:r>
    </w:p>
  </w:footnote>
  <w:footnote w:type="continuationSeparator" w:id="1">
    <w:p w:rsidR="005031F9" w:rsidRDefault="005031F9" w:rsidP="00F83D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F11D6"/>
    <w:multiLevelType w:val="hybridMultilevel"/>
    <w:tmpl w:val="C3B82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B65031"/>
    <w:multiLevelType w:val="hybridMultilevel"/>
    <w:tmpl w:val="6F5240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E0F2D"/>
    <w:rsid w:val="000511CB"/>
    <w:rsid w:val="00165D48"/>
    <w:rsid w:val="001A7A53"/>
    <w:rsid w:val="002E0F2D"/>
    <w:rsid w:val="003B69A2"/>
    <w:rsid w:val="00451E94"/>
    <w:rsid w:val="00466C87"/>
    <w:rsid w:val="004C0AD8"/>
    <w:rsid w:val="005031F9"/>
    <w:rsid w:val="005300F0"/>
    <w:rsid w:val="00655C13"/>
    <w:rsid w:val="006F58D8"/>
    <w:rsid w:val="007F53C9"/>
    <w:rsid w:val="00894CB9"/>
    <w:rsid w:val="00934DB3"/>
    <w:rsid w:val="009E1677"/>
    <w:rsid w:val="00A707E0"/>
    <w:rsid w:val="00A86374"/>
    <w:rsid w:val="00A94471"/>
    <w:rsid w:val="00B06F67"/>
    <w:rsid w:val="00B26E6D"/>
    <w:rsid w:val="00BE4951"/>
    <w:rsid w:val="00BE7B9D"/>
    <w:rsid w:val="00BF3E50"/>
    <w:rsid w:val="00C95481"/>
    <w:rsid w:val="00D06545"/>
    <w:rsid w:val="00D3626C"/>
    <w:rsid w:val="00D46783"/>
    <w:rsid w:val="00D81252"/>
    <w:rsid w:val="00DC1B79"/>
    <w:rsid w:val="00EC0D34"/>
    <w:rsid w:val="00F14CD3"/>
    <w:rsid w:val="00F72269"/>
    <w:rsid w:val="00F82585"/>
    <w:rsid w:val="00F83D50"/>
    <w:rsid w:val="00F91D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8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0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F2D"/>
    <w:rPr>
      <w:rFonts w:ascii="Tahoma" w:hAnsi="Tahoma" w:cs="Tahoma"/>
      <w:sz w:val="16"/>
      <w:szCs w:val="16"/>
    </w:rPr>
  </w:style>
  <w:style w:type="paragraph" w:styleId="Header">
    <w:name w:val="header"/>
    <w:basedOn w:val="Normal"/>
    <w:link w:val="HeaderChar"/>
    <w:uiPriority w:val="99"/>
    <w:semiHidden/>
    <w:unhideWhenUsed/>
    <w:rsid w:val="00F83D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83D50"/>
  </w:style>
  <w:style w:type="paragraph" w:styleId="Footer">
    <w:name w:val="footer"/>
    <w:basedOn w:val="Normal"/>
    <w:link w:val="FooterChar"/>
    <w:uiPriority w:val="99"/>
    <w:unhideWhenUsed/>
    <w:rsid w:val="00F83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3D50"/>
  </w:style>
  <w:style w:type="paragraph" w:styleId="ListParagraph">
    <w:name w:val="List Paragraph"/>
    <w:basedOn w:val="Normal"/>
    <w:uiPriority w:val="34"/>
    <w:qFormat/>
    <w:rsid w:val="009E167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DE97B4-0A63-4AA3-B8FB-D1D0BA667A67}"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54B1E004-A954-4979-A5A1-C5B2948413B4}">
      <dgm:prSet phldrT="[Text]" custT="1"/>
      <dgm:spPr/>
      <dgm:t>
        <a:bodyPr/>
        <a:lstStyle/>
        <a:p>
          <a:r>
            <a:rPr lang="en-US" sz="1600"/>
            <a:t>Gross annual value of property                   Sec 23(1)</a:t>
          </a:r>
        </a:p>
      </dgm:t>
    </dgm:pt>
    <dgm:pt modelId="{8F7757C5-7651-4784-90F8-44E3793260A6}" type="parTrans" cxnId="{F34AECA6-6AFE-4EE1-BAE0-C6C363D3C3F5}">
      <dgm:prSet/>
      <dgm:spPr/>
      <dgm:t>
        <a:bodyPr/>
        <a:lstStyle/>
        <a:p>
          <a:endParaRPr lang="en-US"/>
        </a:p>
      </dgm:t>
    </dgm:pt>
    <dgm:pt modelId="{367A3D95-C051-42AB-997C-BF08225DCB93}" type="sibTrans" cxnId="{F34AECA6-6AFE-4EE1-BAE0-C6C363D3C3F5}">
      <dgm:prSet/>
      <dgm:spPr/>
      <dgm:t>
        <a:bodyPr/>
        <a:lstStyle/>
        <a:p>
          <a:endParaRPr lang="en-US"/>
        </a:p>
      </dgm:t>
    </dgm:pt>
    <dgm:pt modelId="{90AB2975-6E63-4B3F-807C-B8E683B2A64D}">
      <dgm:prSet phldrT="[Text]" custT="1"/>
      <dgm:spPr/>
      <dgm:t>
        <a:bodyPr/>
        <a:lstStyle/>
        <a:p>
          <a:r>
            <a:rPr lang="en-US" sz="1600"/>
            <a:t>House,let out through out p/y</a:t>
          </a:r>
        </a:p>
      </dgm:t>
    </dgm:pt>
    <dgm:pt modelId="{81DB37FE-9C42-49AD-BD82-6A1F913F7482}" type="parTrans" cxnId="{72613CDE-5ADB-4744-B288-8A1D3453B4AC}">
      <dgm:prSet/>
      <dgm:spPr/>
      <dgm:t>
        <a:bodyPr/>
        <a:lstStyle/>
        <a:p>
          <a:endParaRPr lang="en-US"/>
        </a:p>
      </dgm:t>
    </dgm:pt>
    <dgm:pt modelId="{326BBC02-052B-49C6-9621-899731B2E702}" type="sibTrans" cxnId="{72613CDE-5ADB-4744-B288-8A1D3453B4AC}">
      <dgm:prSet/>
      <dgm:spPr/>
      <dgm:t>
        <a:bodyPr/>
        <a:lstStyle/>
        <a:p>
          <a:endParaRPr lang="en-US"/>
        </a:p>
      </dgm:t>
    </dgm:pt>
    <dgm:pt modelId="{59EADC56-D4C2-4829-89C8-FF70CAE6E127}">
      <dgm:prSet phldrT="[Text]" custT="1"/>
      <dgm:spPr/>
      <dgm:t>
        <a:bodyPr/>
        <a:lstStyle/>
        <a:p>
          <a:r>
            <a:rPr lang="en-US" sz="1600"/>
            <a:t>Expected or actual rent which is higher</a:t>
          </a:r>
        </a:p>
      </dgm:t>
    </dgm:pt>
    <dgm:pt modelId="{4528A644-DEE4-4B3B-B1C8-37B113F432AC}" type="parTrans" cxnId="{41DDA3D4-539E-40F5-ABB4-9E5F9AB88B79}">
      <dgm:prSet/>
      <dgm:spPr/>
      <dgm:t>
        <a:bodyPr/>
        <a:lstStyle/>
        <a:p>
          <a:endParaRPr lang="en-US"/>
        </a:p>
      </dgm:t>
    </dgm:pt>
    <dgm:pt modelId="{BC34748A-B4BA-42DC-976F-5F016A05B73C}" type="sibTrans" cxnId="{41DDA3D4-539E-40F5-ABB4-9E5F9AB88B79}">
      <dgm:prSet/>
      <dgm:spPr/>
      <dgm:t>
        <a:bodyPr/>
        <a:lstStyle/>
        <a:p>
          <a:endParaRPr lang="en-US"/>
        </a:p>
      </dgm:t>
    </dgm:pt>
    <dgm:pt modelId="{E03A1D99-A774-4F4F-AA38-397D1050FA61}">
      <dgm:prSet phldrT="[Text]" custT="1"/>
      <dgm:spPr/>
      <dgm:t>
        <a:bodyPr/>
        <a:lstStyle/>
        <a:p>
          <a:r>
            <a:rPr lang="en-US" sz="1600"/>
            <a:t>House,let out and was vacant whole or part of p/y</a:t>
          </a:r>
        </a:p>
      </dgm:t>
    </dgm:pt>
    <dgm:pt modelId="{F41A369B-8893-4A24-A682-03928E9A5316}" type="parTrans" cxnId="{9A7064B4-4CFA-4A1A-AF76-2E9C2F310A92}">
      <dgm:prSet/>
      <dgm:spPr/>
      <dgm:t>
        <a:bodyPr/>
        <a:lstStyle/>
        <a:p>
          <a:endParaRPr lang="en-US"/>
        </a:p>
      </dgm:t>
    </dgm:pt>
    <dgm:pt modelId="{6AE44534-FEED-4CFD-B644-DFAF13DB4705}" type="sibTrans" cxnId="{9A7064B4-4CFA-4A1A-AF76-2E9C2F310A92}">
      <dgm:prSet/>
      <dgm:spPr/>
      <dgm:t>
        <a:bodyPr/>
        <a:lstStyle/>
        <a:p>
          <a:endParaRPr lang="en-US"/>
        </a:p>
      </dgm:t>
    </dgm:pt>
    <dgm:pt modelId="{75156253-7DC3-46D8-8CF4-D098A14B8F17}">
      <dgm:prSet phldrT="[Text]" custT="1"/>
      <dgm:spPr/>
      <dgm:t>
        <a:bodyPr/>
        <a:lstStyle/>
        <a:p>
          <a:r>
            <a:rPr lang="en-US" sz="1600"/>
            <a:t>Actual rent</a:t>
          </a:r>
        </a:p>
      </dgm:t>
    </dgm:pt>
    <dgm:pt modelId="{D645184D-6B70-403E-89B4-5921263D9ED6}" type="parTrans" cxnId="{5BCF258C-5180-4ADF-B962-7D4350A37ADD}">
      <dgm:prSet/>
      <dgm:spPr/>
      <dgm:t>
        <a:bodyPr/>
        <a:lstStyle/>
        <a:p>
          <a:endParaRPr lang="en-US"/>
        </a:p>
      </dgm:t>
    </dgm:pt>
    <dgm:pt modelId="{7A127A85-8531-469D-9658-1781F16B019B}" type="sibTrans" cxnId="{5BCF258C-5180-4ADF-B962-7D4350A37ADD}">
      <dgm:prSet/>
      <dgm:spPr/>
      <dgm:t>
        <a:bodyPr/>
        <a:lstStyle/>
        <a:p>
          <a:endParaRPr lang="en-US"/>
        </a:p>
      </dgm:t>
    </dgm:pt>
    <dgm:pt modelId="{16C14CB6-E844-4AE3-921D-985AE9AC3951}">
      <dgm:prSet custT="1"/>
      <dgm:spPr/>
      <dgm:t>
        <a:bodyPr/>
        <a:lstStyle/>
        <a:p>
          <a:r>
            <a:rPr lang="en-US" sz="1600"/>
            <a:t>House,let</a:t>
          </a:r>
          <a:r>
            <a:rPr lang="en-US" sz="1600" baseline="0"/>
            <a:t> out in part of year and was occupied for remaning part of the year</a:t>
          </a:r>
          <a:endParaRPr lang="en-US" sz="1600"/>
        </a:p>
      </dgm:t>
    </dgm:pt>
    <dgm:pt modelId="{8A068999-9100-43E6-ACC7-E4253DF67B5C}" type="parTrans" cxnId="{3C1A6651-662A-42EA-92E2-E6E8604DEEA3}">
      <dgm:prSet/>
      <dgm:spPr/>
      <dgm:t>
        <a:bodyPr/>
        <a:lstStyle/>
        <a:p>
          <a:endParaRPr lang="en-US"/>
        </a:p>
      </dgm:t>
    </dgm:pt>
    <dgm:pt modelId="{5AAC72E9-C6BB-436D-BE56-4BAB83913642}" type="sibTrans" cxnId="{3C1A6651-662A-42EA-92E2-E6E8604DEEA3}">
      <dgm:prSet/>
      <dgm:spPr/>
      <dgm:t>
        <a:bodyPr/>
        <a:lstStyle/>
        <a:p>
          <a:endParaRPr lang="en-US"/>
        </a:p>
      </dgm:t>
    </dgm:pt>
    <dgm:pt modelId="{D899E904-51A3-4E62-A182-6429A48B0F1F}">
      <dgm:prSet phldrT="[Text]" custT="1"/>
      <dgm:spPr/>
      <dgm:t>
        <a:bodyPr/>
        <a:lstStyle/>
        <a:p>
          <a:r>
            <a:rPr lang="en-US" sz="1400"/>
            <a:t>Expected or actual rent which is higher</a:t>
          </a:r>
        </a:p>
      </dgm:t>
    </dgm:pt>
    <dgm:pt modelId="{04B4BDD9-38A2-4CE4-8420-67E004729009}" type="parTrans" cxnId="{D43DEC46-BF0B-49AC-9B4F-C26BF2F46CA4}">
      <dgm:prSet/>
      <dgm:spPr/>
      <dgm:t>
        <a:bodyPr/>
        <a:lstStyle/>
        <a:p>
          <a:endParaRPr lang="en-US"/>
        </a:p>
      </dgm:t>
    </dgm:pt>
    <dgm:pt modelId="{5C5860CB-A923-465B-BE05-FD267D08C451}" type="sibTrans" cxnId="{D43DEC46-BF0B-49AC-9B4F-C26BF2F46CA4}">
      <dgm:prSet/>
      <dgm:spPr/>
      <dgm:t>
        <a:bodyPr/>
        <a:lstStyle/>
        <a:p>
          <a:endParaRPr lang="en-US"/>
        </a:p>
      </dgm:t>
    </dgm:pt>
    <dgm:pt modelId="{B539CE04-8D30-4EDF-8E84-09BF9F437570}" type="pres">
      <dgm:prSet presAssocID="{E9DE97B4-0A63-4AA3-B8FB-D1D0BA667A67}" presName="hierChild1" presStyleCnt="0">
        <dgm:presLayoutVars>
          <dgm:chPref val="1"/>
          <dgm:dir/>
          <dgm:animOne val="branch"/>
          <dgm:animLvl val="lvl"/>
          <dgm:resizeHandles/>
        </dgm:presLayoutVars>
      </dgm:prSet>
      <dgm:spPr/>
      <dgm:t>
        <a:bodyPr/>
        <a:lstStyle/>
        <a:p>
          <a:endParaRPr lang="en-US"/>
        </a:p>
      </dgm:t>
    </dgm:pt>
    <dgm:pt modelId="{C5E7AD6A-7531-44B5-80DB-04C219855B86}" type="pres">
      <dgm:prSet presAssocID="{54B1E004-A954-4979-A5A1-C5B2948413B4}" presName="hierRoot1" presStyleCnt="0"/>
      <dgm:spPr/>
      <dgm:t>
        <a:bodyPr/>
        <a:lstStyle/>
        <a:p>
          <a:endParaRPr lang="en-US"/>
        </a:p>
      </dgm:t>
    </dgm:pt>
    <dgm:pt modelId="{B42BA602-D556-486F-88CC-7874B841753D}" type="pres">
      <dgm:prSet presAssocID="{54B1E004-A954-4979-A5A1-C5B2948413B4}" presName="composite" presStyleCnt="0"/>
      <dgm:spPr/>
      <dgm:t>
        <a:bodyPr/>
        <a:lstStyle/>
        <a:p>
          <a:endParaRPr lang="en-US"/>
        </a:p>
      </dgm:t>
    </dgm:pt>
    <dgm:pt modelId="{098A4E12-F8DA-49D7-893E-21BE76714703}" type="pres">
      <dgm:prSet presAssocID="{54B1E004-A954-4979-A5A1-C5B2948413B4}" presName="background" presStyleLbl="node0" presStyleIdx="0" presStyleCnt="1"/>
      <dgm:spPr/>
      <dgm:t>
        <a:bodyPr/>
        <a:lstStyle/>
        <a:p>
          <a:endParaRPr lang="en-US"/>
        </a:p>
      </dgm:t>
    </dgm:pt>
    <dgm:pt modelId="{5CC14EC5-D2E4-4F65-B067-8560F1F7CBD9}" type="pres">
      <dgm:prSet presAssocID="{54B1E004-A954-4979-A5A1-C5B2948413B4}" presName="text" presStyleLbl="fgAcc0" presStyleIdx="0" presStyleCnt="1" custLinFactNeighborX="-9695" custLinFactNeighborY="-77772">
        <dgm:presLayoutVars>
          <dgm:chPref val="3"/>
        </dgm:presLayoutVars>
      </dgm:prSet>
      <dgm:spPr/>
      <dgm:t>
        <a:bodyPr/>
        <a:lstStyle/>
        <a:p>
          <a:endParaRPr lang="en-US"/>
        </a:p>
      </dgm:t>
    </dgm:pt>
    <dgm:pt modelId="{20D3A435-828A-4F9F-80DF-7C3E15767E98}" type="pres">
      <dgm:prSet presAssocID="{54B1E004-A954-4979-A5A1-C5B2948413B4}" presName="hierChild2" presStyleCnt="0"/>
      <dgm:spPr/>
      <dgm:t>
        <a:bodyPr/>
        <a:lstStyle/>
        <a:p>
          <a:endParaRPr lang="en-US"/>
        </a:p>
      </dgm:t>
    </dgm:pt>
    <dgm:pt modelId="{DBB59924-DF6C-431C-B2C8-239AD8709393}" type="pres">
      <dgm:prSet presAssocID="{81DB37FE-9C42-49AD-BD82-6A1F913F7482}" presName="Name10" presStyleLbl="parChTrans1D2" presStyleIdx="0" presStyleCnt="3"/>
      <dgm:spPr/>
      <dgm:t>
        <a:bodyPr/>
        <a:lstStyle/>
        <a:p>
          <a:endParaRPr lang="en-US"/>
        </a:p>
      </dgm:t>
    </dgm:pt>
    <dgm:pt modelId="{F993D5B9-99B2-4765-8766-93A6C077DD66}" type="pres">
      <dgm:prSet presAssocID="{90AB2975-6E63-4B3F-807C-B8E683B2A64D}" presName="hierRoot2" presStyleCnt="0"/>
      <dgm:spPr/>
      <dgm:t>
        <a:bodyPr/>
        <a:lstStyle/>
        <a:p>
          <a:endParaRPr lang="en-US"/>
        </a:p>
      </dgm:t>
    </dgm:pt>
    <dgm:pt modelId="{C8EF3538-85A8-4724-9BB9-D276F76D3D92}" type="pres">
      <dgm:prSet presAssocID="{90AB2975-6E63-4B3F-807C-B8E683B2A64D}" presName="composite2" presStyleCnt="0"/>
      <dgm:spPr/>
      <dgm:t>
        <a:bodyPr/>
        <a:lstStyle/>
        <a:p>
          <a:endParaRPr lang="en-US"/>
        </a:p>
      </dgm:t>
    </dgm:pt>
    <dgm:pt modelId="{4E7EDE81-5E83-4533-B94E-1CBCD3DE7732}" type="pres">
      <dgm:prSet presAssocID="{90AB2975-6E63-4B3F-807C-B8E683B2A64D}" presName="background2" presStyleLbl="node2" presStyleIdx="0" presStyleCnt="3"/>
      <dgm:spPr/>
      <dgm:t>
        <a:bodyPr/>
        <a:lstStyle/>
        <a:p>
          <a:endParaRPr lang="en-US"/>
        </a:p>
      </dgm:t>
    </dgm:pt>
    <dgm:pt modelId="{94E16B4D-91E5-43E6-806D-49C19A8FF8A0}" type="pres">
      <dgm:prSet presAssocID="{90AB2975-6E63-4B3F-807C-B8E683B2A64D}" presName="text2" presStyleLbl="fgAcc2" presStyleIdx="0" presStyleCnt="3" custLinFactNeighborX="-42" custLinFactNeighborY="-55296">
        <dgm:presLayoutVars>
          <dgm:chPref val="3"/>
        </dgm:presLayoutVars>
      </dgm:prSet>
      <dgm:spPr/>
      <dgm:t>
        <a:bodyPr/>
        <a:lstStyle/>
        <a:p>
          <a:endParaRPr lang="en-US"/>
        </a:p>
      </dgm:t>
    </dgm:pt>
    <dgm:pt modelId="{D1E74A05-25B1-4A79-8DAE-C1305B95BC08}" type="pres">
      <dgm:prSet presAssocID="{90AB2975-6E63-4B3F-807C-B8E683B2A64D}" presName="hierChild3" presStyleCnt="0"/>
      <dgm:spPr/>
      <dgm:t>
        <a:bodyPr/>
        <a:lstStyle/>
        <a:p>
          <a:endParaRPr lang="en-US"/>
        </a:p>
      </dgm:t>
    </dgm:pt>
    <dgm:pt modelId="{CE87214D-0B88-4B56-97E2-AFDB0BFB9B42}" type="pres">
      <dgm:prSet presAssocID="{4528A644-DEE4-4B3B-B1C8-37B113F432AC}" presName="Name17" presStyleLbl="parChTrans1D3" presStyleIdx="0" presStyleCnt="3"/>
      <dgm:spPr/>
      <dgm:t>
        <a:bodyPr/>
        <a:lstStyle/>
        <a:p>
          <a:endParaRPr lang="en-US"/>
        </a:p>
      </dgm:t>
    </dgm:pt>
    <dgm:pt modelId="{7C34E69E-77D2-49A5-B1CC-ED0EF583FB74}" type="pres">
      <dgm:prSet presAssocID="{59EADC56-D4C2-4829-89C8-FF70CAE6E127}" presName="hierRoot3" presStyleCnt="0"/>
      <dgm:spPr/>
      <dgm:t>
        <a:bodyPr/>
        <a:lstStyle/>
        <a:p>
          <a:endParaRPr lang="en-US"/>
        </a:p>
      </dgm:t>
    </dgm:pt>
    <dgm:pt modelId="{463489D4-53D0-4BA3-AFF9-7E02545F74DB}" type="pres">
      <dgm:prSet presAssocID="{59EADC56-D4C2-4829-89C8-FF70CAE6E127}" presName="composite3" presStyleCnt="0"/>
      <dgm:spPr/>
      <dgm:t>
        <a:bodyPr/>
        <a:lstStyle/>
        <a:p>
          <a:endParaRPr lang="en-US"/>
        </a:p>
      </dgm:t>
    </dgm:pt>
    <dgm:pt modelId="{D0573B73-10C1-4F91-A04F-D6C8D75B2C9F}" type="pres">
      <dgm:prSet presAssocID="{59EADC56-D4C2-4829-89C8-FF70CAE6E127}" presName="background3" presStyleLbl="node3" presStyleIdx="0" presStyleCnt="3"/>
      <dgm:spPr/>
      <dgm:t>
        <a:bodyPr/>
        <a:lstStyle/>
        <a:p>
          <a:endParaRPr lang="en-US"/>
        </a:p>
      </dgm:t>
    </dgm:pt>
    <dgm:pt modelId="{B9562A6B-3DA5-4718-9DD1-33B0DA5B9929}" type="pres">
      <dgm:prSet presAssocID="{59EADC56-D4C2-4829-89C8-FF70CAE6E127}" presName="text3" presStyleLbl="fgAcc3" presStyleIdx="0" presStyleCnt="3" custLinFactNeighborX="-41" custLinFactNeighborY="-38834">
        <dgm:presLayoutVars>
          <dgm:chPref val="3"/>
        </dgm:presLayoutVars>
      </dgm:prSet>
      <dgm:spPr/>
      <dgm:t>
        <a:bodyPr/>
        <a:lstStyle/>
        <a:p>
          <a:endParaRPr lang="en-US"/>
        </a:p>
      </dgm:t>
    </dgm:pt>
    <dgm:pt modelId="{DF2AB027-AE79-41A7-81C9-183B74F3BDF3}" type="pres">
      <dgm:prSet presAssocID="{59EADC56-D4C2-4829-89C8-FF70CAE6E127}" presName="hierChild4" presStyleCnt="0"/>
      <dgm:spPr/>
      <dgm:t>
        <a:bodyPr/>
        <a:lstStyle/>
        <a:p>
          <a:endParaRPr lang="en-US"/>
        </a:p>
      </dgm:t>
    </dgm:pt>
    <dgm:pt modelId="{96E97E0C-6F79-4544-B21D-1DC2D6B0737A}" type="pres">
      <dgm:prSet presAssocID="{F41A369B-8893-4A24-A682-03928E9A5316}" presName="Name10" presStyleLbl="parChTrans1D2" presStyleIdx="1" presStyleCnt="3"/>
      <dgm:spPr/>
      <dgm:t>
        <a:bodyPr/>
        <a:lstStyle/>
        <a:p>
          <a:endParaRPr lang="en-US"/>
        </a:p>
      </dgm:t>
    </dgm:pt>
    <dgm:pt modelId="{87D2C3F3-F4A3-449D-9A2A-967639BAF518}" type="pres">
      <dgm:prSet presAssocID="{E03A1D99-A774-4F4F-AA38-397D1050FA61}" presName="hierRoot2" presStyleCnt="0"/>
      <dgm:spPr/>
      <dgm:t>
        <a:bodyPr/>
        <a:lstStyle/>
        <a:p>
          <a:endParaRPr lang="en-US"/>
        </a:p>
      </dgm:t>
    </dgm:pt>
    <dgm:pt modelId="{556D8A6E-40DB-4DA7-BCEC-2E0B47AAE9B7}" type="pres">
      <dgm:prSet presAssocID="{E03A1D99-A774-4F4F-AA38-397D1050FA61}" presName="composite2" presStyleCnt="0"/>
      <dgm:spPr/>
      <dgm:t>
        <a:bodyPr/>
        <a:lstStyle/>
        <a:p>
          <a:endParaRPr lang="en-US"/>
        </a:p>
      </dgm:t>
    </dgm:pt>
    <dgm:pt modelId="{397066FD-69FC-4A4F-9F0F-4CD173F2033F}" type="pres">
      <dgm:prSet presAssocID="{E03A1D99-A774-4F4F-AA38-397D1050FA61}" presName="background2" presStyleLbl="node2" presStyleIdx="1" presStyleCnt="3"/>
      <dgm:spPr/>
      <dgm:t>
        <a:bodyPr/>
        <a:lstStyle/>
        <a:p>
          <a:endParaRPr lang="en-US"/>
        </a:p>
      </dgm:t>
    </dgm:pt>
    <dgm:pt modelId="{DF802684-9F59-4FFF-A329-B2670527BF87}" type="pres">
      <dgm:prSet presAssocID="{E03A1D99-A774-4F4F-AA38-397D1050FA61}" presName="text2" presStyleLbl="fgAcc2" presStyleIdx="1" presStyleCnt="3" custLinFactNeighborX="-5889" custLinFactNeighborY="-53259">
        <dgm:presLayoutVars>
          <dgm:chPref val="3"/>
        </dgm:presLayoutVars>
      </dgm:prSet>
      <dgm:spPr/>
      <dgm:t>
        <a:bodyPr/>
        <a:lstStyle/>
        <a:p>
          <a:endParaRPr lang="en-US"/>
        </a:p>
      </dgm:t>
    </dgm:pt>
    <dgm:pt modelId="{22221428-644F-43C1-B371-814D1D712F75}" type="pres">
      <dgm:prSet presAssocID="{E03A1D99-A774-4F4F-AA38-397D1050FA61}" presName="hierChild3" presStyleCnt="0"/>
      <dgm:spPr/>
      <dgm:t>
        <a:bodyPr/>
        <a:lstStyle/>
        <a:p>
          <a:endParaRPr lang="en-US"/>
        </a:p>
      </dgm:t>
    </dgm:pt>
    <dgm:pt modelId="{A872DA14-F5A2-4437-976B-551A2D49BF3F}" type="pres">
      <dgm:prSet presAssocID="{D645184D-6B70-403E-89B4-5921263D9ED6}" presName="Name17" presStyleLbl="parChTrans1D3" presStyleIdx="1" presStyleCnt="3"/>
      <dgm:spPr/>
      <dgm:t>
        <a:bodyPr/>
        <a:lstStyle/>
        <a:p>
          <a:endParaRPr lang="en-US"/>
        </a:p>
      </dgm:t>
    </dgm:pt>
    <dgm:pt modelId="{232B478F-BC69-45DA-BCB9-4772758FAEB2}" type="pres">
      <dgm:prSet presAssocID="{75156253-7DC3-46D8-8CF4-D098A14B8F17}" presName="hierRoot3" presStyleCnt="0"/>
      <dgm:spPr/>
      <dgm:t>
        <a:bodyPr/>
        <a:lstStyle/>
        <a:p>
          <a:endParaRPr lang="en-US"/>
        </a:p>
      </dgm:t>
    </dgm:pt>
    <dgm:pt modelId="{8C5901DC-F300-4453-A81E-0BE6348D7A9C}" type="pres">
      <dgm:prSet presAssocID="{75156253-7DC3-46D8-8CF4-D098A14B8F17}" presName="composite3" presStyleCnt="0"/>
      <dgm:spPr/>
      <dgm:t>
        <a:bodyPr/>
        <a:lstStyle/>
        <a:p>
          <a:endParaRPr lang="en-US"/>
        </a:p>
      </dgm:t>
    </dgm:pt>
    <dgm:pt modelId="{16DA9BB9-94A7-444E-87DA-53B73382A399}" type="pres">
      <dgm:prSet presAssocID="{75156253-7DC3-46D8-8CF4-D098A14B8F17}" presName="background3" presStyleLbl="node3" presStyleIdx="1" presStyleCnt="3"/>
      <dgm:spPr/>
      <dgm:t>
        <a:bodyPr/>
        <a:lstStyle/>
        <a:p>
          <a:endParaRPr lang="en-US"/>
        </a:p>
      </dgm:t>
    </dgm:pt>
    <dgm:pt modelId="{7EF624ED-5C2F-4F85-9CA0-A71E2C3B8662}" type="pres">
      <dgm:prSet presAssocID="{75156253-7DC3-46D8-8CF4-D098A14B8F17}" presName="text3" presStyleLbl="fgAcc3" presStyleIdx="1" presStyleCnt="3" custLinFactNeighborX="-5696" custLinFactNeighborY="-27609">
        <dgm:presLayoutVars>
          <dgm:chPref val="3"/>
        </dgm:presLayoutVars>
      </dgm:prSet>
      <dgm:spPr/>
      <dgm:t>
        <a:bodyPr/>
        <a:lstStyle/>
        <a:p>
          <a:endParaRPr lang="en-US"/>
        </a:p>
      </dgm:t>
    </dgm:pt>
    <dgm:pt modelId="{5EE0DA4A-F0B0-4BCB-A873-00CEF4BDF92A}" type="pres">
      <dgm:prSet presAssocID="{75156253-7DC3-46D8-8CF4-D098A14B8F17}" presName="hierChild4" presStyleCnt="0"/>
      <dgm:spPr/>
      <dgm:t>
        <a:bodyPr/>
        <a:lstStyle/>
        <a:p>
          <a:endParaRPr lang="en-US"/>
        </a:p>
      </dgm:t>
    </dgm:pt>
    <dgm:pt modelId="{0C0953B4-3746-4A76-BCB4-DFA2AE7FAABE}" type="pres">
      <dgm:prSet presAssocID="{8A068999-9100-43E6-ACC7-E4253DF67B5C}" presName="Name10" presStyleLbl="parChTrans1D2" presStyleIdx="2" presStyleCnt="3"/>
      <dgm:spPr/>
      <dgm:t>
        <a:bodyPr/>
        <a:lstStyle/>
        <a:p>
          <a:endParaRPr lang="en-US"/>
        </a:p>
      </dgm:t>
    </dgm:pt>
    <dgm:pt modelId="{58A846E7-93FF-470D-B4BA-B3B43CE1BCEE}" type="pres">
      <dgm:prSet presAssocID="{16C14CB6-E844-4AE3-921D-985AE9AC3951}" presName="hierRoot2" presStyleCnt="0"/>
      <dgm:spPr/>
      <dgm:t>
        <a:bodyPr/>
        <a:lstStyle/>
        <a:p>
          <a:endParaRPr lang="en-US"/>
        </a:p>
      </dgm:t>
    </dgm:pt>
    <dgm:pt modelId="{9D787581-03B6-46B2-8BEB-28FAE12375C6}" type="pres">
      <dgm:prSet presAssocID="{16C14CB6-E844-4AE3-921D-985AE9AC3951}" presName="composite2" presStyleCnt="0"/>
      <dgm:spPr/>
      <dgm:t>
        <a:bodyPr/>
        <a:lstStyle/>
        <a:p>
          <a:endParaRPr lang="en-US"/>
        </a:p>
      </dgm:t>
    </dgm:pt>
    <dgm:pt modelId="{652BE358-8876-41D7-B2BC-3E811B655F4A}" type="pres">
      <dgm:prSet presAssocID="{16C14CB6-E844-4AE3-921D-985AE9AC3951}" presName="background2" presStyleLbl="node2" presStyleIdx="2" presStyleCnt="3"/>
      <dgm:spPr/>
      <dgm:t>
        <a:bodyPr/>
        <a:lstStyle/>
        <a:p>
          <a:endParaRPr lang="en-US"/>
        </a:p>
      </dgm:t>
    </dgm:pt>
    <dgm:pt modelId="{928FF237-1100-4C02-8BF3-FEDD6657FD57}" type="pres">
      <dgm:prSet presAssocID="{16C14CB6-E844-4AE3-921D-985AE9AC3951}" presName="text2" presStyleLbl="fgAcc2" presStyleIdx="2" presStyleCnt="3" custScaleX="111387" custScaleY="110374" custLinFactNeighborX="-15656" custLinFactNeighborY="-56131">
        <dgm:presLayoutVars>
          <dgm:chPref val="3"/>
        </dgm:presLayoutVars>
      </dgm:prSet>
      <dgm:spPr/>
      <dgm:t>
        <a:bodyPr/>
        <a:lstStyle/>
        <a:p>
          <a:endParaRPr lang="en-US"/>
        </a:p>
      </dgm:t>
    </dgm:pt>
    <dgm:pt modelId="{C498C3F5-EB8D-4591-971B-CB9C657721C0}" type="pres">
      <dgm:prSet presAssocID="{16C14CB6-E844-4AE3-921D-985AE9AC3951}" presName="hierChild3" presStyleCnt="0"/>
      <dgm:spPr/>
      <dgm:t>
        <a:bodyPr/>
        <a:lstStyle/>
        <a:p>
          <a:endParaRPr lang="en-US"/>
        </a:p>
      </dgm:t>
    </dgm:pt>
    <dgm:pt modelId="{923CBA2F-29C4-4617-8E33-B88B66960824}" type="pres">
      <dgm:prSet presAssocID="{04B4BDD9-38A2-4CE4-8420-67E004729009}" presName="Name17" presStyleLbl="parChTrans1D3" presStyleIdx="2" presStyleCnt="3"/>
      <dgm:spPr/>
      <dgm:t>
        <a:bodyPr/>
        <a:lstStyle/>
        <a:p>
          <a:endParaRPr lang="en-US"/>
        </a:p>
      </dgm:t>
    </dgm:pt>
    <dgm:pt modelId="{278CEA2E-8844-4729-A021-5A70237AAB9A}" type="pres">
      <dgm:prSet presAssocID="{D899E904-51A3-4E62-A182-6429A48B0F1F}" presName="hierRoot3" presStyleCnt="0"/>
      <dgm:spPr/>
      <dgm:t>
        <a:bodyPr/>
        <a:lstStyle/>
        <a:p>
          <a:endParaRPr lang="en-US"/>
        </a:p>
      </dgm:t>
    </dgm:pt>
    <dgm:pt modelId="{D7B2F843-1790-4D37-A47D-9217AF6A259E}" type="pres">
      <dgm:prSet presAssocID="{D899E904-51A3-4E62-A182-6429A48B0F1F}" presName="composite3" presStyleCnt="0"/>
      <dgm:spPr/>
      <dgm:t>
        <a:bodyPr/>
        <a:lstStyle/>
        <a:p>
          <a:endParaRPr lang="en-US"/>
        </a:p>
      </dgm:t>
    </dgm:pt>
    <dgm:pt modelId="{7F48E8A9-E529-42A2-AF5E-BAC4D82C1102}" type="pres">
      <dgm:prSet presAssocID="{D899E904-51A3-4E62-A182-6429A48B0F1F}" presName="background3" presStyleLbl="node3" presStyleIdx="2" presStyleCnt="3"/>
      <dgm:spPr/>
      <dgm:t>
        <a:bodyPr/>
        <a:lstStyle/>
        <a:p>
          <a:endParaRPr lang="en-US"/>
        </a:p>
      </dgm:t>
    </dgm:pt>
    <dgm:pt modelId="{00F3D8EC-41B4-4E95-BE44-F0F1F0549277}" type="pres">
      <dgm:prSet presAssocID="{D899E904-51A3-4E62-A182-6429A48B0F1F}" presName="text3" presStyleLbl="fgAcc3" presStyleIdx="2" presStyleCnt="3" custLinFactNeighborX="-16091" custLinFactNeighborY="-40688">
        <dgm:presLayoutVars>
          <dgm:chPref val="3"/>
        </dgm:presLayoutVars>
      </dgm:prSet>
      <dgm:spPr/>
      <dgm:t>
        <a:bodyPr/>
        <a:lstStyle/>
        <a:p>
          <a:endParaRPr lang="en-US"/>
        </a:p>
      </dgm:t>
    </dgm:pt>
    <dgm:pt modelId="{1BE25B27-37AF-4BE5-9A31-FCD41CFD8428}" type="pres">
      <dgm:prSet presAssocID="{D899E904-51A3-4E62-A182-6429A48B0F1F}" presName="hierChild4" presStyleCnt="0"/>
      <dgm:spPr/>
      <dgm:t>
        <a:bodyPr/>
        <a:lstStyle/>
        <a:p>
          <a:endParaRPr lang="en-US"/>
        </a:p>
      </dgm:t>
    </dgm:pt>
  </dgm:ptLst>
  <dgm:cxnLst>
    <dgm:cxn modelId="{AE35F9F0-B05B-4E47-B5DE-FFF5CBCD334B}" type="presOf" srcId="{4528A644-DEE4-4B3B-B1C8-37B113F432AC}" destId="{CE87214D-0B88-4B56-97E2-AFDB0BFB9B42}" srcOrd="0" destOrd="0" presId="urn:microsoft.com/office/officeart/2005/8/layout/hierarchy1"/>
    <dgm:cxn modelId="{51195F13-698E-4581-BC86-D3276412F459}" type="presOf" srcId="{59EADC56-D4C2-4829-89C8-FF70CAE6E127}" destId="{B9562A6B-3DA5-4718-9DD1-33B0DA5B9929}" srcOrd="0" destOrd="0" presId="urn:microsoft.com/office/officeart/2005/8/layout/hierarchy1"/>
    <dgm:cxn modelId="{69E8ADC0-DD2D-447F-82FB-E514C8A07FFD}" type="presOf" srcId="{E03A1D99-A774-4F4F-AA38-397D1050FA61}" destId="{DF802684-9F59-4FFF-A329-B2670527BF87}" srcOrd="0" destOrd="0" presId="urn:microsoft.com/office/officeart/2005/8/layout/hierarchy1"/>
    <dgm:cxn modelId="{5CF69CE3-4B55-4A8A-B832-E7384D395EB7}" type="presOf" srcId="{54B1E004-A954-4979-A5A1-C5B2948413B4}" destId="{5CC14EC5-D2E4-4F65-B067-8560F1F7CBD9}" srcOrd="0" destOrd="0" presId="urn:microsoft.com/office/officeart/2005/8/layout/hierarchy1"/>
    <dgm:cxn modelId="{861F3D2F-78E3-48F9-B703-F74B6B72F01E}" type="presOf" srcId="{F41A369B-8893-4A24-A682-03928E9A5316}" destId="{96E97E0C-6F79-4544-B21D-1DC2D6B0737A}" srcOrd="0" destOrd="0" presId="urn:microsoft.com/office/officeart/2005/8/layout/hierarchy1"/>
    <dgm:cxn modelId="{4DA937F5-F7F2-4088-8E2C-A1DDAF7154CD}" type="presOf" srcId="{E9DE97B4-0A63-4AA3-B8FB-D1D0BA667A67}" destId="{B539CE04-8D30-4EDF-8E84-09BF9F437570}" srcOrd="0" destOrd="0" presId="urn:microsoft.com/office/officeart/2005/8/layout/hierarchy1"/>
    <dgm:cxn modelId="{9805CE16-BA3C-4531-8B1D-93F562C99F82}" type="presOf" srcId="{81DB37FE-9C42-49AD-BD82-6A1F913F7482}" destId="{DBB59924-DF6C-431C-B2C8-239AD8709393}" srcOrd="0" destOrd="0" presId="urn:microsoft.com/office/officeart/2005/8/layout/hierarchy1"/>
    <dgm:cxn modelId="{5BCF258C-5180-4ADF-B962-7D4350A37ADD}" srcId="{E03A1D99-A774-4F4F-AA38-397D1050FA61}" destId="{75156253-7DC3-46D8-8CF4-D098A14B8F17}" srcOrd="0" destOrd="0" parTransId="{D645184D-6B70-403E-89B4-5921263D9ED6}" sibTransId="{7A127A85-8531-469D-9658-1781F16B019B}"/>
    <dgm:cxn modelId="{E406D757-0A97-4875-94D3-B5CAD8B8EE99}" type="presOf" srcId="{04B4BDD9-38A2-4CE4-8420-67E004729009}" destId="{923CBA2F-29C4-4617-8E33-B88B66960824}" srcOrd="0" destOrd="0" presId="urn:microsoft.com/office/officeart/2005/8/layout/hierarchy1"/>
    <dgm:cxn modelId="{72613CDE-5ADB-4744-B288-8A1D3453B4AC}" srcId="{54B1E004-A954-4979-A5A1-C5B2948413B4}" destId="{90AB2975-6E63-4B3F-807C-B8E683B2A64D}" srcOrd="0" destOrd="0" parTransId="{81DB37FE-9C42-49AD-BD82-6A1F913F7482}" sibTransId="{326BBC02-052B-49C6-9621-899731B2E702}"/>
    <dgm:cxn modelId="{3C1E46D8-C1AF-485C-B01B-CD4DEA7B73BE}" type="presOf" srcId="{90AB2975-6E63-4B3F-807C-B8E683B2A64D}" destId="{94E16B4D-91E5-43E6-806D-49C19A8FF8A0}" srcOrd="0" destOrd="0" presId="urn:microsoft.com/office/officeart/2005/8/layout/hierarchy1"/>
    <dgm:cxn modelId="{D43DEC46-BF0B-49AC-9B4F-C26BF2F46CA4}" srcId="{16C14CB6-E844-4AE3-921D-985AE9AC3951}" destId="{D899E904-51A3-4E62-A182-6429A48B0F1F}" srcOrd="0" destOrd="0" parTransId="{04B4BDD9-38A2-4CE4-8420-67E004729009}" sibTransId="{5C5860CB-A923-465B-BE05-FD267D08C451}"/>
    <dgm:cxn modelId="{C61B3490-FC5A-4B6B-ACA6-2A15DD6E61F0}" type="presOf" srcId="{D645184D-6B70-403E-89B4-5921263D9ED6}" destId="{A872DA14-F5A2-4437-976B-551A2D49BF3F}" srcOrd="0" destOrd="0" presId="urn:microsoft.com/office/officeart/2005/8/layout/hierarchy1"/>
    <dgm:cxn modelId="{9A7064B4-4CFA-4A1A-AF76-2E9C2F310A92}" srcId="{54B1E004-A954-4979-A5A1-C5B2948413B4}" destId="{E03A1D99-A774-4F4F-AA38-397D1050FA61}" srcOrd="1" destOrd="0" parTransId="{F41A369B-8893-4A24-A682-03928E9A5316}" sibTransId="{6AE44534-FEED-4CFD-B644-DFAF13DB4705}"/>
    <dgm:cxn modelId="{F34AECA6-6AFE-4EE1-BAE0-C6C363D3C3F5}" srcId="{E9DE97B4-0A63-4AA3-B8FB-D1D0BA667A67}" destId="{54B1E004-A954-4979-A5A1-C5B2948413B4}" srcOrd="0" destOrd="0" parTransId="{8F7757C5-7651-4784-90F8-44E3793260A6}" sibTransId="{367A3D95-C051-42AB-997C-BF08225DCB93}"/>
    <dgm:cxn modelId="{A32C8E20-2C42-4003-9222-195CDD5001C4}" type="presOf" srcId="{D899E904-51A3-4E62-A182-6429A48B0F1F}" destId="{00F3D8EC-41B4-4E95-BE44-F0F1F0549277}" srcOrd="0" destOrd="0" presId="urn:microsoft.com/office/officeart/2005/8/layout/hierarchy1"/>
    <dgm:cxn modelId="{41DDA3D4-539E-40F5-ABB4-9E5F9AB88B79}" srcId="{90AB2975-6E63-4B3F-807C-B8E683B2A64D}" destId="{59EADC56-D4C2-4829-89C8-FF70CAE6E127}" srcOrd="0" destOrd="0" parTransId="{4528A644-DEE4-4B3B-B1C8-37B113F432AC}" sibTransId="{BC34748A-B4BA-42DC-976F-5F016A05B73C}"/>
    <dgm:cxn modelId="{73AC37DE-4340-4DEB-9720-1DDA674A3748}" type="presOf" srcId="{16C14CB6-E844-4AE3-921D-985AE9AC3951}" destId="{928FF237-1100-4C02-8BF3-FEDD6657FD57}" srcOrd="0" destOrd="0" presId="urn:microsoft.com/office/officeart/2005/8/layout/hierarchy1"/>
    <dgm:cxn modelId="{19EDF4CC-1A7C-4601-B27D-EE3935A415C8}" type="presOf" srcId="{75156253-7DC3-46D8-8CF4-D098A14B8F17}" destId="{7EF624ED-5C2F-4F85-9CA0-A71E2C3B8662}" srcOrd="0" destOrd="0" presId="urn:microsoft.com/office/officeart/2005/8/layout/hierarchy1"/>
    <dgm:cxn modelId="{3C1A6651-662A-42EA-92E2-E6E8604DEEA3}" srcId="{54B1E004-A954-4979-A5A1-C5B2948413B4}" destId="{16C14CB6-E844-4AE3-921D-985AE9AC3951}" srcOrd="2" destOrd="0" parTransId="{8A068999-9100-43E6-ACC7-E4253DF67B5C}" sibTransId="{5AAC72E9-C6BB-436D-BE56-4BAB83913642}"/>
    <dgm:cxn modelId="{8C8AB275-6A66-48F4-A6CC-EED24230B293}" type="presOf" srcId="{8A068999-9100-43E6-ACC7-E4253DF67B5C}" destId="{0C0953B4-3746-4A76-BCB4-DFA2AE7FAABE}" srcOrd="0" destOrd="0" presId="urn:microsoft.com/office/officeart/2005/8/layout/hierarchy1"/>
    <dgm:cxn modelId="{8024F72C-F8B3-4381-8DFF-5232F0C22C5B}" type="presParOf" srcId="{B539CE04-8D30-4EDF-8E84-09BF9F437570}" destId="{C5E7AD6A-7531-44B5-80DB-04C219855B86}" srcOrd="0" destOrd="0" presId="urn:microsoft.com/office/officeart/2005/8/layout/hierarchy1"/>
    <dgm:cxn modelId="{D47516E5-C6A7-4A30-A315-7E729C4B1E96}" type="presParOf" srcId="{C5E7AD6A-7531-44B5-80DB-04C219855B86}" destId="{B42BA602-D556-486F-88CC-7874B841753D}" srcOrd="0" destOrd="0" presId="urn:microsoft.com/office/officeart/2005/8/layout/hierarchy1"/>
    <dgm:cxn modelId="{043324BF-58D5-4914-9703-7C1E5FFA7A6F}" type="presParOf" srcId="{B42BA602-D556-486F-88CC-7874B841753D}" destId="{098A4E12-F8DA-49D7-893E-21BE76714703}" srcOrd="0" destOrd="0" presId="urn:microsoft.com/office/officeart/2005/8/layout/hierarchy1"/>
    <dgm:cxn modelId="{F0278BFA-5F35-4650-87AE-159420026B0E}" type="presParOf" srcId="{B42BA602-D556-486F-88CC-7874B841753D}" destId="{5CC14EC5-D2E4-4F65-B067-8560F1F7CBD9}" srcOrd="1" destOrd="0" presId="urn:microsoft.com/office/officeart/2005/8/layout/hierarchy1"/>
    <dgm:cxn modelId="{73DFF365-285D-4ADB-9D80-AC2B001F2729}" type="presParOf" srcId="{C5E7AD6A-7531-44B5-80DB-04C219855B86}" destId="{20D3A435-828A-4F9F-80DF-7C3E15767E98}" srcOrd="1" destOrd="0" presId="urn:microsoft.com/office/officeart/2005/8/layout/hierarchy1"/>
    <dgm:cxn modelId="{5004A235-9DDF-46BB-B9A6-2B64F574575D}" type="presParOf" srcId="{20D3A435-828A-4F9F-80DF-7C3E15767E98}" destId="{DBB59924-DF6C-431C-B2C8-239AD8709393}" srcOrd="0" destOrd="0" presId="urn:microsoft.com/office/officeart/2005/8/layout/hierarchy1"/>
    <dgm:cxn modelId="{5D7603FB-9080-4BE9-80DF-084647EE5C67}" type="presParOf" srcId="{20D3A435-828A-4F9F-80DF-7C3E15767E98}" destId="{F993D5B9-99B2-4765-8766-93A6C077DD66}" srcOrd="1" destOrd="0" presId="urn:microsoft.com/office/officeart/2005/8/layout/hierarchy1"/>
    <dgm:cxn modelId="{586D91FD-74C8-4580-BF26-8C64451D2E3E}" type="presParOf" srcId="{F993D5B9-99B2-4765-8766-93A6C077DD66}" destId="{C8EF3538-85A8-4724-9BB9-D276F76D3D92}" srcOrd="0" destOrd="0" presId="urn:microsoft.com/office/officeart/2005/8/layout/hierarchy1"/>
    <dgm:cxn modelId="{BC55B741-ED28-4661-B1FD-118F8DF8D2F7}" type="presParOf" srcId="{C8EF3538-85A8-4724-9BB9-D276F76D3D92}" destId="{4E7EDE81-5E83-4533-B94E-1CBCD3DE7732}" srcOrd="0" destOrd="0" presId="urn:microsoft.com/office/officeart/2005/8/layout/hierarchy1"/>
    <dgm:cxn modelId="{C5FF95CC-A584-4607-9F11-D4CF7E56195B}" type="presParOf" srcId="{C8EF3538-85A8-4724-9BB9-D276F76D3D92}" destId="{94E16B4D-91E5-43E6-806D-49C19A8FF8A0}" srcOrd="1" destOrd="0" presId="urn:microsoft.com/office/officeart/2005/8/layout/hierarchy1"/>
    <dgm:cxn modelId="{E08D55CC-BDC4-47BE-A06D-361C0D5D7EC5}" type="presParOf" srcId="{F993D5B9-99B2-4765-8766-93A6C077DD66}" destId="{D1E74A05-25B1-4A79-8DAE-C1305B95BC08}" srcOrd="1" destOrd="0" presId="urn:microsoft.com/office/officeart/2005/8/layout/hierarchy1"/>
    <dgm:cxn modelId="{896334C1-078C-44F6-8C33-8F5AFA8C8208}" type="presParOf" srcId="{D1E74A05-25B1-4A79-8DAE-C1305B95BC08}" destId="{CE87214D-0B88-4B56-97E2-AFDB0BFB9B42}" srcOrd="0" destOrd="0" presId="urn:microsoft.com/office/officeart/2005/8/layout/hierarchy1"/>
    <dgm:cxn modelId="{066410DB-A656-46A0-9E0C-ACDCEE614674}" type="presParOf" srcId="{D1E74A05-25B1-4A79-8DAE-C1305B95BC08}" destId="{7C34E69E-77D2-49A5-B1CC-ED0EF583FB74}" srcOrd="1" destOrd="0" presId="urn:microsoft.com/office/officeart/2005/8/layout/hierarchy1"/>
    <dgm:cxn modelId="{A778214E-8305-4D97-94BB-D80714139F65}" type="presParOf" srcId="{7C34E69E-77D2-49A5-B1CC-ED0EF583FB74}" destId="{463489D4-53D0-4BA3-AFF9-7E02545F74DB}" srcOrd="0" destOrd="0" presId="urn:microsoft.com/office/officeart/2005/8/layout/hierarchy1"/>
    <dgm:cxn modelId="{67E6942E-4C6A-4FC2-B724-FE36FE73B5C3}" type="presParOf" srcId="{463489D4-53D0-4BA3-AFF9-7E02545F74DB}" destId="{D0573B73-10C1-4F91-A04F-D6C8D75B2C9F}" srcOrd="0" destOrd="0" presId="urn:microsoft.com/office/officeart/2005/8/layout/hierarchy1"/>
    <dgm:cxn modelId="{8AA71C73-9BF4-4172-8A1C-98C6457CA04B}" type="presParOf" srcId="{463489D4-53D0-4BA3-AFF9-7E02545F74DB}" destId="{B9562A6B-3DA5-4718-9DD1-33B0DA5B9929}" srcOrd="1" destOrd="0" presId="urn:microsoft.com/office/officeart/2005/8/layout/hierarchy1"/>
    <dgm:cxn modelId="{CF1F3499-36A1-4E47-BC6C-60478413890F}" type="presParOf" srcId="{7C34E69E-77D2-49A5-B1CC-ED0EF583FB74}" destId="{DF2AB027-AE79-41A7-81C9-183B74F3BDF3}" srcOrd="1" destOrd="0" presId="urn:microsoft.com/office/officeart/2005/8/layout/hierarchy1"/>
    <dgm:cxn modelId="{BBD2140B-DFC3-42FE-8C45-7BF6FE358A6E}" type="presParOf" srcId="{20D3A435-828A-4F9F-80DF-7C3E15767E98}" destId="{96E97E0C-6F79-4544-B21D-1DC2D6B0737A}" srcOrd="2" destOrd="0" presId="urn:microsoft.com/office/officeart/2005/8/layout/hierarchy1"/>
    <dgm:cxn modelId="{3F28DC67-D90A-4A7A-9533-45933CA70D2D}" type="presParOf" srcId="{20D3A435-828A-4F9F-80DF-7C3E15767E98}" destId="{87D2C3F3-F4A3-449D-9A2A-967639BAF518}" srcOrd="3" destOrd="0" presId="urn:microsoft.com/office/officeart/2005/8/layout/hierarchy1"/>
    <dgm:cxn modelId="{EAC5B328-004C-4E22-AB28-DF74BBDF0A89}" type="presParOf" srcId="{87D2C3F3-F4A3-449D-9A2A-967639BAF518}" destId="{556D8A6E-40DB-4DA7-BCEC-2E0B47AAE9B7}" srcOrd="0" destOrd="0" presId="urn:microsoft.com/office/officeart/2005/8/layout/hierarchy1"/>
    <dgm:cxn modelId="{98D2E439-789E-4044-B5E3-03FF6E3E73A5}" type="presParOf" srcId="{556D8A6E-40DB-4DA7-BCEC-2E0B47AAE9B7}" destId="{397066FD-69FC-4A4F-9F0F-4CD173F2033F}" srcOrd="0" destOrd="0" presId="urn:microsoft.com/office/officeart/2005/8/layout/hierarchy1"/>
    <dgm:cxn modelId="{10B482AD-85F6-486E-A1F5-BDAF792001D8}" type="presParOf" srcId="{556D8A6E-40DB-4DA7-BCEC-2E0B47AAE9B7}" destId="{DF802684-9F59-4FFF-A329-B2670527BF87}" srcOrd="1" destOrd="0" presId="urn:microsoft.com/office/officeart/2005/8/layout/hierarchy1"/>
    <dgm:cxn modelId="{545C5FA6-5A57-40CE-878E-5A5DA7B368CD}" type="presParOf" srcId="{87D2C3F3-F4A3-449D-9A2A-967639BAF518}" destId="{22221428-644F-43C1-B371-814D1D712F75}" srcOrd="1" destOrd="0" presId="urn:microsoft.com/office/officeart/2005/8/layout/hierarchy1"/>
    <dgm:cxn modelId="{C3CD6CB2-CA75-4927-91DE-E4A197326244}" type="presParOf" srcId="{22221428-644F-43C1-B371-814D1D712F75}" destId="{A872DA14-F5A2-4437-976B-551A2D49BF3F}" srcOrd="0" destOrd="0" presId="urn:microsoft.com/office/officeart/2005/8/layout/hierarchy1"/>
    <dgm:cxn modelId="{8A1640FE-4D56-429B-9B99-54D967531E35}" type="presParOf" srcId="{22221428-644F-43C1-B371-814D1D712F75}" destId="{232B478F-BC69-45DA-BCB9-4772758FAEB2}" srcOrd="1" destOrd="0" presId="urn:microsoft.com/office/officeart/2005/8/layout/hierarchy1"/>
    <dgm:cxn modelId="{E9D19F08-7964-42D1-9659-3B7E783DA31E}" type="presParOf" srcId="{232B478F-BC69-45DA-BCB9-4772758FAEB2}" destId="{8C5901DC-F300-4453-A81E-0BE6348D7A9C}" srcOrd="0" destOrd="0" presId="urn:microsoft.com/office/officeart/2005/8/layout/hierarchy1"/>
    <dgm:cxn modelId="{1FF2FB56-F9A0-4A1F-8C39-CCF06F6E80A9}" type="presParOf" srcId="{8C5901DC-F300-4453-A81E-0BE6348D7A9C}" destId="{16DA9BB9-94A7-444E-87DA-53B73382A399}" srcOrd="0" destOrd="0" presId="urn:microsoft.com/office/officeart/2005/8/layout/hierarchy1"/>
    <dgm:cxn modelId="{545F4266-9726-4C68-A420-6D35C23983D5}" type="presParOf" srcId="{8C5901DC-F300-4453-A81E-0BE6348D7A9C}" destId="{7EF624ED-5C2F-4F85-9CA0-A71E2C3B8662}" srcOrd="1" destOrd="0" presId="urn:microsoft.com/office/officeart/2005/8/layout/hierarchy1"/>
    <dgm:cxn modelId="{1A07762A-2C76-466C-BFE5-0D4E51057624}" type="presParOf" srcId="{232B478F-BC69-45DA-BCB9-4772758FAEB2}" destId="{5EE0DA4A-F0B0-4BCB-A873-00CEF4BDF92A}" srcOrd="1" destOrd="0" presId="urn:microsoft.com/office/officeart/2005/8/layout/hierarchy1"/>
    <dgm:cxn modelId="{D8BD3837-A037-4BEE-BA17-55BB7F0FF0BE}" type="presParOf" srcId="{20D3A435-828A-4F9F-80DF-7C3E15767E98}" destId="{0C0953B4-3746-4A76-BCB4-DFA2AE7FAABE}" srcOrd="4" destOrd="0" presId="urn:microsoft.com/office/officeart/2005/8/layout/hierarchy1"/>
    <dgm:cxn modelId="{820C1246-CD50-48FC-A156-44F3A6A899C3}" type="presParOf" srcId="{20D3A435-828A-4F9F-80DF-7C3E15767E98}" destId="{58A846E7-93FF-470D-B4BA-B3B43CE1BCEE}" srcOrd="5" destOrd="0" presId="urn:microsoft.com/office/officeart/2005/8/layout/hierarchy1"/>
    <dgm:cxn modelId="{8E76A606-9A61-41C2-8259-E700F798AADB}" type="presParOf" srcId="{58A846E7-93FF-470D-B4BA-B3B43CE1BCEE}" destId="{9D787581-03B6-46B2-8BEB-28FAE12375C6}" srcOrd="0" destOrd="0" presId="urn:microsoft.com/office/officeart/2005/8/layout/hierarchy1"/>
    <dgm:cxn modelId="{AF6DDBCB-B132-4553-B928-846968412A55}" type="presParOf" srcId="{9D787581-03B6-46B2-8BEB-28FAE12375C6}" destId="{652BE358-8876-41D7-B2BC-3E811B655F4A}" srcOrd="0" destOrd="0" presId="urn:microsoft.com/office/officeart/2005/8/layout/hierarchy1"/>
    <dgm:cxn modelId="{CFCCE24F-C388-4592-837B-927FAD0B4F87}" type="presParOf" srcId="{9D787581-03B6-46B2-8BEB-28FAE12375C6}" destId="{928FF237-1100-4C02-8BF3-FEDD6657FD57}" srcOrd="1" destOrd="0" presId="urn:microsoft.com/office/officeart/2005/8/layout/hierarchy1"/>
    <dgm:cxn modelId="{8A5109FC-748F-4B49-BFEC-4202692641FF}" type="presParOf" srcId="{58A846E7-93FF-470D-B4BA-B3B43CE1BCEE}" destId="{C498C3F5-EB8D-4591-971B-CB9C657721C0}" srcOrd="1" destOrd="0" presId="urn:microsoft.com/office/officeart/2005/8/layout/hierarchy1"/>
    <dgm:cxn modelId="{614FA6E8-FDC9-4F81-B9A6-E4AD94F3B678}" type="presParOf" srcId="{C498C3F5-EB8D-4591-971B-CB9C657721C0}" destId="{923CBA2F-29C4-4617-8E33-B88B66960824}" srcOrd="0" destOrd="0" presId="urn:microsoft.com/office/officeart/2005/8/layout/hierarchy1"/>
    <dgm:cxn modelId="{A0456F4D-37B2-4616-9066-F5DAD7DF48D2}" type="presParOf" srcId="{C498C3F5-EB8D-4591-971B-CB9C657721C0}" destId="{278CEA2E-8844-4729-A021-5A70237AAB9A}" srcOrd="1" destOrd="0" presId="urn:microsoft.com/office/officeart/2005/8/layout/hierarchy1"/>
    <dgm:cxn modelId="{977D9192-6780-4CED-9418-61FFCFBA3A3C}" type="presParOf" srcId="{278CEA2E-8844-4729-A021-5A70237AAB9A}" destId="{D7B2F843-1790-4D37-A47D-9217AF6A259E}" srcOrd="0" destOrd="0" presId="urn:microsoft.com/office/officeart/2005/8/layout/hierarchy1"/>
    <dgm:cxn modelId="{EA4949B1-676F-4463-AB2C-06594C4DB0A3}" type="presParOf" srcId="{D7B2F843-1790-4D37-A47D-9217AF6A259E}" destId="{7F48E8A9-E529-42A2-AF5E-BAC4D82C1102}" srcOrd="0" destOrd="0" presId="urn:microsoft.com/office/officeart/2005/8/layout/hierarchy1"/>
    <dgm:cxn modelId="{DB3456BC-D16B-41E9-B5F7-A49708950CDB}" type="presParOf" srcId="{D7B2F843-1790-4D37-A47D-9217AF6A259E}" destId="{00F3D8EC-41B4-4E95-BE44-F0F1F0549277}" srcOrd="1" destOrd="0" presId="urn:microsoft.com/office/officeart/2005/8/layout/hierarchy1"/>
    <dgm:cxn modelId="{78F9C595-1F57-4D68-AA02-7AA224F3244B}" type="presParOf" srcId="{278CEA2E-8844-4729-A021-5A70237AAB9A}" destId="{1BE25B27-37AF-4BE5-9A31-FCD41CFD8428}"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2009-05-04T07:02:00Z</dcterms:created>
  <dcterms:modified xsi:type="dcterms:W3CDTF">2009-05-07T06:16:00Z</dcterms:modified>
</cp:coreProperties>
</file>