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8"/>
        <w:rPr>
          <w:rFonts w:ascii="Times New Roman"/>
          <w:sz w:val="10"/>
        </w:rPr>
      </w:pPr>
      <w:r>
        <w:rPr/>
        <w:pict>
          <v:rect style="position:absolute;margin-left:0pt;margin-top:-.000061pt;width:540pt;height:939.479881pt;mso-position-horizontal-relative:page;mso-position-vertical-relative:page;z-index:-16032256" filled="true" fillcolor="#fdfcf8" stroked="false">
            <v:fill type="solid"/>
            <w10:wrap type="none"/>
          </v:rect>
        </w:pict>
      </w:r>
      <w:r>
        <w:rPr/>
        <w:pict>
          <v:rect style="position:absolute;margin-left:0pt;margin-top:959.879822pt;width:540pt;height:.120119pt;mso-position-horizontal-relative:page;mso-position-vertical-relative:page;z-index:15729152" filled="true" fillcolor="#fdfcf8" stroked="false">
            <v:fill type="solid"/>
            <w10:wrap type="none"/>
          </v:rect>
        </w:pict>
      </w:r>
    </w:p>
    <w:p>
      <w:pPr>
        <w:tabs>
          <w:tab w:pos="6464" w:val="left" w:leader="none"/>
        </w:tabs>
        <w:spacing w:before="91"/>
        <w:ind w:left="251" w:right="0" w:firstLine="0"/>
        <w:jc w:val="left"/>
        <w:rPr>
          <w:rFonts w:ascii="Arial"/>
          <w:b/>
          <w:sz w:val="28"/>
        </w:rPr>
      </w:pPr>
      <w:r>
        <w:rPr/>
        <w:pict>
          <v:group style="position:absolute;margin-left:424.079987pt;margin-top:-6.178149pt;width:89.3pt;height:157pt;mso-position-horizontal-relative:page;mso-position-vertical-relative:paragraph;z-index:15729664" coordorigin="8482,-124" coordsize="1786,3140">
            <v:rect style="position:absolute;left:9129;top:-124;width:860;height:3140" filled="true" fillcolor="#ebcf6a" stroked="false">
              <v:fill type="solid"/>
            </v:rect>
            <v:shape style="position:absolute;left:8481;top:200;width:1786;height:1798" type="#_x0000_t75" stroked="false">
              <v:imagedata r:id="rId5" o:title=""/>
            </v:shape>
            <w10:wrap type="none"/>
          </v:group>
        </w:pict>
      </w:r>
      <w:bookmarkStart w:name="Slide 1: In this Update:" w:id="1"/>
      <w:bookmarkEnd w:id="1"/>
      <w:r>
        <w:rPr/>
      </w:r>
      <w:r>
        <w:rPr>
          <w:rFonts w:ascii="Arial"/>
          <w:b/>
          <w:color w:val="EBCF6A"/>
          <w:spacing w:val="15"/>
          <w:sz w:val="28"/>
          <w:shd w:fill="36394F" w:color="auto" w:val="clear"/>
        </w:rPr>
        <w:t>AUGUST</w:t>
      </w:r>
      <w:r>
        <w:rPr>
          <w:rFonts w:ascii="Arial"/>
          <w:b/>
          <w:color w:val="EBCF6A"/>
          <w:spacing w:val="59"/>
          <w:sz w:val="28"/>
          <w:shd w:fill="36394F" w:color="auto" w:val="clear"/>
        </w:rPr>
        <w:t> </w:t>
      </w:r>
      <w:r>
        <w:rPr>
          <w:rFonts w:ascii="Arial"/>
          <w:b/>
          <w:color w:val="EBCF6A"/>
          <w:spacing w:val="15"/>
          <w:sz w:val="28"/>
          <w:shd w:fill="36394F" w:color="auto" w:val="clear"/>
        </w:rPr>
        <w:t>2023 </w:t>
      </w:r>
      <w:r>
        <w:rPr>
          <w:rFonts w:ascii="Arial"/>
          <w:b/>
          <w:color w:val="EBCF6A"/>
          <w:sz w:val="28"/>
          <w:shd w:fill="36394F" w:color="auto" w:val="clear"/>
        </w:rPr>
        <w:t>|</w:t>
      </w:r>
      <w:r>
        <w:rPr>
          <w:rFonts w:ascii="Arial"/>
          <w:b/>
          <w:color w:val="EBCF6A"/>
          <w:spacing w:val="-16"/>
          <w:sz w:val="28"/>
          <w:shd w:fill="36394F" w:color="auto" w:val="clear"/>
        </w:rPr>
        <w:t> </w:t>
      </w:r>
      <w:r>
        <w:rPr>
          <w:rFonts w:ascii="Arial"/>
          <w:b/>
          <w:color w:val="EBCF6A"/>
          <w:sz w:val="28"/>
          <w:shd w:fill="36394F" w:color="auto" w:val="clear"/>
        </w:rPr>
        <w:t>43</w:t>
      </w:r>
      <w:r>
        <w:rPr>
          <w:rFonts w:ascii="Arial"/>
          <w:b/>
          <w:color w:val="EBCF6A"/>
          <w:position w:val="8"/>
          <w:sz w:val="18"/>
        </w:rPr>
        <w:t>RD  </w:t>
      </w:r>
      <w:r>
        <w:rPr>
          <w:rFonts w:ascii="Arial"/>
          <w:b/>
          <w:color w:val="EBCF6A"/>
          <w:spacing w:val="42"/>
          <w:position w:val="8"/>
          <w:sz w:val="18"/>
        </w:rPr>
        <w:t> </w:t>
      </w:r>
      <w:r>
        <w:rPr>
          <w:rFonts w:ascii="Arial"/>
          <w:b/>
          <w:color w:val="EBCF6A"/>
          <w:spacing w:val="9"/>
          <w:sz w:val="28"/>
          <w:shd w:fill="36394F" w:color="auto" w:val="clear"/>
        </w:rPr>
        <w:t>EDITION</w:t>
        <w:tab/>
      </w:r>
    </w:p>
    <w:p>
      <w:pPr>
        <w:pStyle w:val="BodyText"/>
        <w:spacing w:before="4"/>
        <w:rPr>
          <w:rFonts w:ascii="Arial"/>
          <w:b/>
          <w:sz w:val="22"/>
        </w:rPr>
      </w:pPr>
    </w:p>
    <w:p>
      <w:pPr>
        <w:spacing w:before="89"/>
        <w:ind w:left="444" w:right="0" w:firstLine="0"/>
        <w:jc w:val="left"/>
        <w:rPr>
          <w:rFonts w:ascii="Arial"/>
          <w:b/>
          <w:sz w:val="32"/>
        </w:rPr>
      </w:pPr>
      <w:r>
        <w:rPr>
          <w:rFonts w:ascii="Arial"/>
          <w:b/>
          <w:color w:val="394558"/>
          <w:sz w:val="32"/>
        </w:rPr>
        <w:t>In</w:t>
      </w:r>
      <w:r>
        <w:rPr>
          <w:rFonts w:ascii="Arial"/>
          <w:b/>
          <w:color w:val="394558"/>
          <w:spacing w:val="-2"/>
          <w:sz w:val="32"/>
        </w:rPr>
        <w:t> </w:t>
      </w:r>
      <w:r>
        <w:rPr>
          <w:rFonts w:ascii="Arial"/>
          <w:b/>
          <w:color w:val="394558"/>
          <w:sz w:val="32"/>
        </w:rPr>
        <w:t>this</w:t>
      </w:r>
      <w:r>
        <w:rPr>
          <w:rFonts w:ascii="Arial"/>
          <w:b/>
          <w:color w:val="394558"/>
          <w:spacing w:val="1"/>
          <w:sz w:val="32"/>
        </w:rPr>
        <w:t> </w:t>
      </w:r>
      <w:r>
        <w:rPr>
          <w:rFonts w:ascii="Arial"/>
          <w:b/>
          <w:color w:val="394558"/>
          <w:sz w:val="32"/>
        </w:rPr>
        <w:t>Update: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/>
        <w:rPr>
          <w:rFonts w:ascii="Arial"/>
          <w:b/>
          <w:sz w:val="21"/>
        </w:rPr>
      </w:pPr>
    </w:p>
    <w:tbl>
      <w:tblPr>
        <w:tblW w:w="0" w:type="auto"/>
        <w:jc w:val="left"/>
        <w:tblInd w:w="2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56"/>
        <w:gridCol w:w="2600"/>
      </w:tblGrid>
      <w:tr>
        <w:trPr>
          <w:trHeight w:val="507" w:hRule="atLeast"/>
        </w:trPr>
        <w:tc>
          <w:tcPr>
            <w:tcW w:w="5456" w:type="dxa"/>
            <w:shd w:val="clear" w:color="auto" w:fill="EBCF6A"/>
          </w:tcPr>
          <w:p>
            <w:pPr>
              <w:pStyle w:val="TableParagraph"/>
              <w:spacing w:before="74"/>
              <w:ind w:left="144"/>
              <w:jc w:val="left"/>
              <w:rPr>
                <w:rFonts w:ascii="Arial"/>
                <w:b/>
                <w:sz w:val="32"/>
              </w:rPr>
            </w:pPr>
            <w:r>
              <w:rPr>
                <w:rFonts w:ascii="Arial"/>
                <w:b/>
                <w:color w:val="394558"/>
                <w:sz w:val="32"/>
              </w:rPr>
              <w:t>Content</w:t>
            </w:r>
          </w:p>
        </w:tc>
        <w:tc>
          <w:tcPr>
            <w:tcW w:w="2600" w:type="dxa"/>
            <w:shd w:val="clear" w:color="auto" w:fill="EBCF6A"/>
          </w:tcPr>
          <w:p>
            <w:pPr>
              <w:pStyle w:val="TableParagraph"/>
              <w:spacing w:before="74"/>
              <w:ind w:left="144"/>
              <w:jc w:val="left"/>
              <w:rPr>
                <w:rFonts w:ascii="Arial"/>
                <w:b/>
                <w:sz w:val="32"/>
              </w:rPr>
            </w:pPr>
            <w:r>
              <w:rPr>
                <w:rFonts w:ascii="Arial"/>
                <w:b/>
                <w:color w:val="394558"/>
                <w:sz w:val="32"/>
              </w:rPr>
              <w:t>Page</w:t>
            </w:r>
            <w:r>
              <w:rPr>
                <w:rFonts w:ascii="Arial"/>
                <w:b/>
                <w:color w:val="394558"/>
                <w:spacing w:val="-3"/>
                <w:sz w:val="32"/>
              </w:rPr>
              <w:t> </w:t>
            </w:r>
            <w:r>
              <w:rPr>
                <w:rFonts w:ascii="Arial"/>
                <w:b/>
                <w:color w:val="394558"/>
                <w:sz w:val="32"/>
              </w:rPr>
              <w:t>No</w:t>
            </w:r>
          </w:p>
        </w:tc>
      </w:tr>
      <w:tr>
        <w:trPr>
          <w:trHeight w:val="507" w:hRule="atLeast"/>
        </w:trPr>
        <w:tc>
          <w:tcPr>
            <w:tcW w:w="5456" w:type="dxa"/>
            <w:shd w:val="clear" w:color="auto" w:fill="394558"/>
          </w:tcPr>
          <w:p>
            <w:pPr>
              <w:pStyle w:val="TableParagraph"/>
              <w:spacing w:before="74"/>
              <w:ind w:left="144"/>
              <w:jc w:val="left"/>
              <w:rPr>
                <w:sz w:val="32"/>
              </w:rPr>
            </w:pPr>
            <w:r>
              <w:rPr>
                <w:color w:val="EBCF6A"/>
                <w:sz w:val="32"/>
              </w:rPr>
              <w:t>Company</w:t>
            </w:r>
            <w:r>
              <w:rPr>
                <w:color w:val="EBCF6A"/>
                <w:spacing w:val="-2"/>
                <w:sz w:val="32"/>
              </w:rPr>
              <w:t> </w:t>
            </w:r>
            <w:r>
              <w:rPr>
                <w:color w:val="EBCF6A"/>
                <w:sz w:val="32"/>
              </w:rPr>
              <w:t>Law</w:t>
            </w:r>
          </w:p>
        </w:tc>
        <w:tc>
          <w:tcPr>
            <w:tcW w:w="2600" w:type="dxa"/>
            <w:shd w:val="clear" w:color="auto" w:fill="394558"/>
          </w:tcPr>
          <w:p>
            <w:pPr>
              <w:pStyle w:val="TableParagraph"/>
              <w:spacing w:before="74"/>
              <w:ind w:left="144"/>
              <w:jc w:val="left"/>
              <w:rPr>
                <w:sz w:val="32"/>
              </w:rPr>
            </w:pPr>
            <w:r>
              <w:rPr>
                <w:color w:val="EBCF6A"/>
                <w:sz w:val="32"/>
              </w:rPr>
              <w:t>Page- 2</w:t>
            </w:r>
          </w:p>
        </w:tc>
      </w:tr>
      <w:tr>
        <w:trPr>
          <w:trHeight w:val="507" w:hRule="atLeast"/>
        </w:trPr>
        <w:tc>
          <w:tcPr>
            <w:tcW w:w="5456" w:type="dxa"/>
            <w:shd w:val="clear" w:color="auto" w:fill="394558"/>
          </w:tcPr>
          <w:p>
            <w:pPr>
              <w:pStyle w:val="TableParagraph"/>
              <w:spacing w:before="74"/>
              <w:ind w:left="144"/>
              <w:jc w:val="left"/>
              <w:rPr>
                <w:sz w:val="32"/>
              </w:rPr>
            </w:pPr>
            <w:r>
              <w:rPr>
                <w:color w:val="EBCF6A"/>
                <w:sz w:val="32"/>
              </w:rPr>
              <w:t>Securities</w:t>
            </w:r>
            <w:r>
              <w:rPr>
                <w:color w:val="EBCF6A"/>
                <w:spacing w:val="-4"/>
                <w:sz w:val="32"/>
              </w:rPr>
              <w:t> </w:t>
            </w:r>
            <w:r>
              <w:rPr>
                <w:color w:val="EBCF6A"/>
                <w:sz w:val="32"/>
              </w:rPr>
              <w:t>Law</w:t>
            </w:r>
          </w:p>
        </w:tc>
        <w:tc>
          <w:tcPr>
            <w:tcW w:w="2600" w:type="dxa"/>
            <w:shd w:val="clear" w:color="auto" w:fill="394558"/>
          </w:tcPr>
          <w:p>
            <w:pPr>
              <w:pStyle w:val="TableParagraph"/>
              <w:spacing w:before="74"/>
              <w:ind w:left="144"/>
              <w:jc w:val="left"/>
              <w:rPr>
                <w:sz w:val="32"/>
              </w:rPr>
            </w:pPr>
            <w:r>
              <w:rPr>
                <w:color w:val="EBCF6A"/>
                <w:sz w:val="32"/>
              </w:rPr>
              <w:t>Page- 2</w:t>
            </w:r>
            <w:r>
              <w:rPr>
                <w:color w:val="EBCF6A"/>
                <w:spacing w:val="-2"/>
                <w:sz w:val="32"/>
              </w:rPr>
              <w:t> </w:t>
            </w:r>
            <w:r>
              <w:rPr>
                <w:color w:val="EBCF6A"/>
                <w:sz w:val="32"/>
              </w:rPr>
              <w:t>&amp;</w:t>
            </w:r>
            <w:r>
              <w:rPr>
                <w:color w:val="EBCF6A"/>
                <w:spacing w:val="-1"/>
                <w:sz w:val="32"/>
              </w:rPr>
              <w:t> </w:t>
            </w:r>
            <w:r>
              <w:rPr>
                <w:color w:val="EBCF6A"/>
                <w:sz w:val="32"/>
              </w:rPr>
              <w:t>3</w:t>
            </w:r>
          </w:p>
        </w:tc>
      </w:tr>
      <w:tr>
        <w:trPr>
          <w:trHeight w:val="508" w:hRule="atLeast"/>
        </w:trPr>
        <w:tc>
          <w:tcPr>
            <w:tcW w:w="5456" w:type="dxa"/>
            <w:shd w:val="clear" w:color="auto" w:fill="394558"/>
          </w:tcPr>
          <w:p>
            <w:pPr>
              <w:pStyle w:val="TableParagraph"/>
              <w:spacing w:before="74"/>
              <w:ind w:left="144"/>
              <w:jc w:val="left"/>
              <w:rPr>
                <w:sz w:val="32"/>
              </w:rPr>
            </w:pPr>
            <w:r>
              <w:rPr>
                <w:color w:val="EBCF6A"/>
                <w:sz w:val="32"/>
              </w:rPr>
              <w:t>Insolvency</w:t>
            </w:r>
            <w:r>
              <w:rPr>
                <w:color w:val="EBCF6A"/>
                <w:spacing w:val="-5"/>
                <w:sz w:val="32"/>
              </w:rPr>
              <w:t> </w:t>
            </w:r>
            <w:r>
              <w:rPr>
                <w:color w:val="EBCF6A"/>
                <w:sz w:val="32"/>
              </w:rPr>
              <w:t>Law</w:t>
            </w:r>
          </w:p>
        </w:tc>
        <w:tc>
          <w:tcPr>
            <w:tcW w:w="2600" w:type="dxa"/>
            <w:shd w:val="clear" w:color="auto" w:fill="394558"/>
          </w:tcPr>
          <w:p>
            <w:pPr>
              <w:pStyle w:val="TableParagraph"/>
              <w:spacing w:before="74"/>
              <w:ind w:left="144"/>
              <w:jc w:val="left"/>
              <w:rPr>
                <w:sz w:val="32"/>
              </w:rPr>
            </w:pPr>
            <w:r>
              <w:rPr>
                <w:color w:val="EBCF6A"/>
                <w:sz w:val="32"/>
              </w:rPr>
              <w:t>Page- 3</w:t>
            </w:r>
          </w:p>
        </w:tc>
      </w:tr>
      <w:tr>
        <w:trPr>
          <w:trHeight w:val="507" w:hRule="atLeast"/>
        </w:trPr>
        <w:tc>
          <w:tcPr>
            <w:tcW w:w="5456" w:type="dxa"/>
            <w:shd w:val="clear" w:color="auto" w:fill="394558"/>
          </w:tcPr>
          <w:p>
            <w:pPr>
              <w:pStyle w:val="TableParagraph"/>
              <w:spacing w:before="74"/>
              <w:ind w:left="144"/>
              <w:jc w:val="left"/>
              <w:rPr>
                <w:sz w:val="32"/>
              </w:rPr>
            </w:pPr>
            <w:r>
              <w:rPr>
                <w:color w:val="EBCF6A"/>
                <w:sz w:val="32"/>
              </w:rPr>
              <w:t>Case</w:t>
            </w:r>
            <w:r>
              <w:rPr>
                <w:color w:val="EBCF6A"/>
                <w:spacing w:val="-4"/>
                <w:sz w:val="32"/>
              </w:rPr>
              <w:t> </w:t>
            </w:r>
            <w:r>
              <w:rPr>
                <w:color w:val="EBCF6A"/>
                <w:sz w:val="32"/>
              </w:rPr>
              <w:t>Laws</w:t>
            </w:r>
          </w:p>
        </w:tc>
        <w:tc>
          <w:tcPr>
            <w:tcW w:w="2600" w:type="dxa"/>
            <w:shd w:val="clear" w:color="auto" w:fill="394558"/>
          </w:tcPr>
          <w:p>
            <w:pPr>
              <w:pStyle w:val="TableParagraph"/>
              <w:spacing w:before="74"/>
              <w:ind w:left="144"/>
              <w:jc w:val="left"/>
              <w:rPr>
                <w:sz w:val="32"/>
              </w:rPr>
            </w:pPr>
            <w:r>
              <w:rPr>
                <w:color w:val="EBCF6A"/>
                <w:sz w:val="32"/>
              </w:rPr>
              <w:t>Page- 4</w:t>
            </w:r>
          </w:p>
        </w:tc>
      </w:tr>
      <w:tr>
        <w:trPr>
          <w:trHeight w:val="507" w:hRule="atLeast"/>
        </w:trPr>
        <w:tc>
          <w:tcPr>
            <w:tcW w:w="5456" w:type="dxa"/>
            <w:shd w:val="clear" w:color="auto" w:fill="394558"/>
          </w:tcPr>
          <w:p>
            <w:pPr>
              <w:pStyle w:val="TableParagraph"/>
              <w:spacing w:before="74"/>
              <w:ind w:left="144"/>
              <w:jc w:val="left"/>
              <w:rPr>
                <w:sz w:val="32"/>
              </w:rPr>
            </w:pPr>
            <w:r>
              <w:rPr>
                <w:color w:val="EBCF6A"/>
                <w:sz w:val="32"/>
              </w:rPr>
              <w:t>Other</w:t>
            </w:r>
            <w:r>
              <w:rPr>
                <w:color w:val="EBCF6A"/>
                <w:spacing w:val="2"/>
                <w:sz w:val="32"/>
              </w:rPr>
              <w:t> </w:t>
            </w:r>
            <w:r>
              <w:rPr>
                <w:color w:val="EBCF6A"/>
                <w:sz w:val="32"/>
              </w:rPr>
              <w:t>Updates</w:t>
            </w:r>
          </w:p>
        </w:tc>
        <w:tc>
          <w:tcPr>
            <w:tcW w:w="2600" w:type="dxa"/>
            <w:shd w:val="clear" w:color="auto" w:fill="394558"/>
          </w:tcPr>
          <w:p>
            <w:pPr>
              <w:pStyle w:val="TableParagraph"/>
              <w:spacing w:before="74"/>
              <w:ind w:left="144"/>
              <w:jc w:val="left"/>
              <w:rPr>
                <w:sz w:val="32"/>
              </w:rPr>
            </w:pPr>
            <w:r>
              <w:rPr>
                <w:color w:val="EBCF6A"/>
                <w:sz w:val="32"/>
              </w:rPr>
              <w:t>Page- 4</w:t>
            </w:r>
            <w:r>
              <w:rPr>
                <w:color w:val="EBCF6A"/>
                <w:spacing w:val="-2"/>
                <w:sz w:val="32"/>
              </w:rPr>
              <w:t> </w:t>
            </w:r>
            <w:r>
              <w:rPr>
                <w:color w:val="EBCF6A"/>
                <w:sz w:val="32"/>
              </w:rPr>
              <w:t>&amp;</w:t>
            </w:r>
            <w:r>
              <w:rPr>
                <w:color w:val="EBCF6A"/>
                <w:spacing w:val="-1"/>
                <w:sz w:val="32"/>
              </w:rPr>
              <w:t> </w:t>
            </w:r>
            <w:r>
              <w:rPr>
                <w:color w:val="EBCF6A"/>
                <w:sz w:val="32"/>
              </w:rPr>
              <w:t>5</w:t>
            </w:r>
          </w:p>
        </w:tc>
      </w:tr>
      <w:tr>
        <w:trPr>
          <w:trHeight w:val="507" w:hRule="atLeast"/>
        </w:trPr>
        <w:tc>
          <w:tcPr>
            <w:tcW w:w="5456" w:type="dxa"/>
            <w:shd w:val="clear" w:color="auto" w:fill="394558"/>
          </w:tcPr>
          <w:p>
            <w:pPr>
              <w:pStyle w:val="TableParagraph"/>
              <w:spacing w:before="74"/>
              <w:ind w:left="144"/>
              <w:jc w:val="left"/>
              <w:rPr>
                <w:sz w:val="32"/>
              </w:rPr>
            </w:pPr>
            <w:r>
              <w:rPr>
                <w:color w:val="EBCF6A"/>
                <w:sz w:val="32"/>
              </w:rPr>
              <w:t>Due</w:t>
            </w:r>
            <w:r>
              <w:rPr>
                <w:color w:val="EBCF6A"/>
                <w:spacing w:val="-5"/>
                <w:sz w:val="32"/>
              </w:rPr>
              <w:t> </w:t>
            </w:r>
            <w:r>
              <w:rPr>
                <w:color w:val="EBCF6A"/>
                <w:sz w:val="32"/>
              </w:rPr>
              <w:t>Dates</w:t>
            </w:r>
          </w:p>
        </w:tc>
        <w:tc>
          <w:tcPr>
            <w:tcW w:w="2600" w:type="dxa"/>
            <w:shd w:val="clear" w:color="auto" w:fill="394558"/>
          </w:tcPr>
          <w:p>
            <w:pPr>
              <w:pStyle w:val="TableParagraph"/>
              <w:spacing w:before="74"/>
              <w:ind w:left="144"/>
              <w:jc w:val="left"/>
              <w:rPr>
                <w:sz w:val="32"/>
              </w:rPr>
            </w:pPr>
            <w:r>
              <w:rPr>
                <w:color w:val="EBCF6A"/>
                <w:sz w:val="32"/>
              </w:rPr>
              <w:t>Page- 6</w:t>
            </w:r>
          </w:p>
        </w:tc>
      </w:tr>
    </w:tbl>
    <w:p>
      <w:pPr>
        <w:spacing w:before="251"/>
        <w:ind w:left="124" w:right="0" w:firstLine="0"/>
        <w:jc w:val="left"/>
        <w:rPr>
          <w:rFonts w:ascii="Arial"/>
          <w:b/>
          <w:sz w:val="32"/>
        </w:rPr>
      </w:pPr>
      <w:r>
        <w:rPr>
          <w:rFonts w:ascii="Arial"/>
          <w:b/>
          <w:color w:val="4F576A"/>
          <w:sz w:val="32"/>
          <w:u w:val="thick" w:color="4F576A"/>
        </w:rPr>
        <w:t>Company</w:t>
      </w:r>
      <w:r>
        <w:rPr>
          <w:rFonts w:ascii="Arial"/>
          <w:b/>
          <w:color w:val="4F576A"/>
          <w:spacing w:val="3"/>
          <w:sz w:val="32"/>
          <w:u w:val="thick" w:color="4F576A"/>
        </w:rPr>
        <w:t> </w:t>
      </w:r>
      <w:r>
        <w:rPr>
          <w:rFonts w:ascii="Arial"/>
          <w:b/>
          <w:color w:val="4F576A"/>
          <w:sz w:val="32"/>
          <w:u w:val="thick" w:color="4F576A"/>
        </w:rPr>
        <w:t>Law:</w:t>
      </w:r>
    </w:p>
    <w:p>
      <w:pPr>
        <w:pStyle w:val="BodyText"/>
        <w:spacing w:before="92"/>
        <w:ind w:left="124"/>
        <w:jc w:val="both"/>
      </w:pPr>
      <w:r>
        <w:rPr>
          <w:color w:val="4F576A"/>
        </w:rPr>
        <w:t>1. </w:t>
      </w:r>
      <w:r>
        <w:rPr>
          <w:color w:val="4F576A"/>
          <w:spacing w:val="1"/>
        </w:rPr>
        <w:t> </w:t>
      </w:r>
      <w:r>
        <w:rPr>
          <w:color w:val="4F576A"/>
        </w:rPr>
        <w:t>Companies</w:t>
      </w:r>
      <w:r>
        <w:rPr>
          <w:color w:val="4F576A"/>
          <w:spacing w:val="-4"/>
        </w:rPr>
        <w:t> </w:t>
      </w:r>
      <w:r>
        <w:rPr>
          <w:color w:val="4F576A"/>
        </w:rPr>
        <w:t>(Incorporation)</w:t>
      </w:r>
      <w:r>
        <w:rPr>
          <w:color w:val="4F576A"/>
          <w:spacing w:val="8"/>
        </w:rPr>
        <w:t> </w:t>
      </w:r>
      <w:r>
        <w:rPr>
          <w:color w:val="4F576A"/>
        </w:rPr>
        <w:t>Second</w:t>
      </w:r>
      <w:r>
        <w:rPr>
          <w:color w:val="4F576A"/>
          <w:spacing w:val="-4"/>
        </w:rPr>
        <w:t> </w:t>
      </w:r>
      <w:r>
        <w:rPr>
          <w:color w:val="4F576A"/>
        </w:rPr>
        <w:t>Amendment Rules,</w:t>
      </w:r>
      <w:r>
        <w:rPr>
          <w:color w:val="4F576A"/>
          <w:spacing w:val="-1"/>
        </w:rPr>
        <w:t> </w:t>
      </w:r>
      <w:r>
        <w:rPr>
          <w:color w:val="4F576A"/>
        </w:rPr>
        <w:t>2023</w:t>
      </w:r>
    </w:p>
    <w:p>
      <w:pPr>
        <w:spacing w:before="93"/>
        <w:ind w:left="124" w:right="0" w:firstLine="0"/>
        <w:jc w:val="left"/>
        <w:rPr>
          <w:rFonts w:ascii="Arial"/>
          <w:b/>
          <w:sz w:val="32"/>
        </w:rPr>
      </w:pPr>
      <w:r>
        <w:rPr>
          <w:rFonts w:ascii="Arial"/>
          <w:b/>
          <w:color w:val="4F576A"/>
          <w:sz w:val="32"/>
          <w:u w:val="thick" w:color="4F576A"/>
        </w:rPr>
        <w:t>Securities</w:t>
      </w:r>
      <w:r>
        <w:rPr>
          <w:rFonts w:ascii="Arial"/>
          <w:b/>
          <w:color w:val="4F576A"/>
          <w:spacing w:val="5"/>
          <w:sz w:val="32"/>
          <w:u w:val="thick" w:color="4F576A"/>
        </w:rPr>
        <w:t> </w:t>
      </w:r>
      <w:r>
        <w:rPr>
          <w:rFonts w:ascii="Arial"/>
          <w:b/>
          <w:color w:val="4F576A"/>
          <w:sz w:val="32"/>
          <w:u w:val="thick" w:color="4F576A"/>
        </w:rPr>
        <w:t>Law:</w:t>
      </w:r>
    </w:p>
    <w:p>
      <w:pPr>
        <w:pStyle w:val="ListParagraph"/>
        <w:numPr>
          <w:ilvl w:val="0"/>
          <w:numId w:val="1"/>
        </w:numPr>
        <w:tabs>
          <w:tab w:pos="665" w:val="left" w:leader="none"/>
        </w:tabs>
        <w:spacing w:line="300" w:lineRule="auto" w:before="93" w:after="0"/>
        <w:ind w:left="664" w:right="125" w:hanging="540"/>
        <w:jc w:val="both"/>
        <w:rPr>
          <w:sz w:val="32"/>
        </w:rPr>
      </w:pPr>
      <w:r>
        <w:rPr>
          <w:color w:val="4F576A"/>
          <w:sz w:val="32"/>
        </w:rPr>
        <w:t>SEBI Reduces Timeline for Listing of Shares in Public Issue from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Existing</w:t>
      </w:r>
      <w:r>
        <w:rPr>
          <w:color w:val="4F576A"/>
          <w:spacing w:val="-3"/>
          <w:sz w:val="32"/>
        </w:rPr>
        <w:t> </w:t>
      </w:r>
      <w:r>
        <w:rPr>
          <w:color w:val="4F576A"/>
          <w:sz w:val="32"/>
        </w:rPr>
        <w:t>T+6</w:t>
      </w:r>
      <w:r>
        <w:rPr>
          <w:color w:val="4F576A"/>
          <w:spacing w:val="2"/>
          <w:sz w:val="32"/>
        </w:rPr>
        <w:t> </w:t>
      </w:r>
      <w:r>
        <w:rPr>
          <w:color w:val="4F576A"/>
          <w:sz w:val="32"/>
        </w:rPr>
        <w:t>Days</w:t>
      </w:r>
      <w:r>
        <w:rPr>
          <w:color w:val="4F576A"/>
          <w:spacing w:val="5"/>
          <w:sz w:val="32"/>
        </w:rPr>
        <w:t> </w:t>
      </w:r>
      <w:r>
        <w:rPr>
          <w:color w:val="4F576A"/>
          <w:sz w:val="32"/>
        </w:rPr>
        <w:t>to</w:t>
      </w:r>
      <w:r>
        <w:rPr>
          <w:color w:val="4F576A"/>
          <w:spacing w:val="2"/>
          <w:sz w:val="32"/>
        </w:rPr>
        <w:t> </w:t>
      </w:r>
      <w:r>
        <w:rPr>
          <w:color w:val="4F576A"/>
          <w:sz w:val="32"/>
        </w:rPr>
        <w:t>T+3 Days.</w:t>
      </w:r>
    </w:p>
    <w:p>
      <w:pPr>
        <w:pStyle w:val="ListParagraph"/>
        <w:numPr>
          <w:ilvl w:val="0"/>
          <w:numId w:val="1"/>
        </w:numPr>
        <w:tabs>
          <w:tab w:pos="665" w:val="left" w:leader="none"/>
        </w:tabs>
        <w:spacing w:line="240" w:lineRule="auto" w:before="2" w:after="0"/>
        <w:ind w:left="664" w:right="0" w:hanging="541"/>
        <w:jc w:val="both"/>
        <w:rPr>
          <w:sz w:val="32"/>
        </w:rPr>
      </w:pPr>
      <w:r>
        <w:rPr>
          <w:color w:val="4F576A"/>
          <w:sz w:val="32"/>
        </w:rPr>
        <w:t>Online</w:t>
      </w:r>
      <w:r>
        <w:rPr>
          <w:color w:val="4F576A"/>
          <w:spacing w:val="-2"/>
          <w:sz w:val="32"/>
        </w:rPr>
        <w:t> </w:t>
      </w:r>
      <w:r>
        <w:rPr>
          <w:color w:val="4F576A"/>
          <w:sz w:val="32"/>
        </w:rPr>
        <w:t>Resolution</w:t>
      </w:r>
      <w:r>
        <w:rPr>
          <w:color w:val="4F576A"/>
          <w:spacing w:val="-4"/>
          <w:sz w:val="32"/>
        </w:rPr>
        <w:t> </w:t>
      </w:r>
      <w:r>
        <w:rPr>
          <w:color w:val="4F576A"/>
          <w:sz w:val="32"/>
        </w:rPr>
        <w:t>of</w:t>
      </w:r>
      <w:r>
        <w:rPr>
          <w:color w:val="4F576A"/>
          <w:spacing w:val="-2"/>
          <w:sz w:val="32"/>
        </w:rPr>
        <w:t> </w:t>
      </w:r>
      <w:r>
        <w:rPr>
          <w:color w:val="4F576A"/>
          <w:sz w:val="32"/>
        </w:rPr>
        <w:t>Disputes in</w:t>
      </w:r>
      <w:r>
        <w:rPr>
          <w:color w:val="4F576A"/>
          <w:spacing w:val="-5"/>
          <w:sz w:val="32"/>
        </w:rPr>
        <w:t> </w:t>
      </w:r>
      <w:r>
        <w:rPr>
          <w:color w:val="4F576A"/>
          <w:sz w:val="32"/>
        </w:rPr>
        <w:t>the Indian</w:t>
      </w:r>
      <w:r>
        <w:rPr>
          <w:color w:val="4F576A"/>
          <w:spacing w:val="-3"/>
          <w:sz w:val="32"/>
        </w:rPr>
        <w:t> </w:t>
      </w:r>
      <w:r>
        <w:rPr>
          <w:color w:val="4F576A"/>
          <w:sz w:val="32"/>
        </w:rPr>
        <w:t>Securities</w:t>
      </w:r>
      <w:r>
        <w:rPr>
          <w:color w:val="4F576A"/>
          <w:spacing w:val="-2"/>
          <w:sz w:val="32"/>
        </w:rPr>
        <w:t> </w:t>
      </w:r>
      <w:r>
        <w:rPr>
          <w:color w:val="4F576A"/>
          <w:sz w:val="32"/>
        </w:rPr>
        <w:t>Market.</w:t>
      </w:r>
    </w:p>
    <w:p>
      <w:pPr>
        <w:pStyle w:val="ListParagraph"/>
        <w:numPr>
          <w:ilvl w:val="0"/>
          <w:numId w:val="1"/>
        </w:numPr>
        <w:tabs>
          <w:tab w:pos="665" w:val="left" w:leader="none"/>
        </w:tabs>
        <w:spacing w:line="300" w:lineRule="auto" w:before="93" w:after="0"/>
        <w:ind w:left="664" w:right="122" w:hanging="540"/>
        <w:jc w:val="both"/>
        <w:rPr>
          <w:sz w:val="32"/>
        </w:rPr>
      </w:pPr>
      <w:r>
        <w:rPr>
          <w:color w:val="4F576A"/>
          <w:sz w:val="32"/>
        </w:rPr>
        <w:t>SEBI has introduced Voluntary Delisting Norms for Non-Convertible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Debt Securities (NCDs) &amp; Non-Convertible Redeemable Pref. Shares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(NCRPs).</w:t>
      </w:r>
    </w:p>
    <w:p>
      <w:pPr>
        <w:spacing w:before="2"/>
        <w:ind w:left="124" w:right="0" w:firstLine="0"/>
        <w:jc w:val="left"/>
        <w:rPr>
          <w:rFonts w:ascii="Arial"/>
          <w:b/>
          <w:sz w:val="32"/>
        </w:rPr>
      </w:pPr>
      <w:r>
        <w:rPr>
          <w:rFonts w:ascii="Arial"/>
          <w:b/>
          <w:color w:val="4F576A"/>
          <w:sz w:val="32"/>
          <w:u w:val="thick" w:color="4F576A"/>
        </w:rPr>
        <w:t>Insolvency</w:t>
      </w:r>
      <w:r>
        <w:rPr>
          <w:rFonts w:ascii="Arial"/>
          <w:b/>
          <w:color w:val="4F576A"/>
          <w:spacing w:val="6"/>
          <w:sz w:val="32"/>
          <w:u w:val="thick" w:color="4F576A"/>
        </w:rPr>
        <w:t> </w:t>
      </w:r>
      <w:r>
        <w:rPr>
          <w:rFonts w:ascii="Arial"/>
          <w:b/>
          <w:color w:val="4F576A"/>
          <w:sz w:val="32"/>
          <w:u w:val="thick" w:color="4F576A"/>
        </w:rPr>
        <w:t>Law:</w:t>
      </w:r>
    </w:p>
    <w:p>
      <w:pPr>
        <w:pStyle w:val="BodyText"/>
        <w:tabs>
          <w:tab w:pos="664" w:val="left" w:leader="none"/>
        </w:tabs>
        <w:spacing w:line="300" w:lineRule="auto" w:before="93"/>
        <w:ind w:left="664" w:right="124" w:hanging="540"/>
      </w:pPr>
      <w:r>
        <w:rPr>
          <w:color w:val="4F576A"/>
        </w:rPr>
        <w:t>1.</w:t>
        <w:tab/>
        <w:t>IBBI</w:t>
      </w:r>
      <w:r>
        <w:rPr>
          <w:color w:val="4F576A"/>
          <w:spacing w:val="20"/>
        </w:rPr>
        <w:t> </w:t>
      </w:r>
      <w:r>
        <w:rPr>
          <w:color w:val="4F576A"/>
        </w:rPr>
        <w:t>recommendation</w:t>
      </w:r>
      <w:r>
        <w:rPr>
          <w:color w:val="4F576A"/>
          <w:spacing w:val="21"/>
        </w:rPr>
        <w:t> </w:t>
      </w:r>
      <w:r>
        <w:rPr>
          <w:color w:val="4F576A"/>
        </w:rPr>
        <w:t>for</w:t>
      </w:r>
      <w:r>
        <w:rPr>
          <w:color w:val="4F576A"/>
          <w:spacing w:val="18"/>
        </w:rPr>
        <w:t> </w:t>
      </w:r>
      <w:r>
        <w:rPr>
          <w:color w:val="4F576A"/>
        </w:rPr>
        <w:t>appointment</w:t>
      </w:r>
      <w:r>
        <w:rPr>
          <w:color w:val="4F576A"/>
          <w:spacing w:val="22"/>
        </w:rPr>
        <w:t> </w:t>
      </w:r>
      <w:r>
        <w:rPr>
          <w:color w:val="4F576A"/>
        </w:rPr>
        <w:t>of</w:t>
      </w:r>
      <w:r>
        <w:rPr>
          <w:color w:val="4F576A"/>
          <w:spacing w:val="19"/>
        </w:rPr>
        <w:t> </w:t>
      </w:r>
      <w:r>
        <w:rPr>
          <w:color w:val="4F576A"/>
        </w:rPr>
        <w:t>Liquidator</w:t>
      </w:r>
      <w:r>
        <w:rPr>
          <w:color w:val="4F576A"/>
          <w:spacing w:val="19"/>
        </w:rPr>
        <w:t> </w:t>
      </w:r>
      <w:r>
        <w:rPr>
          <w:color w:val="4F576A"/>
        </w:rPr>
        <w:t>other</w:t>
      </w:r>
      <w:r>
        <w:rPr>
          <w:color w:val="4F576A"/>
          <w:spacing w:val="23"/>
        </w:rPr>
        <w:t> </w:t>
      </w:r>
      <w:r>
        <w:rPr>
          <w:color w:val="4F576A"/>
        </w:rPr>
        <w:t>than</w:t>
      </w:r>
      <w:r>
        <w:rPr>
          <w:color w:val="4F576A"/>
          <w:spacing w:val="19"/>
        </w:rPr>
        <w:t> </w:t>
      </w:r>
      <w:r>
        <w:rPr>
          <w:color w:val="4F576A"/>
        </w:rPr>
        <w:t>Interim</w:t>
      </w:r>
      <w:r>
        <w:rPr>
          <w:color w:val="4F576A"/>
          <w:spacing w:val="-86"/>
        </w:rPr>
        <w:t> </w:t>
      </w:r>
      <w:r>
        <w:rPr>
          <w:color w:val="4F576A"/>
        </w:rPr>
        <w:t>Resolution</w:t>
      </w:r>
      <w:r>
        <w:rPr>
          <w:color w:val="4F576A"/>
          <w:spacing w:val="-2"/>
        </w:rPr>
        <w:t> </w:t>
      </w:r>
      <w:r>
        <w:rPr>
          <w:color w:val="4F576A"/>
        </w:rPr>
        <w:t>Professional/</w:t>
      </w:r>
      <w:r>
        <w:rPr>
          <w:color w:val="4F576A"/>
          <w:spacing w:val="-1"/>
        </w:rPr>
        <w:t> </w:t>
      </w:r>
      <w:r>
        <w:rPr>
          <w:color w:val="4F576A"/>
        </w:rPr>
        <w:t>Resolution</w:t>
      </w:r>
      <w:r>
        <w:rPr>
          <w:color w:val="4F576A"/>
          <w:spacing w:val="-2"/>
        </w:rPr>
        <w:t> </w:t>
      </w:r>
      <w:r>
        <w:rPr>
          <w:color w:val="4F576A"/>
        </w:rPr>
        <w:t>Professional</w:t>
      </w:r>
    </w:p>
    <w:p>
      <w:pPr>
        <w:spacing w:before="2"/>
        <w:ind w:left="124" w:right="0" w:firstLine="0"/>
        <w:jc w:val="left"/>
        <w:rPr>
          <w:rFonts w:ascii="Arial"/>
          <w:b/>
          <w:sz w:val="32"/>
        </w:rPr>
      </w:pPr>
      <w:r>
        <w:rPr>
          <w:rFonts w:ascii="Arial"/>
          <w:b/>
          <w:color w:val="4F576A"/>
          <w:sz w:val="32"/>
          <w:u w:val="thick" w:color="4F576A"/>
        </w:rPr>
        <w:t>Case</w:t>
      </w:r>
      <w:r>
        <w:rPr>
          <w:rFonts w:ascii="Arial"/>
          <w:b/>
          <w:color w:val="4F576A"/>
          <w:spacing w:val="-1"/>
          <w:sz w:val="32"/>
          <w:u w:val="thick" w:color="4F576A"/>
        </w:rPr>
        <w:t> </w:t>
      </w:r>
      <w:r>
        <w:rPr>
          <w:rFonts w:ascii="Arial"/>
          <w:b/>
          <w:color w:val="4F576A"/>
          <w:sz w:val="32"/>
          <w:u w:val="thick" w:color="4F576A"/>
        </w:rPr>
        <w:t>Laws:</w:t>
      </w:r>
    </w:p>
    <w:p>
      <w:pPr>
        <w:spacing w:before="93"/>
        <w:ind w:left="124" w:right="0" w:firstLine="0"/>
        <w:jc w:val="left"/>
        <w:rPr>
          <w:rFonts w:ascii="Arial"/>
          <w:b/>
          <w:sz w:val="32"/>
        </w:rPr>
      </w:pPr>
      <w:r>
        <w:rPr>
          <w:rFonts w:ascii="Arial"/>
          <w:b/>
          <w:color w:val="4F576A"/>
          <w:sz w:val="32"/>
        </w:rPr>
        <w:t>Company Law</w:t>
      </w:r>
    </w:p>
    <w:p>
      <w:pPr>
        <w:pStyle w:val="ListParagraph"/>
        <w:numPr>
          <w:ilvl w:val="0"/>
          <w:numId w:val="2"/>
        </w:numPr>
        <w:tabs>
          <w:tab w:pos="664" w:val="left" w:leader="none"/>
          <w:tab w:pos="665" w:val="left" w:leader="none"/>
          <w:tab w:pos="1373" w:val="left" w:leader="none"/>
          <w:tab w:pos="2261" w:val="left" w:leader="none"/>
          <w:tab w:pos="3309" w:val="left" w:leader="none"/>
          <w:tab w:pos="4503" w:val="left" w:leader="none"/>
          <w:tab w:pos="5571" w:val="left" w:leader="none"/>
          <w:tab w:pos="6426" w:val="left" w:leader="none"/>
          <w:tab w:pos="9126" w:val="left" w:leader="none"/>
          <w:tab w:pos="9645" w:val="left" w:leader="none"/>
          <w:tab w:pos="10336" w:val="left" w:leader="none"/>
        </w:tabs>
        <w:spacing w:line="300" w:lineRule="auto" w:before="93" w:after="0"/>
        <w:ind w:left="664" w:right="124" w:hanging="540"/>
        <w:jc w:val="left"/>
        <w:rPr>
          <w:sz w:val="32"/>
        </w:rPr>
      </w:pPr>
      <w:r>
        <w:rPr>
          <w:color w:val="4F576A"/>
          <w:sz w:val="32"/>
        </w:rPr>
        <w:t>RD</w:t>
        <w:tab/>
        <w:t>Sets</w:t>
        <w:tab/>
        <w:t>Aside</w:t>
        <w:tab/>
        <w:t>ROC’s</w:t>
        <w:tab/>
        <w:t>Order</w:t>
        <w:tab/>
        <w:t>w.r.t</w:t>
        <w:tab/>
        <w:t>Non-appointment</w:t>
        <w:tab/>
        <w:t>of</w:t>
        <w:tab/>
        <w:t>CS</w:t>
        <w:tab/>
      </w:r>
      <w:r>
        <w:rPr>
          <w:color w:val="4F576A"/>
          <w:spacing w:val="-3"/>
          <w:sz w:val="32"/>
        </w:rPr>
        <w:t>as</w:t>
      </w:r>
      <w:r>
        <w:rPr>
          <w:color w:val="4F576A"/>
          <w:spacing w:val="-86"/>
          <w:sz w:val="32"/>
        </w:rPr>
        <w:t> </w:t>
      </w:r>
      <w:r>
        <w:rPr>
          <w:color w:val="4F576A"/>
          <w:sz w:val="32"/>
        </w:rPr>
        <w:t>Company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had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Incurred</w:t>
      </w:r>
      <w:r>
        <w:rPr>
          <w:color w:val="4F576A"/>
          <w:spacing w:val="5"/>
          <w:sz w:val="32"/>
        </w:rPr>
        <w:t> </w:t>
      </w:r>
      <w:r>
        <w:rPr>
          <w:color w:val="4F576A"/>
          <w:sz w:val="32"/>
        </w:rPr>
        <w:t>Losses</w:t>
      </w:r>
      <w:r>
        <w:rPr>
          <w:color w:val="4F576A"/>
          <w:spacing w:val="-2"/>
          <w:sz w:val="32"/>
        </w:rPr>
        <w:t> </w:t>
      </w:r>
      <w:r>
        <w:rPr>
          <w:color w:val="4F576A"/>
          <w:sz w:val="32"/>
        </w:rPr>
        <w:t>&amp; Itself</w:t>
      </w:r>
      <w:r>
        <w:rPr>
          <w:color w:val="4F576A"/>
          <w:spacing w:val="2"/>
          <w:sz w:val="32"/>
        </w:rPr>
        <w:t> </w:t>
      </w:r>
      <w:r>
        <w:rPr>
          <w:color w:val="4F576A"/>
          <w:sz w:val="32"/>
        </w:rPr>
        <w:t>Got</w:t>
      </w:r>
      <w:r>
        <w:rPr>
          <w:color w:val="4F576A"/>
          <w:spacing w:val="5"/>
          <w:sz w:val="32"/>
        </w:rPr>
        <w:t> </w:t>
      </w:r>
      <w:r>
        <w:rPr>
          <w:color w:val="4F576A"/>
          <w:sz w:val="32"/>
        </w:rPr>
        <w:t>Delisted</w:t>
      </w:r>
    </w:p>
    <w:p>
      <w:pPr>
        <w:spacing w:before="2"/>
        <w:ind w:left="124" w:right="0" w:firstLine="0"/>
        <w:jc w:val="left"/>
        <w:rPr>
          <w:rFonts w:ascii="Arial"/>
          <w:b/>
          <w:sz w:val="32"/>
        </w:rPr>
      </w:pPr>
      <w:r>
        <w:rPr>
          <w:rFonts w:ascii="Arial"/>
          <w:b/>
          <w:color w:val="4F576A"/>
          <w:sz w:val="32"/>
          <w:u w:val="thick" w:color="4F576A"/>
        </w:rPr>
        <w:t>Securities</w:t>
      </w:r>
      <w:r>
        <w:rPr>
          <w:rFonts w:ascii="Arial"/>
          <w:b/>
          <w:color w:val="4F576A"/>
          <w:spacing w:val="2"/>
          <w:sz w:val="32"/>
          <w:u w:val="thick" w:color="4F576A"/>
        </w:rPr>
        <w:t> </w:t>
      </w:r>
      <w:r>
        <w:rPr>
          <w:rFonts w:ascii="Arial"/>
          <w:b/>
          <w:color w:val="4F576A"/>
          <w:sz w:val="32"/>
          <w:u w:val="thick" w:color="4F576A"/>
        </w:rPr>
        <w:t>Law</w:t>
      </w:r>
    </w:p>
    <w:p>
      <w:pPr>
        <w:pStyle w:val="ListParagraph"/>
        <w:numPr>
          <w:ilvl w:val="0"/>
          <w:numId w:val="2"/>
        </w:numPr>
        <w:tabs>
          <w:tab w:pos="664" w:val="left" w:leader="none"/>
          <w:tab w:pos="665" w:val="left" w:leader="none"/>
        </w:tabs>
        <w:spacing w:line="300" w:lineRule="auto" w:before="93" w:after="0"/>
        <w:ind w:left="664" w:right="120" w:hanging="540"/>
        <w:jc w:val="left"/>
        <w:rPr>
          <w:sz w:val="32"/>
        </w:rPr>
      </w:pPr>
      <w:r>
        <w:rPr>
          <w:color w:val="4F576A"/>
          <w:sz w:val="32"/>
        </w:rPr>
        <w:t>SAT</w:t>
      </w:r>
      <w:r>
        <w:rPr>
          <w:color w:val="4F576A"/>
          <w:spacing w:val="19"/>
          <w:sz w:val="32"/>
        </w:rPr>
        <w:t> </w:t>
      </w:r>
      <w:r>
        <w:rPr>
          <w:color w:val="4F576A"/>
          <w:sz w:val="32"/>
        </w:rPr>
        <w:t>reduces</w:t>
      </w:r>
      <w:r>
        <w:rPr>
          <w:color w:val="4F576A"/>
          <w:spacing w:val="22"/>
          <w:sz w:val="32"/>
        </w:rPr>
        <w:t> </w:t>
      </w:r>
      <w:r>
        <w:rPr>
          <w:color w:val="4F576A"/>
          <w:sz w:val="32"/>
        </w:rPr>
        <w:t>the</w:t>
      </w:r>
      <w:r>
        <w:rPr>
          <w:color w:val="4F576A"/>
          <w:spacing w:val="22"/>
          <w:sz w:val="32"/>
        </w:rPr>
        <w:t> </w:t>
      </w:r>
      <w:r>
        <w:rPr>
          <w:color w:val="4F576A"/>
          <w:sz w:val="32"/>
        </w:rPr>
        <w:t>penalty</w:t>
      </w:r>
      <w:r>
        <w:rPr>
          <w:color w:val="4F576A"/>
          <w:spacing w:val="21"/>
          <w:sz w:val="32"/>
        </w:rPr>
        <w:t> </w:t>
      </w:r>
      <w:r>
        <w:rPr>
          <w:color w:val="4F576A"/>
          <w:sz w:val="32"/>
        </w:rPr>
        <w:t>for</w:t>
      </w:r>
      <w:r>
        <w:rPr>
          <w:color w:val="4F576A"/>
          <w:spacing w:val="21"/>
          <w:sz w:val="32"/>
        </w:rPr>
        <w:t> </w:t>
      </w:r>
      <w:r>
        <w:rPr>
          <w:color w:val="4F576A"/>
          <w:sz w:val="32"/>
        </w:rPr>
        <w:t>non-serious</w:t>
      </w:r>
      <w:r>
        <w:rPr>
          <w:color w:val="4F576A"/>
          <w:spacing w:val="22"/>
          <w:sz w:val="32"/>
        </w:rPr>
        <w:t> </w:t>
      </w:r>
      <w:r>
        <w:rPr>
          <w:color w:val="4F576A"/>
          <w:sz w:val="32"/>
        </w:rPr>
        <w:t>LODR</w:t>
      </w:r>
      <w:r>
        <w:rPr>
          <w:color w:val="4F576A"/>
          <w:spacing w:val="21"/>
          <w:sz w:val="32"/>
        </w:rPr>
        <w:t> </w:t>
      </w:r>
      <w:r>
        <w:rPr>
          <w:color w:val="4F576A"/>
          <w:sz w:val="32"/>
        </w:rPr>
        <w:t>violations</w:t>
      </w:r>
      <w:r>
        <w:rPr>
          <w:color w:val="4F576A"/>
          <w:spacing w:val="22"/>
          <w:sz w:val="32"/>
        </w:rPr>
        <w:t> </w:t>
      </w:r>
      <w:r>
        <w:rPr>
          <w:color w:val="4F576A"/>
          <w:sz w:val="32"/>
        </w:rPr>
        <w:t>from</w:t>
      </w:r>
      <w:r>
        <w:rPr>
          <w:color w:val="4F576A"/>
          <w:spacing w:val="22"/>
          <w:sz w:val="32"/>
        </w:rPr>
        <w:t> </w:t>
      </w:r>
      <w:r>
        <w:rPr>
          <w:color w:val="4F576A"/>
          <w:sz w:val="32"/>
        </w:rPr>
        <w:t>Rs</w:t>
      </w:r>
      <w:r>
        <w:rPr>
          <w:color w:val="4F576A"/>
          <w:spacing w:val="23"/>
          <w:sz w:val="32"/>
        </w:rPr>
        <w:t> </w:t>
      </w:r>
      <w:r>
        <w:rPr>
          <w:color w:val="4F576A"/>
          <w:sz w:val="32"/>
        </w:rPr>
        <w:t>25</w:t>
      </w:r>
      <w:r>
        <w:rPr>
          <w:color w:val="4F576A"/>
          <w:spacing w:val="-86"/>
          <w:sz w:val="32"/>
        </w:rPr>
        <w:t> </w:t>
      </w:r>
      <w:r>
        <w:rPr>
          <w:color w:val="4F576A"/>
          <w:sz w:val="32"/>
        </w:rPr>
        <w:t>to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10 Lakh.</w:t>
      </w:r>
    </w:p>
    <w:p>
      <w:pPr>
        <w:spacing w:before="1"/>
        <w:ind w:left="124" w:right="0" w:firstLine="0"/>
        <w:jc w:val="left"/>
        <w:rPr>
          <w:rFonts w:ascii="Arial"/>
          <w:b/>
          <w:sz w:val="32"/>
        </w:rPr>
      </w:pPr>
      <w:r>
        <w:rPr>
          <w:rFonts w:ascii="Arial"/>
          <w:b/>
          <w:color w:val="4F576A"/>
          <w:sz w:val="32"/>
          <w:u w:val="thick" w:color="4F576A"/>
        </w:rPr>
        <w:t>Other</w:t>
      </w:r>
      <w:r>
        <w:rPr>
          <w:rFonts w:ascii="Arial"/>
          <w:b/>
          <w:color w:val="4F576A"/>
          <w:spacing w:val="1"/>
          <w:sz w:val="32"/>
          <w:u w:val="thick" w:color="4F576A"/>
        </w:rPr>
        <w:t> </w:t>
      </w:r>
      <w:r>
        <w:rPr>
          <w:rFonts w:ascii="Arial"/>
          <w:b/>
          <w:color w:val="4F576A"/>
          <w:sz w:val="32"/>
          <w:u w:val="thick" w:color="4F576A"/>
        </w:rPr>
        <w:t>Updates:</w:t>
      </w:r>
    </w:p>
    <w:p>
      <w:pPr>
        <w:pStyle w:val="ListParagraph"/>
        <w:numPr>
          <w:ilvl w:val="0"/>
          <w:numId w:val="3"/>
        </w:numPr>
        <w:tabs>
          <w:tab w:pos="664" w:val="left" w:leader="none"/>
          <w:tab w:pos="665" w:val="left" w:leader="none"/>
        </w:tabs>
        <w:spacing w:line="300" w:lineRule="auto" w:before="93" w:after="0"/>
        <w:ind w:left="664" w:right="118" w:hanging="540"/>
        <w:jc w:val="left"/>
        <w:rPr>
          <w:sz w:val="32"/>
        </w:rPr>
      </w:pPr>
      <w:r>
        <w:rPr>
          <w:color w:val="4F576A"/>
          <w:sz w:val="32"/>
        </w:rPr>
        <w:t>Notification</w:t>
      </w:r>
      <w:r>
        <w:rPr>
          <w:color w:val="4F576A"/>
          <w:spacing w:val="76"/>
          <w:sz w:val="32"/>
        </w:rPr>
        <w:t> </w:t>
      </w:r>
      <w:r>
        <w:rPr>
          <w:color w:val="4F576A"/>
          <w:sz w:val="32"/>
        </w:rPr>
        <w:t>on</w:t>
      </w:r>
      <w:r>
        <w:rPr>
          <w:color w:val="4F576A"/>
          <w:spacing w:val="77"/>
          <w:sz w:val="32"/>
        </w:rPr>
        <w:t> </w:t>
      </w:r>
      <w:r>
        <w:rPr>
          <w:color w:val="4F576A"/>
          <w:sz w:val="32"/>
        </w:rPr>
        <w:t>registration</w:t>
      </w:r>
      <w:r>
        <w:rPr>
          <w:color w:val="4F576A"/>
          <w:spacing w:val="77"/>
          <w:sz w:val="32"/>
        </w:rPr>
        <w:t> </w:t>
      </w:r>
      <w:r>
        <w:rPr>
          <w:color w:val="4F576A"/>
          <w:sz w:val="32"/>
        </w:rPr>
        <w:t>of</w:t>
      </w:r>
      <w:r>
        <w:rPr>
          <w:color w:val="4F576A"/>
          <w:spacing w:val="77"/>
          <w:sz w:val="32"/>
        </w:rPr>
        <w:t> </w:t>
      </w:r>
      <w:r>
        <w:rPr>
          <w:color w:val="4F576A"/>
          <w:sz w:val="32"/>
        </w:rPr>
        <w:t>Trust</w:t>
      </w:r>
      <w:r>
        <w:rPr>
          <w:color w:val="4F576A"/>
          <w:spacing w:val="76"/>
          <w:sz w:val="32"/>
        </w:rPr>
        <w:t> </w:t>
      </w:r>
      <w:r>
        <w:rPr>
          <w:color w:val="4F576A"/>
          <w:sz w:val="32"/>
        </w:rPr>
        <w:t>and</w:t>
      </w:r>
      <w:r>
        <w:rPr>
          <w:color w:val="4F576A"/>
          <w:spacing w:val="77"/>
          <w:sz w:val="32"/>
        </w:rPr>
        <w:t> </w:t>
      </w:r>
      <w:r>
        <w:rPr>
          <w:color w:val="4F576A"/>
          <w:sz w:val="32"/>
        </w:rPr>
        <w:t>Company</w:t>
      </w:r>
      <w:r>
        <w:rPr>
          <w:color w:val="4F576A"/>
          <w:spacing w:val="71"/>
          <w:sz w:val="32"/>
        </w:rPr>
        <w:t> </w:t>
      </w:r>
      <w:r>
        <w:rPr>
          <w:color w:val="4F576A"/>
          <w:sz w:val="32"/>
        </w:rPr>
        <w:t>Service</w:t>
      </w:r>
      <w:r>
        <w:rPr>
          <w:color w:val="4F576A"/>
          <w:spacing w:val="74"/>
          <w:sz w:val="32"/>
        </w:rPr>
        <w:t> </w:t>
      </w:r>
      <w:r>
        <w:rPr>
          <w:color w:val="4F576A"/>
          <w:sz w:val="32"/>
        </w:rPr>
        <w:t>Provider</w:t>
      </w:r>
      <w:r>
        <w:rPr>
          <w:color w:val="4F576A"/>
          <w:spacing w:val="-86"/>
          <w:sz w:val="32"/>
        </w:rPr>
        <w:t> </w:t>
      </w:r>
      <w:r>
        <w:rPr>
          <w:color w:val="4F576A"/>
          <w:sz w:val="32"/>
        </w:rPr>
        <w:t>(TCSP)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with</w:t>
      </w:r>
      <w:r>
        <w:rPr>
          <w:color w:val="4F576A"/>
          <w:spacing w:val="2"/>
          <w:sz w:val="32"/>
        </w:rPr>
        <w:t> </w:t>
      </w:r>
      <w:r>
        <w:rPr>
          <w:color w:val="4F576A"/>
          <w:sz w:val="32"/>
        </w:rPr>
        <w:t>FIU_IND</w:t>
      </w:r>
    </w:p>
    <w:p>
      <w:pPr>
        <w:pStyle w:val="ListParagraph"/>
        <w:numPr>
          <w:ilvl w:val="0"/>
          <w:numId w:val="3"/>
        </w:numPr>
        <w:tabs>
          <w:tab w:pos="664" w:val="left" w:leader="none"/>
          <w:tab w:pos="665" w:val="left" w:leader="none"/>
        </w:tabs>
        <w:spacing w:line="300" w:lineRule="auto" w:before="2" w:after="0"/>
        <w:ind w:left="664" w:right="123" w:hanging="540"/>
        <w:jc w:val="left"/>
        <w:rPr>
          <w:sz w:val="32"/>
        </w:rPr>
      </w:pPr>
      <w:r>
        <w:rPr>
          <w:color w:val="4F576A"/>
          <w:sz w:val="32"/>
        </w:rPr>
        <w:t>LLP</w:t>
      </w:r>
      <w:r>
        <w:rPr>
          <w:color w:val="4F576A"/>
          <w:spacing w:val="32"/>
          <w:sz w:val="32"/>
        </w:rPr>
        <w:t> </w:t>
      </w:r>
      <w:r>
        <w:rPr>
          <w:color w:val="4F576A"/>
          <w:sz w:val="32"/>
        </w:rPr>
        <w:t>Amnesty</w:t>
      </w:r>
      <w:r>
        <w:rPr>
          <w:color w:val="4F576A"/>
          <w:spacing w:val="30"/>
          <w:sz w:val="32"/>
        </w:rPr>
        <w:t> </w:t>
      </w:r>
      <w:r>
        <w:rPr>
          <w:color w:val="4F576A"/>
          <w:sz w:val="32"/>
        </w:rPr>
        <w:t>Scheme</w:t>
      </w:r>
      <w:r>
        <w:rPr>
          <w:color w:val="4F576A"/>
          <w:spacing w:val="33"/>
          <w:sz w:val="32"/>
        </w:rPr>
        <w:t> </w:t>
      </w:r>
      <w:r>
        <w:rPr>
          <w:color w:val="4F576A"/>
          <w:sz w:val="32"/>
        </w:rPr>
        <w:t>(Condonation</w:t>
      </w:r>
      <w:r>
        <w:rPr>
          <w:color w:val="4F576A"/>
          <w:spacing w:val="33"/>
          <w:sz w:val="32"/>
        </w:rPr>
        <w:t> </w:t>
      </w:r>
      <w:r>
        <w:rPr>
          <w:color w:val="4F576A"/>
          <w:sz w:val="32"/>
        </w:rPr>
        <w:t>of</w:t>
      </w:r>
      <w:r>
        <w:rPr>
          <w:color w:val="4F576A"/>
          <w:spacing w:val="31"/>
          <w:sz w:val="32"/>
        </w:rPr>
        <w:t> </w:t>
      </w:r>
      <w:r>
        <w:rPr>
          <w:color w:val="4F576A"/>
          <w:sz w:val="32"/>
        </w:rPr>
        <w:t>delay</w:t>
      </w:r>
      <w:r>
        <w:rPr>
          <w:color w:val="4F576A"/>
          <w:spacing w:val="28"/>
          <w:sz w:val="32"/>
        </w:rPr>
        <w:t> </w:t>
      </w:r>
      <w:r>
        <w:rPr>
          <w:color w:val="4F576A"/>
          <w:sz w:val="32"/>
        </w:rPr>
        <w:t>for</w:t>
      </w:r>
      <w:r>
        <w:rPr>
          <w:color w:val="4F576A"/>
          <w:spacing w:val="34"/>
          <w:sz w:val="32"/>
        </w:rPr>
        <w:t> </w:t>
      </w:r>
      <w:r>
        <w:rPr>
          <w:color w:val="4F576A"/>
          <w:sz w:val="32"/>
        </w:rPr>
        <w:t>Form</w:t>
      </w:r>
      <w:r>
        <w:rPr>
          <w:color w:val="4F576A"/>
          <w:spacing w:val="35"/>
          <w:sz w:val="32"/>
        </w:rPr>
        <w:t> </w:t>
      </w:r>
      <w:r>
        <w:rPr>
          <w:color w:val="4F576A"/>
          <w:sz w:val="32"/>
        </w:rPr>
        <w:t>3,Form</w:t>
      </w:r>
      <w:r>
        <w:rPr>
          <w:color w:val="4F576A"/>
          <w:spacing w:val="32"/>
          <w:sz w:val="32"/>
        </w:rPr>
        <w:t> </w:t>
      </w:r>
      <w:r>
        <w:rPr>
          <w:color w:val="4F576A"/>
          <w:sz w:val="32"/>
        </w:rPr>
        <w:t>4</w:t>
      </w:r>
      <w:r>
        <w:rPr>
          <w:color w:val="4F576A"/>
          <w:spacing w:val="35"/>
          <w:sz w:val="32"/>
        </w:rPr>
        <w:t> </w:t>
      </w:r>
      <w:r>
        <w:rPr>
          <w:color w:val="4F576A"/>
          <w:sz w:val="32"/>
        </w:rPr>
        <w:t>and</w:t>
      </w:r>
      <w:r>
        <w:rPr>
          <w:color w:val="4F576A"/>
          <w:spacing w:val="-86"/>
          <w:sz w:val="32"/>
        </w:rPr>
        <w:t> </w:t>
      </w:r>
      <w:r>
        <w:rPr>
          <w:color w:val="4F576A"/>
          <w:sz w:val="32"/>
        </w:rPr>
        <w:t>Form-11)</w:t>
      </w:r>
    </w:p>
    <w:p>
      <w:pPr>
        <w:spacing w:before="2"/>
        <w:ind w:left="124" w:right="0" w:firstLine="0"/>
        <w:jc w:val="left"/>
        <w:rPr>
          <w:rFonts w:ascii="Arial"/>
          <w:b/>
          <w:sz w:val="32"/>
        </w:rPr>
      </w:pPr>
      <w:r>
        <w:rPr/>
        <w:pict>
          <v:group style="position:absolute;margin-left:0pt;margin-top:90.251633pt;width:539.950pt;height:20.4pt;mso-position-horizontal-relative:page;mso-position-vertical-relative:paragraph;z-index:15730176" coordorigin="0,1805" coordsize="10799,408">
            <v:rect style="position:absolute;left:0;top:1805;width:10799;height:408" filled="true" fillcolor="#36394f" stroked="false">
              <v:fill type="solid"/>
            </v:re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08;top:1825;width:2113;height:314" type="#_x0000_t202" filled="false" stroked="false">
              <v:textbox inset="0,0,0,0">
                <w:txbxContent>
                  <w:p>
                    <w:pPr>
                      <w:spacing w:line="314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15"/>
                        <w:sz w:val="28"/>
                      </w:rPr>
                      <w:t>AUGUST</w:t>
                    </w:r>
                    <w:r>
                      <w:rPr>
                        <w:rFonts w:ascii="Arial"/>
                        <w:b/>
                        <w:color w:val="EBCF6A"/>
                        <w:spacing w:val="54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15"/>
                        <w:sz w:val="28"/>
                      </w:rPr>
                      <w:t>2023</w:t>
                    </w:r>
                  </w:p>
                </w:txbxContent>
              </v:textbox>
              <w10:wrap type="none"/>
            </v:shape>
            <v:shape style="position:absolute;left:7765;top:1825;width:2907;height:314" type="#_x0000_t202" filled="false" stroked="false">
              <v:textbox inset="0,0,0,0">
                <w:txbxContent>
                  <w:p>
                    <w:pPr>
                      <w:spacing w:line="314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-13"/>
                        <w:sz w:val="28"/>
                      </w:rPr>
                      <w:t>KNOWLEDGE</w:t>
                    </w:r>
                    <w:r>
                      <w:rPr>
                        <w:rFonts w:ascii="Arial"/>
                        <w:b/>
                        <w:color w:val="EBCF6A"/>
                        <w:spacing w:val="-9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-13"/>
                        <w:sz w:val="28"/>
                      </w:rPr>
                      <w:t>UPDATE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"/>
          <w:b/>
          <w:color w:val="4F576A"/>
          <w:sz w:val="32"/>
          <w:u w:val="thick" w:color="4F576A"/>
        </w:rPr>
        <w:t>Due</w:t>
      </w:r>
      <w:r>
        <w:rPr>
          <w:rFonts w:ascii="Arial"/>
          <w:b/>
          <w:color w:val="4F576A"/>
          <w:spacing w:val="-1"/>
          <w:sz w:val="32"/>
          <w:u w:val="thick" w:color="4F576A"/>
        </w:rPr>
        <w:t> </w:t>
      </w:r>
      <w:r>
        <w:rPr>
          <w:rFonts w:ascii="Arial"/>
          <w:b/>
          <w:color w:val="4F576A"/>
          <w:sz w:val="32"/>
          <w:u w:val="thick" w:color="4F576A"/>
        </w:rPr>
        <w:t>Dates</w:t>
      </w:r>
    </w:p>
    <w:p>
      <w:pPr>
        <w:spacing w:after="0"/>
        <w:jc w:val="left"/>
        <w:rPr>
          <w:rFonts w:ascii="Arial"/>
          <w:sz w:val="32"/>
        </w:rPr>
        <w:sectPr>
          <w:type w:val="continuous"/>
          <w:pgSz w:w="10800" w:h="19200"/>
          <w:pgMar w:top="0" w:bottom="0" w:left="0" w:right="0"/>
        </w:sectPr>
      </w:pPr>
    </w:p>
    <w:p>
      <w:pPr>
        <w:tabs>
          <w:tab w:pos="4917" w:val="left" w:leader="none"/>
        </w:tabs>
        <w:spacing w:line="240" w:lineRule="auto"/>
        <w:ind w:left="463" w:right="0" w:firstLine="0"/>
        <w:rPr>
          <w:rFonts w:ascii="Arial"/>
          <w:sz w:val="20"/>
        </w:rPr>
      </w:pPr>
      <w:r>
        <w:rPr/>
        <w:pict>
          <v:rect style="position:absolute;margin-left:0pt;margin-top:-.000061pt;width:540pt;height:960pt;mso-position-horizontal-relative:page;mso-position-vertical-relative:page;z-index:-16029184" filled="true" fillcolor="#fdfcf8" stroked="false">
            <v:fill type="solid"/>
            <w10:wrap type="none"/>
          </v:rect>
        </w:pict>
      </w:r>
      <w:r>
        <w:rPr>
          <w:rFonts w:ascii="Arial"/>
          <w:position w:val="28"/>
          <w:sz w:val="20"/>
        </w:rPr>
        <w:drawing>
          <wp:inline distT="0" distB="0" distL="0" distR="0">
            <wp:extent cx="2551633" cy="1491233"/>
            <wp:effectExtent l="0" t="0" r="0" b="0"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1633" cy="1491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28"/>
          <w:sz w:val="20"/>
        </w:rPr>
      </w:r>
      <w:r>
        <w:rPr>
          <w:rFonts w:ascii="Arial"/>
          <w:position w:val="28"/>
          <w:sz w:val="20"/>
        </w:rPr>
        <w:tab/>
      </w:r>
      <w:r>
        <w:rPr>
          <w:rFonts w:ascii="Arial"/>
          <w:sz w:val="20"/>
        </w:rPr>
        <w:pict>
          <v:group style="width:275.2pt;height:158.8pt;mso-position-horizontal-relative:char;mso-position-vertical-relative:line" coordorigin="0,0" coordsize="5504,3176">
            <v:rect style="position:absolute;left:4214;top:0;width:860;height:2669" filled="true" fillcolor="#ebcf6a" stroked="false">
              <v:fill type="solid"/>
            </v:rect>
            <v:shape style="position:absolute;left:3564;top:299;width:1786;height:1798" type="#_x0000_t75" stroked="false">
              <v:imagedata r:id="rId5" o:title=""/>
            </v:shape>
            <v:shape style="position:absolute;left:0;top:2668;width:5504;height:508" type="#_x0000_t202" filled="true" fillcolor="#394558" stroked="false">
              <v:textbox inset="0,0,0,0">
                <w:txbxContent>
                  <w:p>
                    <w:pPr>
                      <w:spacing w:before="14"/>
                      <w:ind w:left="1287" w:right="0" w:firstLine="0"/>
                      <w:jc w:val="left"/>
                      <w:rPr>
                        <w:rFonts w:ascii="Arial"/>
                        <w:b/>
                        <w:sz w:val="40"/>
                      </w:rPr>
                    </w:pPr>
                    <w:bookmarkStart w:name="Slide 2" w:id="2"/>
                    <w:bookmarkEnd w:id="2"/>
                    <w:r>
                      <w:rPr/>
                    </w:r>
                    <w:r>
                      <w:rPr>
                        <w:rFonts w:ascii="Arial"/>
                        <w:b/>
                        <w:color w:val="EBCF6A"/>
                        <w:sz w:val="40"/>
                      </w:rPr>
                      <w:t>COMPANY</w:t>
                    </w:r>
                    <w:r>
                      <w:rPr>
                        <w:rFonts w:ascii="Arial"/>
                        <w:b/>
                        <w:color w:val="EBCF6A"/>
                        <w:spacing w:val="-2"/>
                        <w:sz w:val="4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z w:val="40"/>
                      </w:rPr>
                      <w:t>LAW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rFonts w:ascii="Arial"/>
          <w:sz w:val="20"/>
        </w:rPr>
      </w:r>
    </w:p>
    <w:p>
      <w:pPr>
        <w:pStyle w:val="BodyText"/>
        <w:rPr>
          <w:rFonts w:ascii="Arial"/>
          <w:b/>
          <w:sz w:val="12"/>
        </w:rPr>
      </w:pPr>
    </w:p>
    <w:p>
      <w:pPr>
        <w:pStyle w:val="Heading2"/>
        <w:numPr>
          <w:ilvl w:val="1"/>
          <w:numId w:val="3"/>
        </w:numPr>
        <w:tabs>
          <w:tab w:pos="828" w:val="left" w:leader="none"/>
        </w:tabs>
        <w:spacing w:line="240" w:lineRule="auto" w:before="89" w:after="0"/>
        <w:ind w:left="828" w:right="0" w:hanging="541"/>
        <w:jc w:val="both"/>
      </w:pPr>
      <w:r>
        <w:rPr/>
        <w:pict>
          <v:rect style="position:absolute;margin-left:456.600006pt;margin-top:-9.292192pt;width:42.96pt;height:2.280pt;mso-position-horizontal-relative:page;mso-position-vertical-relative:paragraph;z-index:15732224" filled="true" fillcolor="#ebcf6a" stroked="false">
            <v:fill type="solid"/>
            <w10:wrap type="none"/>
          </v:rect>
        </w:pict>
      </w:r>
      <w:r>
        <w:rPr>
          <w:color w:val="4F576A"/>
        </w:rPr>
        <w:t>Companies</w:t>
      </w:r>
      <w:r>
        <w:rPr>
          <w:color w:val="4F576A"/>
          <w:spacing w:val="-2"/>
        </w:rPr>
        <w:t> </w:t>
      </w:r>
      <w:r>
        <w:rPr>
          <w:color w:val="4F576A"/>
        </w:rPr>
        <w:t>(Incorporation)</w:t>
      </w:r>
      <w:r>
        <w:rPr>
          <w:color w:val="4F576A"/>
          <w:spacing w:val="6"/>
        </w:rPr>
        <w:t> </w:t>
      </w:r>
      <w:r>
        <w:rPr>
          <w:color w:val="4F576A"/>
        </w:rPr>
        <w:t>Second</w:t>
      </w:r>
      <w:r>
        <w:rPr>
          <w:color w:val="4F576A"/>
          <w:spacing w:val="-18"/>
        </w:rPr>
        <w:t> </w:t>
      </w:r>
      <w:r>
        <w:rPr>
          <w:color w:val="4F576A"/>
        </w:rPr>
        <w:t>Amendment</w:t>
      </w:r>
      <w:r>
        <w:rPr>
          <w:color w:val="4F576A"/>
          <w:spacing w:val="6"/>
        </w:rPr>
        <w:t> </w:t>
      </w:r>
      <w:r>
        <w:rPr>
          <w:color w:val="4F576A"/>
        </w:rPr>
        <w:t>Rules,</w:t>
      </w:r>
      <w:r>
        <w:rPr>
          <w:color w:val="4F576A"/>
          <w:spacing w:val="-5"/>
        </w:rPr>
        <w:t> </w:t>
      </w:r>
      <w:r>
        <w:rPr>
          <w:color w:val="4F576A"/>
        </w:rPr>
        <w:t>2023</w:t>
      </w:r>
    </w:p>
    <w:p>
      <w:pPr>
        <w:pStyle w:val="ListParagraph"/>
        <w:numPr>
          <w:ilvl w:val="0"/>
          <w:numId w:val="4"/>
        </w:numPr>
        <w:tabs>
          <w:tab w:pos="740" w:val="left" w:leader="none"/>
        </w:tabs>
        <w:spacing w:line="249" w:lineRule="auto" w:before="59" w:after="0"/>
        <w:ind w:left="739" w:right="413" w:hanging="452"/>
        <w:jc w:val="both"/>
        <w:rPr>
          <w:color w:val="4F576A"/>
          <w:sz w:val="32"/>
        </w:rPr>
      </w:pPr>
      <w:r>
        <w:rPr>
          <w:color w:val="4F576A"/>
          <w:sz w:val="32"/>
        </w:rPr>
        <w:t>Revised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Form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No.RD-1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to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be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used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by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companies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for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filing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application to Central Government (Regional Director) for approval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of</w:t>
      </w:r>
      <w:r>
        <w:rPr>
          <w:color w:val="4F576A"/>
          <w:spacing w:val="-1"/>
          <w:sz w:val="32"/>
        </w:rPr>
        <w:t> </w:t>
      </w:r>
      <w:r>
        <w:rPr>
          <w:color w:val="4F576A"/>
          <w:sz w:val="32"/>
        </w:rPr>
        <w:t>Compromises,</w:t>
      </w:r>
      <w:r>
        <w:rPr>
          <w:color w:val="4F576A"/>
          <w:spacing w:val="-17"/>
          <w:sz w:val="32"/>
        </w:rPr>
        <w:t> </w:t>
      </w:r>
      <w:r>
        <w:rPr>
          <w:color w:val="4F576A"/>
          <w:sz w:val="32"/>
        </w:rPr>
        <w:t>Arrangements,</w:t>
      </w:r>
      <w:r>
        <w:rPr>
          <w:color w:val="4F576A"/>
          <w:spacing w:val="-11"/>
          <w:sz w:val="32"/>
        </w:rPr>
        <w:t> </w:t>
      </w:r>
      <w:r>
        <w:rPr>
          <w:color w:val="4F576A"/>
          <w:sz w:val="32"/>
        </w:rPr>
        <w:t>Amalgamations</w:t>
      </w:r>
      <w:r>
        <w:rPr>
          <w:color w:val="4F576A"/>
          <w:spacing w:val="-2"/>
          <w:sz w:val="32"/>
        </w:rPr>
        <w:t> </w:t>
      </w:r>
      <w:r>
        <w:rPr>
          <w:color w:val="4F576A"/>
          <w:sz w:val="32"/>
        </w:rPr>
        <w:t>and</w:t>
      </w:r>
      <w:r>
        <w:rPr>
          <w:color w:val="4F576A"/>
          <w:spacing w:val="-2"/>
          <w:sz w:val="32"/>
        </w:rPr>
        <w:t> </w:t>
      </w:r>
      <w:r>
        <w:rPr>
          <w:color w:val="4F576A"/>
          <w:sz w:val="32"/>
        </w:rPr>
        <w:t>conversions.</w:t>
      </w:r>
    </w:p>
    <w:p>
      <w:pPr>
        <w:pStyle w:val="ListParagraph"/>
        <w:numPr>
          <w:ilvl w:val="0"/>
          <w:numId w:val="4"/>
        </w:numPr>
        <w:tabs>
          <w:tab w:pos="740" w:val="left" w:leader="none"/>
        </w:tabs>
        <w:spacing w:line="240" w:lineRule="auto" w:before="38" w:after="0"/>
        <w:ind w:left="739" w:right="0" w:hanging="453"/>
        <w:jc w:val="both"/>
        <w:rPr>
          <w:color w:val="4F576A"/>
          <w:sz w:val="32"/>
        </w:rPr>
      </w:pPr>
      <w:hyperlink r:id="rId7">
        <w:r>
          <w:rPr>
            <w:color w:val="56C1B8"/>
            <w:sz w:val="32"/>
            <w:u w:val="thick" w:color="56C1B8"/>
          </w:rPr>
          <w:t>Click</w:t>
        </w:r>
        <w:r>
          <w:rPr>
            <w:color w:val="56C1B8"/>
            <w:spacing w:val="-5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here for</w:t>
        </w:r>
        <w:r>
          <w:rPr>
            <w:color w:val="56C1B8"/>
            <w:spacing w:val="2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Notification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6"/>
        </w:rPr>
      </w:pPr>
    </w:p>
    <w:p>
      <w:pPr>
        <w:pStyle w:val="Heading1"/>
        <w:tabs>
          <w:tab w:pos="6362" w:val="left" w:leader="none"/>
          <w:tab w:pos="10727" w:val="left" w:leader="none"/>
        </w:tabs>
      </w:pPr>
      <w:r>
        <w:rPr/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425195</wp:posOffset>
            </wp:positionH>
            <wp:positionV relativeFrom="paragraph">
              <wp:posOffset>-416689</wp:posOffset>
            </wp:positionV>
            <wp:extent cx="2602992" cy="1545335"/>
            <wp:effectExtent l="0" t="0" r="0" b="0"/>
            <wp:wrapNone/>
            <wp:docPr id="3" name="image3.jpeg" descr="A picture containing text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2992" cy="1545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BCF6A"/>
          <w:w w:val="100"/>
          <w:shd w:fill="394558" w:color="auto" w:val="clear"/>
        </w:rPr>
        <w:t> </w:t>
      </w:r>
      <w:r>
        <w:rPr>
          <w:color w:val="EBCF6A"/>
          <w:shd w:fill="394558" w:color="auto" w:val="clear"/>
        </w:rPr>
        <w:tab/>
      </w:r>
      <w:r>
        <w:rPr>
          <w:color w:val="EBCF6A"/>
          <w:shd w:fill="394558" w:color="auto" w:val="clear"/>
        </w:rPr>
        <w:t>SECURITIES</w:t>
      </w:r>
      <w:r>
        <w:rPr>
          <w:color w:val="EBCF6A"/>
          <w:spacing w:val="35"/>
          <w:shd w:fill="394558" w:color="auto" w:val="clear"/>
        </w:rPr>
        <w:t> </w:t>
      </w:r>
      <w:r>
        <w:rPr>
          <w:color w:val="EBCF6A"/>
          <w:shd w:fill="394558" w:color="auto" w:val="clear"/>
        </w:rPr>
        <w:t>LAW</w:t>
        <w:tab/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Heading2"/>
        <w:numPr>
          <w:ilvl w:val="0"/>
          <w:numId w:val="5"/>
        </w:numPr>
        <w:tabs>
          <w:tab w:pos="828" w:val="left" w:leader="none"/>
        </w:tabs>
        <w:spacing w:line="249" w:lineRule="auto" w:before="250" w:after="0"/>
        <w:ind w:left="828" w:right="285" w:hanging="541"/>
        <w:jc w:val="both"/>
      </w:pPr>
      <w:r>
        <w:rPr>
          <w:color w:val="4F576A"/>
        </w:rPr>
        <w:t>SEBI Reduces Timeline for Listing of Shares in Public Issue</w:t>
      </w:r>
      <w:r>
        <w:rPr>
          <w:color w:val="4F576A"/>
          <w:spacing w:val="1"/>
        </w:rPr>
        <w:t> </w:t>
      </w:r>
      <w:r>
        <w:rPr>
          <w:color w:val="4F576A"/>
        </w:rPr>
        <w:t>from</w:t>
      </w:r>
      <w:r>
        <w:rPr>
          <w:color w:val="4F576A"/>
          <w:spacing w:val="2"/>
        </w:rPr>
        <w:t> </w:t>
      </w:r>
      <w:r>
        <w:rPr>
          <w:color w:val="4F576A"/>
        </w:rPr>
        <w:t>Existing</w:t>
      </w:r>
      <w:r>
        <w:rPr>
          <w:color w:val="4F576A"/>
          <w:spacing w:val="6"/>
        </w:rPr>
        <w:t> </w:t>
      </w:r>
      <w:r>
        <w:rPr>
          <w:color w:val="4F576A"/>
        </w:rPr>
        <w:t>T+6 Days</w:t>
      </w:r>
      <w:r>
        <w:rPr>
          <w:color w:val="4F576A"/>
          <w:spacing w:val="8"/>
        </w:rPr>
        <w:t> </w:t>
      </w:r>
      <w:r>
        <w:rPr>
          <w:color w:val="4F576A"/>
        </w:rPr>
        <w:t>to T+3</w:t>
      </w:r>
      <w:r>
        <w:rPr>
          <w:color w:val="4F576A"/>
          <w:spacing w:val="2"/>
        </w:rPr>
        <w:t> </w:t>
      </w:r>
      <w:r>
        <w:rPr>
          <w:color w:val="4F576A"/>
        </w:rPr>
        <w:t>Days</w:t>
      </w:r>
    </w:p>
    <w:p>
      <w:pPr>
        <w:pStyle w:val="ListParagraph"/>
        <w:numPr>
          <w:ilvl w:val="0"/>
          <w:numId w:val="4"/>
        </w:numPr>
        <w:tabs>
          <w:tab w:pos="740" w:val="left" w:leader="none"/>
        </w:tabs>
        <w:spacing w:line="249" w:lineRule="auto" w:before="3" w:after="0"/>
        <w:ind w:left="739" w:right="417" w:hanging="452"/>
        <w:jc w:val="both"/>
        <w:rPr>
          <w:color w:val="4F576A"/>
          <w:sz w:val="32"/>
        </w:rPr>
      </w:pPr>
      <w:r>
        <w:rPr>
          <w:color w:val="4F576A"/>
          <w:sz w:val="32"/>
        </w:rPr>
        <w:t>The T+3 listing timeline must be disclosed in Offer Documents for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public</w:t>
      </w:r>
      <w:r>
        <w:rPr>
          <w:color w:val="4F576A"/>
          <w:spacing w:val="-5"/>
          <w:sz w:val="32"/>
        </w:rPr>
        <w:t> </w:t>
      </w:r>
      <w:r>
        <w:rPr>
          <w:color w:val="4F576A"/>
          <w:sz w:val="32"/>
        </w:rPr>
        <w:t>issues.</w:t>
      </w:r>
    </w:p>
    <w:p>
      <w:pPr>
        <w:pStyle w:val="ListParagraph"/>
        <w:numPr>
          <w:ilvl w:val="0"/>
          <w:numId w:val="4"/>
        </w:numPr>
        <w:tabs>
          <w:tab w:pos="740" w:val="left" w:leader="none"/>
        </w:tabs>
        <w:spacing w:line="249" w:lineRule="auto" w:before="2" w:after="0"/>
        <w:ind w:left="739" w:right="413" w:hanging="452"/>
        <w:jc w:val="both"/>
        <w:rPr>
          <w:color w:val="4F576A"/>
          <w:sz w:val="32"/>
        </w:rPr>
      </w:pPr>
      <w:r>
        <w:rPr>
          <w:color w:val="4F576A"/>
          <w:sz w:val="32"/>
        </w:rPr>
        <w:t>The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circular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shall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be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applicable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on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a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voluntary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basis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for</w:t>
      </w:r>
      <w:r>
        <w:rPr>
          <w:color w:val="4F576A"/>
          <w:spacing w:val="88"/>
          <w:sz w:val="32"/>
        </w:rPr>
        <w:t> </w:t>
      </w:r>
      <w:r>
        <w:rPr>
          <w:color w:val="4F576A"/>
          <w:sz w:val="32"/>
        </w:rPr>
        <w:t>public</w:t>
      </w:r>
      <w:r>
        <w:rPr>
          <w:color w:val="4F576A"/>
          <w:spacing w:val="-86"/>
          <w:sz w:val="32"/>
        </w:rPr>
        <w:t> </w:t>
      </w:r>
      <w:r>
        <w:rPr>
          <w:color w:val="4F576A"/>
          <w:sz w:val="32"/>
        </w:rPr>
        <w:t>issues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opening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on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or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after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01.09.2023,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and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it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will</w:t>
      </w:r>
      <w:r>
        <w:rPr>
          <w:color w:val="4F576A"/>
          <w:spacing w:val="88"/>
          <w:sz w:val="32"/>
        </w:rPr>
        <w:t> </w:t>
      </w:r>
      <w:r>
        <w:rPr>
          <w:color w:val="4F576A"/>
          <w:sz w:val="32"/>
        </w:rPr>
        <w:t>become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mandatory</w:t>
      </w:r>
      <w:r>
        <w:rPr>
          <w:color w:val="4F576A"/>
          <w:spacing w:val="4"/>
          <w:sz w:val="32"/>
        </w:rPr>
        <w:t> </w:t>
      </w:r>
      <w:r>
        <w:rPr>
          <w:color w:val="4F576A"/>
          <w:sz w:val="32"/>
        </w:rPr>
        <w:t>for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public</w:t>
      </w:r>
      <w:r>
        <w:rPr>
          <w:color w:val="4F576A"/>
          <w:spacing w:val="-2"/>
          <w:sz w:val="32"/>
        </w:rPr>
        <w:t> </w:t>
      </w:r>
      <w:r>
        <w:rPr>
          <w:color w:val="4F576A"/>
          <w:sz w:val="32"/>
        </w:rPr>
        <w:t>issues</w:t>
      </w:r>
      <w:r>
        <w:rPr>
          <w:color w:val="4F576A"/>
          <w:spacing w:val="-4"/>
          <w:sz w:val="32"/>
        </w:rPr>
        <w:t> </w:t>
      </w:r>
      <w:r>
        <w:rPr>
          <w:color w:val="4F576A"/>
          <w:sz w:val="32"/>
        </w:rPr>
        <w:t>opening on</w:t>
      </w:r>
      <w:r>
        <w:rPr>
          <w:color w:val="4F576A"/>
          <w:spacing w:val="-1"/>
          <w:sz w:val="32"/>
        </w:rPr>
        <w:t> </w:t>
      </w:r>
      <w:r>
        <w:rPr>
          <w:color w:val="4F576A"/>
          <w:sz w:val="32"/>
        </w:rPr>
        <w:t>or</w:t>
      </w:r>
      <w:r>
        <w:rPr>
          <w:color w:val="4F576A"/>
          <w:spacing w:val="3"/>
          <w:sz w:val="32"/>
        </w:rPr>
        <w:t> </w:t>
      </w:r>
      <w:r>
        <w:rPr>
          <w:color w:val="4F576A"/>
          <w:sz w:val="32"/>
        </w:rPr>
        <w:t>after</w:t>
      </w:r>
      <w:r>
        <w:rPr>
          <w:color w:val="4F576A"/>
          <w:spacing w:val="3"/>
          <w:sz w:val="32"/>
        </w:rPr>
        <w:t> </w:t>
      </w:r>
      <w:r>
        <w:rPr>
          <w:color w:val="4F576A"/>
          <w:sz w:val="32"/>
        </w:rPr>
        <w:t>01.12.2023.</w:t>
      </w:r>
    </w:p>
    <w:p>
      <w:pPr>
        <w:pStyle w:val="ListParagraph"/>
        <w:numPr>
          <w:ilvl w:val="0"/>
          <w:numId w:val="4"/>
        </w:numPr>
        <w:tabs>
          <w:tab w:pos="740" w:val="left" w:leader="none"/>
        </w:tabs>
        <w:spacing w:line="240" w:lineRule="auto" w:before="4" w:after="0"/>
        <w:ind w:left="739" w:right="0" w:hanging="453"/>
        <w:jc w:val="both"/>
        <w:rPr>
          <w:color w:val="6A6A6A"/>
          <w:sz w:val="32"/>
        </w:rPr>
      </w:pPr>
      <w:hyperlink r:id="rId9">
        <w:r>
          <w:rPr>
            <w:color w:val="56C1B8"/>
            <w:sz w:val="32"/>
            <w:u w:val="thick" w:color="56C1B8"/>
          </w:rPr>
          <w:t>Click</w:t>
        </w:r>
        <w:r>
          <w:rPr>
            <w:color w:val="56C1B8"/>
            <w:spacing w:val="-5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here for</w:t>
        </w:r>
        <w:r>
          <w:rPr>
            <w:color w:val="56C1B8"/>
            <w:spacing w:val="3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Circular</w:t>
        </w:r>
      </w:hyperlink>
    </w:p>
    <w:p>
      <w:pPr>
        <w:pStyle w:val="BodyText"/>
        <w:spacing w:before="9"/>
        <w:rPr>
          <w:sz w:val="34"/>
        </w:rPr>
      </w:pPr>
    </w:p>
    <w:p>
      <w:pPr>
        <w:pStyle w:val="Heading2"/>
        <w:numPr>
          <w:ilvl w:val="0"/>
          <w:numId w:val="5"/>
        </w:numPr>
        <w:tabs>
          <w:tab w:pos="828" w:val="left" w:leader="none"/>
        </w:tabs>
        <w:spacing w:line="240" w:lineRule="auto" w:before="0" w:after="0"/>
        <w:ind w:left="828" w:right="0" w:hanging="541"/>
        <w:jc w:val="both"/>
      </w:pPr>
      <w:r>
        <w:rPr>
          <w:color w:val="4F576A"/>
        </w:rPr>
        <w:t>Online</w:t>
      </w:r>
      <w:r>
        <w:rPr>
          <w:color w:val="4F576A"/>
          <w:spacing w:val="3"/>
        </w:rPr>
        <w:t> </w:t>
      </w:r>
      <w:r>
        <w:rPr>
          <w:color w:val="4F576A"/>
        </w:rPr>
        <w:t>Resolution</w:t>
      </w:r>
      <w:r>
        <w:rPr>
          <w:color w:val="4F576A"/>
          <w:spacing w:val="2"/>
        </w:rPr>
        <w:t> </w:t>
      </w:r>
      <w:r>
        <w:rPr>
          <w:color w:val="4F576A"/>
        </w:rPr>
        <w:t>of Disputes in</w:t>
      </w:r>
      <w:r>
        <w:rPr>
          <w:color w:val="4F576A"/>
          <w:spacing w:val="-2"/>
        </w:rPr>
        <w:t> </w:t>
      </w:r>
      <w:r>
        <w:rPr>
          <w:color w:val="4F576A"/>
        </w:rPr>
        <w:t>the</w:t>
      </w:r>
      <w:r>
        <w:rPr>
          <w:color w:val="4F576A"/>
          <w:spacing w:val="-2"/>
        </w:rPr>
        <w:t> </w:t>
      </w:r>
      <w:r>
        <w:rPr>
          <w:color w:val="4F576A"/>
        </w:rPr>
        <w:t>Indian</w:t>
      </w:r>
      <w:r>
        <w:rPr>
          <w:color w:val="4F576A"/>
          <w:spacing w:val="2"/>
        </w:rPr>
        <w:t> </w:t>
      </w:r>
      <w:r>
        <w:rPr>
          <w:color w:val="4F576A"/>
        </w:rPr>
        <w:t>Securities</w:t>
      </w:r>
      <w:r>
        <w:rPr>
          <w:color w:val="4F576A"/>
          <w:spacing w:val="-2"/>
        </w:rPr>
        <w:t> </w:t>
      </w:r>
      <w:r>
        <w:rPr>
          <w:color w:val="4F576A"/>
        </w:rPr>
        <w:t>Market.</w:t>
      </w:r>
    </w:p>
    <w:p>
      <w:pPr>
        <w:pStyle w:val="ListParagraph"/>
        <w:numPr>
          <w:ilvl w:val="0"/>
          <w:numId w:val="4"/>
        </w:numPr>
        <w:tabs>
          <w:tab w:pos="740" w:val="left" w:leader="none"/>
        </w:tabs>
        <w:spacing w:line="249" w:lineRule="auto" w:before="16" w:after="0"/>
        <w:ind w:left="739" w:right="413" w:hanging="452"/>
        <w:jc w:val="both"/>
        <w:rPr>
          <w:color w:val="4F576A"/>
          <w:sz w:val="32"/>
        </w:rPr>
      </w:pPr>
      <w:r>
        <w:rPr>
          <w:color w:val="4F576A"/>
          <w:sz w:val="32"/>
        </w:rPr>
        <w:t>Online Dispute Resolution (ODR) Portal will be managed by Market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Infrastructure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Institutions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(MIIs),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which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include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Stock</w:t>
      </w:r>
      <w:r>
        <w:rPr>
          <w:color w:val="4F576A"/>
          <w:spacing w:val="88"/>
          <w:sz w:val="32"/>
        </w:rPr>
        <w:t> </w:t>
      </w:r>
      <w:r>
        <w:rPr>
          <w:color w:val="4F576A"/>
          <w:sz w:val="32"/>
        </w:rPr>
        <w:t>Exchanges</w:t>
      </w:r>
      <w:r>
        <w:rPr>
          <w:color w:val="4F576A"/>
          <w:spacing w:val="-86"/>
          <w:sz w:val="32"/>
        </w:rPr>
        <w:t> </w:t>
      </w:r>
      <w:r>
        <w:rPr>
          <w:color w:val="4F576A"/>
          <w:sz w:val="32"/>
        </w:rPr>
        <w:t>and</w:t>
      </w:r>
      <w:r>
        <w:rPr>
          <w:color w:val="4F576A"/>
          <w:spacing w:val="-2"/>
          <w:sz w:val="32"/>
        </w:rPr>
        <w:t> </w:t>
      </w:r>
      <w:r>
        <w:rPr>
          <w:color w:val="4F576A"/>
          <w:sz w:val="32"/>
        </w:rPr>
        <w:t>Depositories.</w:t>
      </w:r>
    </w:p>
    <w:p>
      <w:pPr>
        <w:pStyle w:val="ListParagraph"/>
        <w:numPr>
          <w:ilvl w:val="0"/>
          <w:numId w:val="4"/>
        </w:numPr>
        <w:tabs>
          <w:tab w:pos="740" w:val="left" w:leader="none"/>
        </w:tabs>
        <w:spacing w:line="249" w:lineRule="auto" w:before="5" w:after="0"/>
        <w:ind w:left="739" w:right="411" w:hanging="452"/>
        <w:jc w:val="both"/>
        <w:rPr>
          <w:color w:val="4F576A"/>
          <w:sz w:val="32"/>
        </w:rPr>
      </w:pPr>
      <w:r>
        <w:rPr>
          <w:color w:val="4F576A"/>
          <w:sz w:val="32"/>
        </w:rPr>
        <w:t>The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process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is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outlined in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a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step-by-step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manner,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starting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from</w:t>
      </w:r>
      <w:r>
        <w:rPr>
          <w:color w:val="4F576A"/>
          <w:spacing w:val="-86"/>
          <w:sz w:val="32"/>
        </w:rPr>
        <w:t> </w:t>
      </w:r>
      <w:r>
        <w:rPr>
          <w:color w:val="4F576A"/>
          <w:sz w:val="32"/>
        </w:rPr>
        <w:t>dispute</w:t>
      </w:r>
      <w:r>
        <w:rPr>
          <w:color w:val="4F576A"/>
          <w:spacing w:val="85"/>
          <w:sz w:val="32"/>
        </w:rPr>
        <w:t> </w:t>
      </w:r>
      <w:r>
        <w:rPr>
          <w:color w:val="4F576A"/>
          <w:sz w:val="32"/>
        </w:rPr>
        <w:t>initiation</w:t>
      </w:r>
      <w:r>
        <w:rPr>
          <w:color w:val="4F576A"/>
          <w:spacing w:val="83"/>
          <w:sz w:val="32"/>
        </w:rPr>
        <w:t> </w:t>
      </w:r>
      <w:r>
        <w:rPr>
          <w:color w:val="4F576A"/>
          <w:sz w:val="32"/>
        </w:rPr>
        <w:t>and</w:t>
      </w:r>
      <w:r>
        <w:rPr>
          <w:color w:val="4F576A"/>
          <w:spacing w:val="86"/>
          <w:sz w:val="32"/>
        </w:rPr>
        <w:t> </w:t>
      </w:r>
      <w:r>
        <w:rPr>
          <w:color w:val="4F576A"/>
          <w:sz w:val="32"/>
        </w:rPr>
        <w:t>escalation</w:t>
      </w:r>
      <w:r>
        <w:rPr>
          <w:color w:val="4F576A"/>
          <w:spacing w:val="84"/>
          <w:sz w:val="32"/>
        </w:rPr>
        <w:t> </w:t>
      </w:r>
      <w:r>
        <w:rPr>
          <w:color w:val="4F576A"/>
          <w:sz w:val="32"/>
        </w:rPr>
        <w:t>through</w:t>
      </w:r>
      <w:r>
        <w:rPr>
          <w:color w:val="4F576A"/>
          <w:spacing w:val="86"/>
          <w:sz w:val="32"/>
        </w:rPr>
        <w:t> </w:t>
      </w:r>
      <w:r>
        <w:rPr>
          <w:color w:val="4F576A"/>
          <w:sz w:val="32"/>
        </w:rPr>
        <w:t>the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ODR</w:t>
      </w:r>
      <w:r>
        <w:rPr>
          <w:color w:val="4F576A"/>
          <w:spacing w:val="84"/>
          <w:sz w:val="32"/>
        </w:rPr>
        <w:t> </w:t>
      </w:r>
      <w:r>
        <w:rPr>
          <w:color w:val="4F576A"/>
          <w:sz w:val="32"/>
        </w:rPr>
        <w:t>Portal,</w:t>
      </w:r>
      <w:r>
        <w:rPr>
          <w:color w:val="4F576A"/>
          <w:spacing w:val="87"/>
          <w:sz w:val="32"/>
        </w:rPr>
        <w:t> </w:t>
      </w:r>
      <w:r>
        <w:rPr>
          <w:color w:val="4F576A"/>
          <w:sz w:val="32"/>
        </w:rPr>
        <w:t>to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the</w:t>
      </w:r>
      <w:r>
        <w:rPr>
          <w:color w:val="4F576A"/>
          <w:spacing w:val="-87"/>
          <w:sz w:val="32"/>
        </w:rPr>
        <w:t> </w:t>
      </w:r>
      <w:r>
        <w:rPr>
          <w:color w:val="4F576A"/>
          <w:sz w:val="32"/>
        </w:rPr>
        <w:t>appointment</w:t>
      </w:r>
      <w:r>
        <w:rPr>
          <w:color w:val="4F576A"/>
          <w:spacing w:val="2"/>
          <w:sz w:val="32"/>
        </w:rPr>
        <w:t> </w:t>
      </w:r>
      <w:r>
        <w:rPr>
          <w:color w:val="4F576A"/>
          <w:sz w:val="32"/>
        </w:rPr>
        <w:t>of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independent</w:t>
      </w:r>
      <w:r>
        <w:rPr>
          <w:color w:val="4F576A"/>
          <w:spacing w:val="-1"/>
          <w:sz w:val="32"/>
        </w:rPr>
        <w:t> </w:t>
      </w:r>
      <w:r>
        <w:rPr>
          <w:color w:val="4F576A"/>
          <w:sz w:val="32"/>
        </w:rPr>
        <w:t>conciliators</w:t>
      </w:r>
      <w:r>
        <w:rPr>
          <w:color w:val="4F576A"/>
          <w:spacing w:val="-2"/>
          <w:sz w:val="32"/>
        </w:rPr>
        <w:t> </w:t>
      </w:r>
      <w:r>
        <w:rPr>
          <w:color w:val="4F576A"/>
          <w:sz w:val="32"/>
        </w:rPr>
        <w:t>and arbitrators.</w:t>
      </w:r>
    </w:p>
    <w:p>
      <w:pPr>
        <w:pStyle w:val="ListParagraph"/>
        <w:numPr>
          <w:ilvl w:val="0"/>
          <w:numId w:val="4"/>
        </w:numPr>
        <w:tabs>
          <w:tab w:pos="740" w:val="left" w:leader="none"/>
        </w:tabs>
        <w:spacing w:line="240" w:lineRule="auto" w:before="4" w:after="0"/>
        <w:ind w:left="739" w:right="0" w:hanging="453"/>
        <w:jc w:val="both"/>
        <w:rPr>
          <w:color w:val="6A6A6A"/>
          <w:sz w:val="32"/>
        </w:rPr>
      </w:pPr>
      <w:hyperlink r:id="rId10">
        <w:r>
          <w:rPr>
            <w:color w:val="56C1B8"/>
            <w:sz w:val="32"/>
            <w:u w:val="thick" w:color="56C1B8"/>
          </w:rPr>
          <w:t>Click</w:t>
        </w:r>
        <w:r>
          <w:rPr>
            <w:color w:val="56C1B8"/>
            <w:spacing w:val="-5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here</w:t>
        </w:r>
        <w:r>
          <w:rPr>
            <w:color w:val="56C1B8"/>
            <w:spacing w:val="-1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for</w:t>
        </w:r>
        <w:r>
          <w:rPr>
            <w:color w:val="56C1B8"/>
            <w:spacing w:val="3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Master Circular</w:t>
        </w:r>
      </w:hyperlink>
    </w:p>
    <w:p>
      <w:pPr>
        <w:pStyle w:val="BodyText"/>
        <w:spacing w:before="9"/>
        <w:rPr>
          <w:sz w:val="34"/>
        </w:rPr>
      </w:pPr>
    </w:p>
    <w:p>
      <w:pPr>
        <w:pStyle w:val="Heading2"/>
        <w:numPr>
          <w:ilvl w:val="0"/>
          <w:numId w:val="5"/>
        </w:numPr>
        <w:tabs>
          <w:tab w:pos="809" w:val="left" w:leader="none"/>
        </w:tabs>
        <w:spacing w:line="249" w:lineRule="auto" w:before="0" w:after="0"/>
        <w:ind w:left="705" w:right="287" w:hanging="419"/>
        <w:jc w:val="both"/>
      </w:pPr>
      <w:r>
        <w:rPr>
          <w:b w:val="0"/>
        </w:rPr>
        <w:tab/>
      </w:r>
      <w:r>
        <w:rPr>
          <w:color w:val="4F576A"/>
        </w:rPr>
        <w:t>SEBI</w:t>
      </w:r>
      <w:r>
        <w:rPr>
          <w:color w:val="4F576A"/>
          <w:spacing w:val="1"/>
        </w:rPr>
        <w:t> </w:t>
      </w:r>
      <w:r>
        <w:rPr>
          <w:color w:val="4F576A"/>
        </w:rPr>
        <w:t>has</w:t>
      </w:r>
      <w:r>
        <w:rPr>
          <w:color w:val="4F576A"/>
          <w:spacing w:val="1"/>
        </w:rPr>
        <w:t> </w:t>
      </w:r>
      <w:r>
        <w:rPr>
          <w:color w:val="4F576A"/>
        </w:rPr>
        <w:t>introduced</w:t>
      </w:r>
      <w:r>
        <w:rPr>
          <w:color w:val="4F576A"/>
          <w:spacing w:val="1"/>
        </w:rPr>
        <w:t> </w:t>
      </w:r>
      <w:r>
        <w:rPr>
          <w:color w:val="4F576A"/>
        </w:rPr>
        <w:t>Voluntary</w:t>
      </w:r>
      <w:r>
        <w:rPr>
          <w:color w:val="4F576A"/>
          <w:spacing w:val="1"/>
        </w:rPr>
        <w:t> </w:t>
      </w:r>
      <w:r>
        <w:rPr>
          <w:color w:val="4F576A"/>
        </w:rPr>
        <w:t>Delisting</w:t>
      </w:r>
      <w:r>
        <w:rPr>
          <w:color w:val="4F576A"/>
          <w:spacing w:val="1"/>
        </w:rPr>
        <w:t> </w:t>
      </w:r>
      <w:r>
        <w:rPr>
          <w:color w:val="4F576A"/>
        </w:rPr>
        <w:t>Norms</w:t>
      </w:r>
      <w:r>
        <w:rPr>
          <w:color w:val="4F576A"/>
          <w:spacing w:val="1"/>
        </w:rPr>
        <w:t> </w:t>
      </w:r>
      <w:r>
        <w:rPr>
          <w:color w:val="4F576A"/>
        </w:rPr>
        <w:t>for</w:t>
      </w:r>
      <w:r>
        <w:rPr>
          <w:color w:val="4F576A"/>
          <w:spacing w:val="1"/>
        </w:rPr>
        <w:t> </w:t>
      </w:r>
      <w:r>
        <w:rPr>
          <w:color w:val="4F576A"/>
        </w:rPr>
        <w:t>Non-</w:t>
      </w:r>
      <w:r>
        <w:rPr>
          <w:color w:val="4F576A"/>
          <w:spacing w:val="1"/>
        </w:rPr>
        <w:t> </w:t>
      </w:r>
      <w:r>
        <w:rPr>
          <w:color w:val="4F576A"/>
        </w:rPr>
        <w:t>Convertible</w:t>
      </w:r>
      <w:r>
        <w:rPr>
          <w:color w:val="4F576A"/>
          <w:spacing w:val="1"/>
        </w:rPr>
        <w:t> </w:t>
      </w:r>
      <w:r>
        <w:rPr>
          <w:color w:val="4F576A"/>
        </w:rPr>
        <w:t>Debt</w:t>
      </w:r>
      <w:r>
        <w:rPr>
          <w:color w:val="4F576A"/>
          <w:spacing w:val="1"/>
        </w:rPr>
        <w:t> </w:t>
      </w:r>
      <w:r>
        <w:rPr>
          <w:color w:val="4F576A"/>
        </w:rPr>
        <w:t>Securities</w:t>
      </w:r>
      <w:r>
        <w:rPr>
          <w:color w:val="4F576A"/>
          <w:spacing w:val="1"/>
        </w:rPr>
        <w:t> </w:t>
      </w:r>
      <w:r>
        <w:rPr>
          <w:color w:val="4F576A"/>
        </w:rPr>
        <w:t>(NCDs)</w:t>
      </w:r>
      <w:r>
        <w:rPr>
          <w:color w:val="4F576A"/>
          <w:spacing w:val="1"/>
        </w:rPr>
        <w:t> </w:t>
      </w:r>
      <w:r>
        <w:rPr>
          <w:color w:val="4F576A"/>
        </w:rPr>
        <w:t>&amp;</w:t>
      </w:r>
      <w:r>
        <w:rPr>
          <w:color w:val="4F576A"/>
          <w:spacing w:val="1"/>
        </w:rPr>
        <w:t> </w:t>
      </w:r>
      <w:r>
        <w:rPr>
          <w:color w:val="4F576A"/>
        </w:rPr>
        <w:t>Non-Convertible</w:t>
      </w:r>
      <w:r>
        <w:rPr>
          <w:color w:val="4F576A"/>
          <w:spacing w:val="1"/>
        </w:rPr>
        <w:t> </w:t>
      </w:r>
      <w:r>
        <w:rPr>
          <w:color w:val="4F576A"/>
        </w:rPr>
        <w:t>Redeemable</w:t>
      </w:r>
      <w:r>
        <w:rPr>
          <w:color w:val="4F576A"/>
          <w:spacing w:val="3"/>
        </w:rPr>
        <w:t> </w:t>
      </w:r>
      <w:r>
        <w:rPr>
          <w:color w:val="4F576A"/>
        </w:rPr>
        <w:t>Pref.</w:t>
      </w:r>
      <w:r>
        <w:rPr>
          <w:color w:val="4F576A"/>
          <w:spacing w:val="2"/>
        </w:rPr>
        <w:t> </w:t>
      </w:r>
      <w:r>
        <w:rPr>
          <w:color w:val="4F576A"/>
        </w:rPr>
        <w:t>Shares</w:t>
      </w:r>
      <w:r>
        <w:rPr>
          <w:color w:val="4F576A"/>
          <w:spacing w:val="3"/>
        </w:rPr>
        <w:t> </w:t>
      </w:r>
      <w:r>
        <w:rPr>
          <w:color w:val="4F576A"/>
        </w:rPr>
        <w:t>(NCRPs).</w:t>
      </w:r>
    </w:p>
    <w:p>
      <w:pPr>
        <w:pStyle w:val="ListParagraph"/>
        <w:numPr>
          <w:ilvl w:val="0"/>
          <w:numId w:val="4"/>
        </w:numPr>
        <w:tabs>
          <w:tab w:pos="740" w:val="left" w:leader="none"/>
        </w:tabs>
        <w:spacing w:line="249" w:lineRule="auto" w:before="4" w:after="0"/>
        <w:ind w:left="739" w:right="285" w:hanging="452"/>
        <w:jc w:val="both"/>
        <w:rPr>
          <w:color w:val="4F576A"/>
          <w:sz w:val="32"/>
        </w:rPr>
      </w:pPr>
      <w:r>
        <w:rPr/>
        <w:pict>
          <v:shape style="position:absolute;margin-left:11.448pt;margin-top:96.986984pt;width:517.7pt;height:17.05pt;mso-position-horizontal-relative:page;mso-position-vertical-relative:paragraph;z-index:-16029696" type="#_x0000_t202" filled="false" stroked="false">
            <v:textbox inset="0,0,0,0">
              <w:txbxContent>
                <w:p>
                  <w:pPr>
                    <w:tabs>
                      <w:tab w:pos="7296" w:val="left" w:leader="none"/>
                    </w:tabs>
                    <w:spacing w:line="340" w:lineRule="exact" w:before="0"/>
                    <w:ind w:left="0" w:right="0" w:firstLine="0"/>
                    <w:jc w:val="left"/>
                    <w:rPr>
                      <w:rFonts w:ascii="Arial"/>
                      <w:b/>
                      <w:sz w:val="30"/>
                    </w:rPr>
                  </w:pPr>
                  <w:r>
                    <w:rPr>
                      <w:rFonts w:ascii="Arial"/>
                      <w:b/>
                      <w:color w:val="EBCF6A"/>
                      <w:spacing w:val="11"/>
                      <w:sz w:val="28"/>
                    </w:rPr>
                    <w:t>DECEMBER</w:t>
                  </w:r>
                  <w:r>
                    <w:rPr>
                      <w:rFonts w:ascii="Arial"/>
                      <w:b/>
                      <w:color w:val="EBCF6A"/>
                      <w:spacing w:val="50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16"/>
                      <w:sz w:val="30"/>
                    </w:rPr>
                    <w:t>2022</w:t>
                    <w:tab/>
                  </w:r>
                  <w:r>
                    <w:rPr>
                      <w:rFonts w:ascii="Arial"/>
                      <w:b/>
                      <w:color w:val="EBCF6A"/>
                      <w:spacing w:val="-17"/>
                      <w:sz w:val="30"/>
                    </w:rPr>
                    <w:t>KNOWLEDGE</w:t>
                  </w:r>
                  <w:r>
                    <w:rPr>
                      <w:rFonts w:ascii="Arial"/>
                      <w:b/>
                      <w:color w:val="EBCF6A"/>
                      <w:spacing w:val="-14"/>
                      <w:sz w:val="30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-16"/>
                      <w:sz w:val="30"/>
                    </w:rPr>
                    <w:t>UPDATE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94.747627pt;width:539.950pt;height:20.4pt;mso-position-horizontal-relative:page;mso-position-vertical-relative:paragraph;z-index:15732736" coordorigin="0,1895" coordsize="10799,408">
            <v:rect style="position:absolute;left:0;top:1894;width:10799;height:408" filled="true" fillcolor="#36394f" stroked="false">
              <v:fill type="solid"/>
            </v:rect>
            <v:shape style="position:absolute;left:108;top:1919;width:2162;height:336" type="#_x0000_t202" filled="false" stroked="false">
              <v:textbox inset="0,0,0,0">
                <w:txbxContent>
                  <w:p>
                    <w:pPr>
                      <w:spacing w:line="335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15"/>
                        <w:sz w:val="28"/>
                      </w:rPr>
                      <w:t>AUGUST</w:t>
                    </w:r>
                    <w:r>
                      <w:rPr>
                        <w:rFonts w:ascii="Arial"/>
                        <w:b/>
                        <w:color w:val="EBCF6A"/>
                        <w:spacing w:val="54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16"/>
                        <w:sz w:val="30"/>
                      </w:rPr>
                      <w:t>2023</w:t>
                    </w:r>
                  </w:p>
                </w:txbxContent>
              </v:textbox>
              <w10:wrap type="none"/>
            </v:shape>
            <v:shape style="position:absolute;left:7650;top:1919;width:3122;height:336" type="#_x0000_t202" filled="false" stroked="false">
              <v:textbox inset="0,0,0,0">
                <w:txbxContent>
                  <w:p>
                    <w:pPr>
                      <w:spacing w:line="335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-13"/>
                        <w:sz w:val="30"/>
                      </w:rPr>
                      <w:t>KNOWLEDGE</w:t>
                    </w:r>
                    <w:r>
                      <w:rPr>
                        <w:rFonts w:ascii="Arial"/>
                        <w:b/>
                        <w:color w:val="EBCF6A"/>
                        <w:spacing w:val="-9"/>
                        <w:sz w:val="3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-13"/>
                        <w:sz w:val="30"/>
                      </w:rPr>
                      <w:t>UPDATE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4F576A"/>
          <w:sz w:val="32"/>
        </w:rPr>
        <w:t>SEBI has notified the SEBI (LODR) (3rd Amendment) Regulations,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2023 and new Chapter -VI A added which provides framework for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Voluntary Delisting</w:t>
      </w:r>
      <w:r>
        <w:rPr>
          <w:color w:val="4F576A"/>
          <w:spacing w:val="-5"/>
          <w:sz w:val="32"/>
        </w:rPr>
        <w:t> </w:t>
      </w:r>
      <w:r>
        <w:rPr>
          <w:color w:val="4F576A"/>
          <w:sz w:val="32"/>
        </w:rPr>
        <w:t>of</w:t>
      </w:r>
      <w:r>
        <w:rPr>
          <w:color w:val="4F576A"/>
          <w:spacing w:val="-1"/>
          <w:sz w:val="32"/>
        </w:rPr>
        <w:t> </w:t>
      </w:r>
      <w:r>
        <w:rPr>
          <w:color w:val="4F576A"/>
          <w:sz w:val="32"/>
        </w:rPr>
        <w:t>NCDs &amp;</w:t>
      </w:r>
      <w:r>
        <w:rPr>
          <w:color w:val="4F576A"/>
          <w:spacing w:val="-1"/>
          <w:sz w:val="32"/>
        </w:rPr>
        <w:t> </w:t>
      </w:r>
      <w:r>
        <w:rPr>
          <w:color w:val="4F576A"/>
          <w:sz w:val="32"/>
        </w:rPr>
        <w:t>NCRPs.</w:t>
      </w:r>
    </w:p>
    <w:p>
      <w:pPr>
        <w:spacing w:after="0" w:line="249" w:lineRule="auto"/>
        <w:jc w:val="both"/>
        <w:rPr>
          <w:sz w:val="32"/>
        </w:rPr>
        <w:sectPr>
          <w:pgSz w:w="10800" w:h="19200"/>
          <w:pgMar w:top="20" w:bottom="0" w:left="0" w:right="0"/>
        </w:sectPr>
      </w:pPr>
    </w:p>
    <w:p>
      <w:pPr>
        <w:tabs>
          <w:tab w:pos="5198" w:val="left" w:leader="none"/>
        </w:tabs>
        <w:spacing w:line="240" w:lineRule="auto"/>
        <w:ind w:left="523" w:right="0" w:firstLine="0"/>
        <w:rPr>
          <w:sz w:val="20"/>
        </w:rPr>
      </w:pPr>
      <w:r>
        <w:rPr/>
        <w:pict>
          <v:shape style="position:absolute;margin-left:11.448pt;margin-top:941.719177pt;width:517.7pt;height:17.05pt;mso-position-horizontal-relative:page;mso-position-vertical-relative:page;z-index:-16026624" type="#_x0000_t202" filled="false" stroked="false">
            <v:textbox inset="0,0,0,0">
              <w:txbxContent>
                <w:p>
                  <w:pPr>
                    <w:tabs>
                      <w:tab w:pos="7296" w:val="left" w:leader="none"/>
                    </w:tabs>
                    <w:spacing w:line="340" w:lineRule="exact" w:before="0"/>
                    <w:ind w:left="0" w:right="0" w:firstLine="0"/>
                    <w:jc w:val="left"/>
                    <w:rPr>
                      <w:rFonts w:ascii="Arial"/>
                      <w:b/>
                      <w:sz w:val="30"/>
                    </w:rPr>
                  </w:pPr>
                  <w:r>
                    <w:rPr>
                      <w:rFonts w:ascii="Arial"/>
                      <w:b/>
                      <w:color w:val="EBCF6A"/>
                      <w:spacing w:val="11"/>
                      <w:sz w:val="28"/>
                    </w:rPr>
                    <w:t>DECEMBER</w:t>
                  </w:r>
                  <w:r>
                    <w:rPr>
                      <w:rFonts w:ascii="Arial"/>
                      <w:b/>
                      <w:color w:val="EBCF6A"/>
                      <w:spacing w:val="50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16"/>
                      <w:sz w:val="30"/>
                    </w:rPr>
                    <w:t>2022</w:t>
                    <w:tab/>
                  </w:r>
                  <w:r>
                    <w:rPr>
                      <w:rFonts w:ascii="Arial"/>
                      <w:b/>
                      <w:color w:val="EBCF6A"/>
                      <w:spacing w:val="-17"/>
                      <w:sz w:val="30"/>
                    </w:rPr>
                    <w:t>KNOWLEDGE</w:t>
                  </w:r>
                  <w:r>
                    <w:rPr>
                      <w:rFonts w:ascii="Arial"/>
                      <w:b/>
                      <w:color w:val="EBCF6A"/>
                      <w:spacing w:val="-14"/>
                      <w:sz w:val="30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-16"/>
                      <w:sz w:val="30"/>
                    </w:rPr>
                    <w:t>UPDATE</w:t>
                  </w:r>
                </w:p>
              </w:txbxContent>
            </v:textbox>
            <w10:wrap type="none"/>
          </v:shape>
        </w:pict>
      </w:r>
      <w:r>
        <w:rPr/>
        <w:pict>
          <v:rect style="position:absolute;margin-left:0pt;margin-top:-.000061pt;width:540pt;height:960pt;mso-position-horizontal-relative:page;mso-position-vertical-relative:page;z-index:-16026112" filled="true" fillcolor="#fdfcf8" stroked="false">
            <v:fill type="solid"/>
            <w10:wrap type="none"/>
          </v:rect>
        </w:pict>
      </w:r>
      <w:r>
        <w:rPr/>
        <w:pict>
          <v:group style="position:absolute;margin-left:0pt;margin-top:939.479797pt;width:539.950pt;height:20.4pt;mso-position-horizontal-relative:page;mso-position-vertical-relative:page;z-index:15735296" coordorigin="0,18790" coordsize="10799,408">
            <v:rect style="position:absolute;left:0;top:18789;width:10799;height:408" filled="true" fillcolor="#36394f" stroked="false">
              <v:fill type="solid"/>
            </v:rect>
            <v:shape style="position:absolute;left:108;top:18814;width:2186;height:336" type="#_x0000_t202" filled="false" stroked="false">
              <v:textbox inset="0,0,0,0">
                <w:txbxContent>
                  <w:p>
                    <w:pPr>
                      <w:spacing w:line="335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15"/>
                        <w:sz w:val="28"/>
                      </w:rPr>
                      <w:t>AUGUST</w:t>
                    </w:r>
                    <w:r>
                      <w:rPr>
                        <w:rFonts w:ascii="Arial"/>
                        <w:b/>
                        <w:color w:val="EBCF6A"/>
                        <w:spacing w:val="52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22"/>
                        <w:sz w:val="30"/>
                      </w:rPr>
                      <w:t>2023</w:t>
                    </w:r>
                  </w:p>
                </w:txbxContent>
              </v:textbox>
              <w10:wrap type="none"/>
            </v:shape>
            <v:shape style="position:absolute;left:7633;top:18814;width:3122;height:336" type="#_x0000_t202" filled="false" stroked="false">
              <v:textbox inset="0,0,0,0">
                <w:txbxContent>
                  <w:p>
                    <w:pPr>
                      <w:spacing w:line="335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-13"/>
                        <w:sz w:val="30"/>
                      </w:rPr>
                      <w:t>KNOWLEDGE</w:t>
                    </w:r>
                    <w:r>
                      <w:rPr>
                        <w:rFonts w:ascii="Arial"/>
                        <w:b/>
                        <w:color w:val="EBCF6A"/>
                        <w:spacing w:val="-9"/>
                        <w:sz w:val="3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-13"/>
                        <w:sz w:val="30"/>
                      </w:rPr>
                      <w:t>UPDATE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drawing>
          <wp:inline distT="0" distB="0" distL="0" distR="0">
            <wp:extent cx="2809531" cy="1668589"/>
            <wp:effectExtent l="0" t="0" r="0" b="0"/>
            <wp:docPr id="5" name="image3.jpeg" descr="A picture containing text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9531" cy="1668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position w:val="12"/>
          <w:sz w:val="20"/>
        </w:rPr>
        <w:pict>
          <v:group style="width:275.3pt;height:161.25pt;mso-position-horizontal-relative:char;mso-position-vertical-relative:line" coordorigin="0,0" coordsize="5506,3225">
            <v:rect style="position:absolute;left:3924;top:0;width:860;height:2738" filled="true" fillcolor="#ebcf6a" stroked="false">
              <v:fill type="solid"/>
            </v:rect>
            <v:shape style="position:absolute;left:3283;top:323;width:1786;height:1798" type="#_x0000_t75" stroked="false">
              <v:imagedata r:id="rId5" o:title=""/>
            </v:shape>
            <v:shape style="position:absolute;left:0;top:2737;width:5506;height:488" type="#_x0000_t202" filled="true" fillcolor="#394558" stroked="false">
              <v:textbox inset="0,0,0,0">
                <w:txbxContent>
                  <w:p>
                    <w:pPr>
                      <w:spacing w:before="13"/>
                      <w:ind w:left="1139" w:right="0" w:firstLine="0"/>
                      <w:jc w:val="left"/>
                      <w:rPr>
                        <w:rFonts w:ascii="Arial"/>
                        <w:b/>
                        <w:sz w:val="40"/>
                      </w:rPr>
                    </w:pPr>
                    <w:bookmarkStart w:name="Slide 3" w:id="3"/>
                    <w:bookmarkEnd w:id="3"/>
                    <w:r>
                      <w:rPr/>
                    </w:r>
                    <w:r>
                      <w:rPr>
                        <w:rFonts w:ascii="Arial"/>
                        <w:b/>
                        <w:color w:val="EBCF6A"/>
                        <w:sz w:val="40"/>
                      </w:rPr>
                      <w:t>SECURITIES</w:t>
                    </w:r>
                    <w:r>
                      <w:rPr>
                        <w:rFonts w:ascii="Arial"/>
                        <w:b/>
                        <w:color w:val="EBCF6A"/>
                        <w:spacing w:val="56"/>
                        <w:sz w:val="4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z w:val="40"/>
                      </w:rPr>
                      <w:t>LAW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position w:val="12"/>
          <w:sz w:val="20"/>
        </w:rPr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6"/>
        </w:numPr>
        <w:tabs>
          <w:tab w:pos="876" w:val="left" w:leader="none"/>
        </w:tabs>
        <w:spacing w:line="247" w:lineRule="auto" w:before="260" w:after="0"/>
        <w:ind w:left="876" w:right="304" w:hanging="540"/>
        <w:jc w:val="both"/>
        <w:rPr>
          <w:sz w:val="32"/>
        </w:rPr>
      </w:pPr>
      <w:r>
        <w:rPr>
          <w:color w:val="4F576A"/>
          <w:sz w:val="32"/>
        </w:rPr>
        <w:t>The framework shall not be applicable on certain listed entities as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notified.</w:t>
      </w:r>
    </w:p>
    <w:p>
      <w:pPr>
        <w:pStyle w:val="ListParagraph"/>
        <w:numPr>
          <w:ilvl w:val="0"/>
          <w:numId w:val="6"/>
        </w:numPr>
        <w:tabs>
          <w:tab w:pos="876" w:val="left" w:leader="none"/>
        </w:tabs>
        <w:spacing w:line="377" w:lineRule="exact" w:before="0" w:after="0"/>
        <w:ind w:left="876" w:right="0" w:hanging="540"/>
        <w:jc w:val="both"/>
        <w:rPr>
          <w:sz w:val="32"/>
        </w:rPr>
      </w:pPr>
      <w:r>
        <w:rPr>
          <w:color w:val="4F576A"/>
          <w:sz w:val="32"/>
        </w:rPr>
        <w:t>The</w:t>
      </w:r>
      <w:r>
        <w:rPr>
          <w:color w:val="4F576A"/>
          <w:spacing w:val="86"/>
          <w:sz w:val="32"/>
        </w:rPr>
        <w:t> </w:t>
      </w:r>
      <w:r>
        <w:rPr>
          <w:color w:val="4F576A"/>
          <w:sz w:val="32"/>
        </w:rPr>
        <w:t>listed</w:t>
      </w:r>
      <w:r>
        <w:rPr>
          <w:color w:val="4F576A"/>
          <w:spacing w:val="88"/>
          <w:sz w:val="32"/>
        </w:rPr>
        <w:t> </w:t>
      </w:r>
      <w:r>
        <w:rPr>
          <w:color w:val="4F576A"/>
          <w:sz w:val="32"/>
        </w:rPr>
        <w:t>entity</w:t>
      </w:r>
      <w:r>
        <w:rPr>
          <w:color w:val="4F576A"/>
          <w:spacing w:val="85"/>
          <w:sz w:val="32"/>
        </w:rPr>
        <w:t> </w:t>
      </w:r>
      <w:r>
        <w:rPr>
          <w:color w:val="4F576A"/>
          <w:sz w:val="32"/>
        </w:rPr>
        <w:t>shall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within</w:t>
      </w:r>
      <w:r>
        <w:rPr>
          <w:color w:val="4F576A"/>
          <w:spacing w:val="87"/>
          <w:sz w:val="32"/>
        </w:rPr>
        <w:t> </w:t>
      </w:r>
      <w:r>
        <w:rPr>
          <w:color w:val="4F576A"/>
          <w:sz w:val="32"/>
        </w:rPr>
        <w:t>15</w:t>
      </w:r>
      <w:r>
        <w:rPr>
          <w:color w:val="4F576A"/>
          <w:spacing w:val="89"/>
          <w:sz w:val="32"/>
        </w:rPr>
        <w:t> </w:t>
      </w:r>
      <w:r>
        <w:rPr>
          <w:color w:val="4F576A"/>
          <w:sz w:val="32"/>
        </w:rPr>
        <w:t>working</w:t>
      </w:r>
      <w:r>
        <w:rPr>
          <w:color w:val="4F576A"/>
          <w:spacing w:val="88"/>
          <w:sz w:val="32"/>
        </w:rPr>
        <w:t> </w:t>
      </w:r>
      <w:r>
        <w:rPr>
          <w:color w:val="4F576A"/>
          <w:sz w:val="32"/>
        </w:rPr>
        <w:t>days</w:t>
      </w:r>
      <w:r>
        <w:rPr>
          <w:color w:val="4F576A"/>
          <w:spacing w:val="93"/>
          <w:sz w:val="32"/>
        </w:rPr>
        <w:t> </w:t>
      </w:r>
      <w:r>
        <w:rPr>
          <w:color w:val="4F576A"/>
          <w:sz w:val="32"/>
        </w:rPr>
        <w:t>from</w:t>
      </w:r>
      <w:r>
        <w:rPr>
          <w:color w:val="4F576A"/>
          <w:spacing w:val="91"/>
          <w:sz w:val="32"/>
        </w:rPr>
        <w:t> </w:t>
      </w:r>
      <w:r>
        <w:rPr>
          <w:color w:val="4F576A"/>
          <w:sz w:val="32"/>
        </w:rPr>
        <w:t>the</w:t>
      </w:r>
      <w:r>
        <w:rPr>
          <w:color w:val="4F576A"/>
          <w:spacing w:val="86"/>
          <w:sz w:val="32"/>
        </w:rPr>
        <w:t> </w:t>
      </w:r>
      <w:r>
        <w:rPr>
          <w:color w:val="4F576A"/>
          <w:sz w:val="32"/>
        </w:rPr>
        <w:t>date</w:t>
      </w:r>
      <w:r>
        <w:rPr>
          <w:color w:val="4F576A"/>
          <w:spacing w:val="89"/>
          <w:sz w:val="32"/>
        </w:rPr>
        <w:t> </w:t>
      </w:r>
      <w:r>
        <w:rPr>
          <w:color w:val="4F576A"/>
          <w:sz w:val="32"/>
        </w:rPr>
        <w:t>of</w:t>
      </w:r>
    </w:p>
    <w:p>
      <w:pPr>
        <w:pStyle w:val="BodyText"/>
        <w:spacing w:line="249" w:lineRule="auto" w:before="14"/>
        <w:ind w:left="876" w:right="304"/>
        <w:jc w:val="both"/>
      </w:pPr>
      <w:r>
        <w:rPr>
          <w:color w:val="4F576A"/>
        </w:rPr>
        <w:t>passing</w:t>
      </w:r>
      <w:r>
        <w:rPr>
          <w:color w:val="4F576A"/>
          <w:spacing w:val="1"/>
        </w:rPr>
        <w:t> </w:t>
      </w:r>
      <w:r>
        <w:rPr>
          <w:color w:val="4F576A"/>
        </w:rPr>
        <w:t>of</w:t>
      </w:r>
      <w:r>
        <w:rPr>
          <w:color w:val="4F576A"/>
          <w:spacing w:val="1"/>
        </w:rPr>
        <w:t> </w:t>
      </w:r>
      <w:r>
        <w:rPr>
          <w:color w:val="4F576A"/>
        </w:rPr>
        <w:t>the</w:t>
      </w:r>
      <w:r>
        <w:rPr>
          <w:color w:val="4F576A"/>
          <w:spacing w:val="1"/>
        </w:rPr>
        <w:t> </w:t>
      </w:r>
      <w:r>
        <w:rPr>
          <w:color w:val="4F576A"/>
        </w:rPr>
        <w:t>Board</w:t>
      </w:r>
      <w:r>
        <w:rPr>
          <w:color w:val="4F576A"/>
          <w:spacing w:val="1"/>
        </w:rPr>
        <w:t> </w:t>
      </w:r>
      <w:r>
        <w:rPr>
          <w:color w:val="4F576A"/>
        </w:rPr>
        <w:t>Resolution</w:t>
      </w:r>
      <w:r>
        <w:rPr>
          <w:color w:val="4F576A"/>
          <w:spacing w:val="1"/>
        </w:rPr>
        <w:t> </w:t>
      </w:r>
      <w:r>
        <w:rPr>
          <w:color w:val="4F576A"/>
        </w:rPr>
        <w:t>or</w:t>
      </w:r>
      <w:r>
        <w:rPr>
          <w:color w:val="4F576A"/>
          <w:spacing w:val="1"/>
        </w:rPr>
        <w:t> </w:t>
      </w:r>
      <w:r>
        <w:rPr>
          <w:color w:val="4F576A"/>
        </w:rPr>
        <w:t>any</w:t>
      </w:r>
      <w:r>
        <w:rPr>
          <w:color w:val="4F576A"/>
          <w:spacing w:val="1"/>
        </w:rPr>
        <w:t> </w:t>
      </w:r>
      <w:r>
        <w:rPr>
          <w:color w:val="4F576A"/>
        </w:rPr>
        <w:t>statutory</w:t>
      </w:r>
      <w:r>
        <w:rPr>
          <w:color w:val="4F576A"/>
          <w:spacing w:val="89"/>
        </w:rPr>
        <w:t> </w:t>
      </w:r>
      <w:r>
        <w:rPr>
          <w:color w:val="4F576A"/>
        </w:rPr>
        <w:t>approval</w:t>
      </w:r>
      <w:r>
        <w:rPr>
          <w:color w:val="4F576A"/>
          <w:spacing w:val="-86"/>
        </w:rPr>
        <w:t> </w:t>
      </w:r>
      <w:r>
        <w:rPr>
          <w:color w:val="4F576A"/>
        </w:rPr>
        <w:t>whichever is later is required to make application to relevant stock</w:t>
      </w:r>
      <w:r>
        <w:rPr>
          <w:color w:val="4F576A"/>
          <w:spacing w:val="1"/>
        </w:rPr>
        <w:t> </w:t>
      </w:r>
      <w:r>
        <w:rPr>
          <w:color w:val="4F576A"/>
        </w:rPr>
        <w:t>exchange</w:t>
      </w:r>
      <w:r>
        <w:rPr>
          <w:color w:val="4F576A"/>
          <w:spacing w:val="1"/>
        </w:rPr>
        <w:t> </w:t>
      </w:r>
      <w:r>
        <w:rPr>
          <w:color w:val="4F576A"/>
        </w:rPr>
        <w:t>for</w:t>
      </w:r>
      <w:r>
        <w:rPr>
          <w:color w:val="4F576A"/>
          <w:spacing w:val="1"/>
        </w:rPr>
        <w:t> </w:t>
      </w:r>
      <w:r>
        <w:rPr>
          <w:color w:val="4F576A"/>
        </w:rPr>
        <w:t>in-principal</w:t>
      </w:r>
      <w:r>
        <w:rPr>
          <w:color w:val="4F576A"/>
          <w:spacing w:val="1"/>
        </w:rPr>
        <w:t> </w:t>
      </w:r>
      <w:r>
        <w:rPr>
          <w:color w:val="4F576A"/>
        </w:rPr>
        <w:t>approval</w:t>
      </w:r>
      <w:r>
        <w:rPr>
          <w:color w:val="4F576A"/>
          <w:spacing w:val="1"/>
        </w:rPr>
        <w:t> </w:t>
      </w:r>
      <w:r>
        <w:rPr>
          <w:color w:val="4F576A"/>
        </w:rPr>
        <w:t>for</w:t>
      </w:r>
      <w:r>
        <w:rPr>
          <w:color w:val="4F576A"/>
          <w:spacing w:val="1"/>
        </w:rPr>
        <w:t> </w:t>
      </w:r>
      <w:r>
        <w:rPr>
          <w:color w:val="4F576A"/>
        </w:rPr>
        <w:t>the</w:t>
      </w:r>
      <w:r>
        <w:rPr>
          <w:color w:val="4F576A"/>
          <w:spacing w:val="1"/>
        </w:rPr>
        <w:t> </w:t>
      </w:r>
      <w:r>
        <w:rPr>
          <w:color w:val="4F576A"/>
        </w:rPr>
        <w:t>proposed</w:t>
      </w:r>
      <w:r>
        <w:rPr>
          <w:color w:val="4F576A"/>
          <w:spacing w:val="1"/>
        </w:rPr>
        <w:t> </w:t>
      </w:r>
      <w:r>
        <w:rPr>
          <w:color w:val="4F576A"/>
        </w:rPr>
        <w:t>delisting</w:t>
      </w:r>
      <w:r>
        <w:rPr>
          <w:color w:val="4F576A"/>
          <w:spacing w:val="1"/>
        </w:rPr>
        <w:t> </w:t>
      </w:r>
      <w:r>
        <w:rPr>
          <w:color w:val="4F576A"/>
        </w:rPr>
        <w:t>of</w:t>
      </w:r>
      <w:r>
        <w:rPr>
          <w:color w:val="4F576A"/>
          <w:spacing w:val="-86"/>
        </w:rPr>
        <w:t> </w:t>
      </w:r>
      <w:r>
        <w:rPr>
          <w:color w:val="4F576A"/>
        </w:rPr>
        <w:t>NCDs/NCRPs and such application shall be disposed off within 15</w:t>
      </w:r>
      <w:r>
        <w:rPr>
          <w:color w:val="4F576A"/>
          <w:spacing w:val="1"/>
        </w:rPr>
        <w:t> </w:t>
      </w:r>
      <w:r>
        <w:rPr>
          <w:color w:val="4F576A"/>
        </w:rPr>
        <w:t>working</w:t>
      </w:r>
      <w:r>
        <w:rPr>
          <w:color w:val="4F576A"/>
          <w:spacing w:val="1"/>
        </w:rPr>
        <w:t> </w:t>
      </w:r>
      <w:r>
        <w:rPr>
          <w:color w:val="4F576A"/>
        </w:rPr>
        <w:t>days</w:t>
      </w:r>
      <w:r>
        <w:rPr>
          <w:color w:val="4F576A"/>
          <w:spacing w:val="1"/>
        </w:rPr>
        <w:t> </w:t>
      </w:r>
      <w:r>
        <w:rPr>
          <w:color w:val="4F576A"/>
        </w:rPr>
        <w:t>from</w:t>
      </w:r>
      <w:r>
        <w:rPr>
          <w:color w:val="4F576A"/>
          <w:spacing w:val="1"/>
        </w:rPr>
        <w:t> </w:t>
      </w:r>
      <w:r>
        <w:rPr>
          <w:color w:val="4F576A"/>
        </w:rPr>
        <w:t>receipt</w:t>
      </w:r>
      <w:r>
        <w:rPr>
          <w:color w:val="4F576A"/>
          <w:spacing w:val="1"/>
        </w:rPr>
        <w:t> </w:t>
      </w:r>
      <w:r>
        <w:rPr>
          <w:color w:val="4F576A"/>
        </w:rPr>
        <w:t>of</w:t>
      </w:r>
      <w:r>
        <w:rPr>
          <w:color w:val="4F576A"/>
          <w:spacing w:val="1"/>
        </w:rPr>
        <w:t> </w:t>
      </w:r>
      <w:r>
        <w:rPr>
          <w:color w:val="4F576A"/>
        </w:rPr>
        <w:t>application</w:t>
      </w:r>
      <w:r>
        <w:rPr>
          <w:color w:val="4F576A"/>
          <w:spacing w:val="1"/>
        </w:rPr>
        <w:t> </w:t>
      </w:r>
      <w:r>
        <w:rPr>
          <w:color w:val="4F576A"/>
        </w:rPr>
        <w:t>by</w:t>
      </w:r>
      <w:r>
        <w:rPr>
          <w:color w:val="4F576A"/>
          <w:spacing w:val="1"/>
        </w:rPr>
        <w:t> </w:t>
      </w:r>
      <w:r>
        <w:rPr>
          <w:color w:val="4F576A"/>
        </w:rPr>
        <w:t>respective</w:t>
      </w:r>
      <w:r>
        <w:rPr>
          <w:color w:val="4F576A"/>
          <w:spacing w:val="1"/>
        </w:rPr>
        <w:t> </w:t>
      </w:r>
      <w:r>
        <w:rPr>
          <w:color w:val="4F576A"/>
        </w:rPr>
        <w:t>stock</w:t>
      </w:r>
      <w:r>
        <w:rPr>
          <w:color w:val="4F576A"/>
          <w:spacing w:val="1"/>
        </w:rPr>
        <w:t> </w:t>
      </w:r>
      <w:r>
        <w:rPr>
          <w:color w:val="4F576A"/>
        </w:rPr>
        <w:t>exchange.</w:t>
      </w:r>
    </w:p>
    <w:p>
      <w:pPr>
        <w:pStyle w:val="ListParagraph"/>
        <w:numPr>
          <w:ilvl w:val="0"/>
          <w:numId w:val="6"/>
        </w:numPr>
        <w:tabs>
          <w:tab w:pos="876" w:val="left" w:leader="none"/>
        </w:tabs>
        <w:spacing w:line="384" w:lineRule="exact" w:before="1" w:after="0"/>
        <w:ind w:left="876" w:right="302" w:hanging="540"/>
        <w:jc w:val="both"/>
        <w:rPr>
          <w:sz w:val="32"/>
        </w:rPr>
      </w:pPr>
      <w:r>
        <w:rPr>
          <w:color w:val="4F576A"/>
          <w:sz w:val="32"/>
        </w:rPr>
        <w:t>The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listed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entity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shall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within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3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working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days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from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receipt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of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in</w:t>
      </w:r>
      <w:r>
        <w:rPr>
          <w:color w:val="4F576A"/>
          <w:spacing w:val="-86"/>
          <w:sz w:val="32"/>
        </w:rPr>
        <w:t> </w:t>
      </w:r>
      <w:r>
        <w:rPr>
          <w:color w:val="4F576A"/>
          <w:sz w:val="32"/>
        </w:rPr>
        <w:t>principal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approval,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ensure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commencement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of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obtaining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of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all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necessary approvals</w:t>
      </w:r>
      <w:r>
        <w:rPr>
          <w:color w:val="4F576A"/>
          <w:spacing w:val="-2"/>
          <w:sz w:val="32"/>
        </w:rPr>
        <w:t> </w:t>
      </w:r>
      <w:r>
        <w:rPr>
          <w:color w:val="4F576A"/>
          <w:sz w:val="32"/>
        </w:rPr>
        <w:t>form</w:t>
      </w:r>
      <w:r>
        <w:rPr>
          <w:color w:val="4F576A"/>
          <w:spacing w:val="6"/>
          <w:sz w:val="32"/>
        </w:rPr>
        <w:t> </w:t>
      </w:r>
      <w:r>
        <w:rPr>
          <w:color w:val="4F576A"/>
          <w:sz w:val="32"/>
        </w:rPr>
        <w:t>holders of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NCDs</w:t>
      </w:r>
      <w:r>
        <w:rPr>
          <w:color w:val="4F576A"/>
          <w:spacing w:val="-1"/>
          <w:sz w:val="32"/>
        </w:rPr>
        <w:t> </w:t>
      </w:r>
      <w:r>
        <w:rPr>
          <w:color w:val="4F576A"/>
          <w:sz w:val="32"/>
        </w:rPr>
        <w:t>and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NCRPs.</w:t>
      </w:r>
    </w:p>
    <w:p>
      <w:pPr>
        <w:pStyle w:val="ListParagraph"/>
        <w:numPr>
          <w:ilvl w:val="0"/>
          <w:numId w:val="6"/>
        </w:numPr>
        <w:tabs>
          <w:tab w:pos="876" w:val="left" w:leader="none"/>
        </w:tabs>
        <w:spacing w:line="384" w:lineRule="exact" w:before="0" w:after="0"/>
        <w:ind w:left="876" w:right="305" w:hanging="540"/>
        <w:jc w:val="both"/>
        <w:rPr>
          <w:sz w:val="32"/>
        </w:rPr>
      </w:pPr>
      <w:r>
        <w:rPr>
          <w:color w:val="4F576A"/>
          <w:sz w:val="32"/>
        </w:rPr>
        <w:t>During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the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delisting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process,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stock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exchange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shall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monitor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compliance of listed entity and report any non-compliances to the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SEBI</w:t>
      </w:r>
      <w:r>
        <w:rPr>
          <w:color w:val="4F576A"/>
          <w:spacing w:val="-2"/>
          <w:sz w:val="32"/>
        </w:rPr>
        <w:t> </w:t>
      </w:r>
      <w:r>
        <w:rPr>
          <w:color w:val="4F576A"/>
          <w:sz w:val="32"/>
        </w:rPr>
        <w:t>Board.</w:t>
      </w:r>
    </w:p>
    <w:p>
      <w:pPr>
        <w:pStyle w:val="ListParagraph"/>
        <w:numPr>
          <w:ilvl w:val="0"/>
          <w:numId w:val="6"/>
        </w:numPr>
        <w:tabs>
          <w:tab w:pos="876" w:val="left" w:leader="none"/>
        </w:tabs>
        <w:spacing w:line="240" w:lineRule="auto" w:before="142" w:after="0"/>
        <w:ind w:left="876" w:right="0" w:hanging="540"/>
        <w:jc w:val="both"/>
        <w:rPr>
          <w:sz w:val="32"/>
        </w:rPr>
      </w:pPr>
      <w:hyperlink r:id="rId11">
        <w:r>
          <w:rPr>
            <w:color w:val="56C1B8"/>
            <w:sz w:val="32"/>
            <w:u w:val="thick" w:color="56C1B8"/>
          </w:rPr>
          <w:t>Click</w:t>
        </w:r>
        <w:r>
          <w:rPr>
            <w:color w:val="56C1B8"/>
            <w:spacing w:val="-5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here</w:t>
        </w:r>
        <w:r>
          <w:rPr>
            <w:color w:val="56C1B8"/>
            <w:spacing w:val="-1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for</w:t>
        </w:r>
        <w:r>
          <w:rPr>
            <w:color w:val="56C1B8"/>
            <w:spacing w:val="3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Circular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9"/>
        </w:rPr>
      </w:pPr>
    </w:p>
    <w:p>
      <w:pPr>
        <w:pStyle w:val="Heading1"/>
        <w:tabs>
          <w:tab w:pos="6412" w:val="left" w:leader="none"/>
          <w:tab w:pos="10771" w:val="left" w:leader="none"/>
        </w:tabs>
        <w:spacing w:before="89"/>
        <w:ind w:left="5371"/>
      </w:pPr>
      <w:r>
        <w:rPr/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348995</wp:posOffset>
            </wp:positionH>
            <wp:positionV relativeFrom="paragraph">
              <wp:posOffset>-498572</wp:posOffset>
            </wp:positionV>
            <wp:extent cx="2957453" cy="1723611"/>
            <wp:effectExtent l="0" t="0" r="0" b="0"/>
            <wp:wrapNone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7453" cy="1723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BCF6A"/>
          <w:w w:val="100"/>
          <w:shd w:fill="36394F" w:color="auto" w:val="clear"/>
        </w:rPr>
        <w:t> </w:t>
      </w:r>
      <w:r>
        <w:rPr>
          <w:color w:val="EBCF6A"/>
          <w:shd w:fill="36394F" w:color="auto" w:val="clear"/>
        </w:rPr>
        <w:tab/>
      </w:r>
      <w:r>
        <w:rPr>
          <w:color w:val="EBCF6A"/>
          <w:spacing w:val="-6"/>
          <w:shd w:fill="36394F" w:color="auto" w:val="clear"/>
        </w:rPr>
        <w:t>INSOLVENCY</w:t>
      </w:r>
      <w:r>
        <w:rPr>
          <w:color w:val="EBCF6A"/>
          <w:spacing w:val="-22"/>
          <w:shd w:fill="36394F" w:color="auto" w:val="clear"/>
        </w:rPr>
        <w:t> </w:t>
      </w:r>
      <w:r>
        <w:rPr>
          <w:color w:val="EBCF6A"/>
          <w:spacing w:val="-5"/>
          <w:shd w:fill="36394F" w:color="auto" w:val="clear"/>
        </w:rPr>
        <w:t>LAW</w:t>
        <w:tab/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Heading2"/>
        <w:tabs>
          <w:tab w:pos="875" w:val="left" w:leader="none"/>
        </w:tabs>
        <w:spacing w:line="300" w:lineRule="auto" w:before="249"/>
        <w:ind w:left="876" w:right="436" w:hanging="540"/>
      </w:pPr>
      <w:r>
        <w:rPr>
          <w:color w:val="4F576A"/>
        </w:rPr>
        <w:t>1.</w:t>
        <w:tab/>
        <w:t>IBBI</w:t>
      </w:r>
      <w:r>
        <w:rPr>
          <w:color w:val="4F576A"/>
          <w:spacing w:val="28"/>
        </w:rPr>
        <w:t> </w:t>
      </w:r>
      <w:r>
        <w:rPr>
          <w:color w:val="4F576A"/>
        </w:rPr>
        <w:t>recommendation</w:t>
      </w:r>
      <w:r>
        <w:rPr>
          <w:color w:val="4F576A"/>
          <w:spacing w:val="27"/>
        </w:rPr>
        <w:t> </w:t>
      </w:r>
      <w:r>
        <w:rPr>
          <w:color w:val="4F576A"/>
        </w:rPr>
        <w:t>for</w:t>
      </w:r>
      <w:r>
        <w:rPr>
          <w:color w:val="4F576A"/>
          <w:spacing w:val="29"/>
        </w:rPr>
        <w:t> </w:t>
      </w:r>
      <w:r>
        <w:rPr>
          <w:color w:val="4F576A"/>
        </w:rPr>
        <w:t>appointment</w:t>
      </w:r>
      <w:r>
        <w:rPr>
          <w:color w:val="4F576A"/>
          <w:spacing w:val="30"/>
        </w:rPr>
        <w:t> </w:t>
      </w:r>
      <w:r>
        <w:rPr>
          <w:color w:val="4F576A"/>
        </w:rPr>
        <w:t>of</w:t>
      </w:r>
      <w:r>
        <w:rPr>
          <w:color w:val="4F576A"/>
          <w:spacing w:val="30"/>
        </w:rPr>
        <w:t> </w:t>
      </w:r>
      <w:r>
        <w:rPr>
          <w:color w:val="4F576A"/>
        </w:rPr>
        <w:t>Liquidator</w:t>
      </w:r>
      <w:r>
        <w:rPr>
          <w:color w:val="4F576A"/>
          <w:spacing w:val="30"/>
        </w:rPr>
        <w:t> </w:t>
      </w:r>
      <w:r>
        <w:rPr>
          <w:color w:val="4F576A"/>
        </w:rPr>
        <w:t>other</w:t>
      </w:r>
      <w:r>
        <w:rPr>
          <w:color w:val="4F576A"/>
          <w:spacing w:val="-86"/>
        </w:rPr>
        <w:t> </w:t>
      </w:r>
      <w:r>
        <w:rPr>
          <w:color w:val="4F576A"/>
        </w:rPr>
        <w:t>than</w:t>
      </w:r>
      <w:r>
        <w:rPr>
          <w:color w:val="4F576A"/>
          <w:spacing w:val="-2"/>
        </w:rPr>
        <w:t> </w:t>
      </w:r>
      <w:r>
        <w:rPr>
          <w:color w:val="4F576A"/>
        </w:rPr>
        <w:t>Interim</w:t>
      </w:r>
      <w:r>
        <w:rPr>
          <w:color w:val="4F576A"/>
          <w:spacing w:val="-2"/>
        </w:rPr>
        <w:t> </w:t>
      </w:r>
      <w:r>
        <w:rPr>
          <w:color w:val="4F576A"/>
        </w:rPr>
        <w:t>Resolution</w:t>
      </w:r>
      <w:r>
        <w:rPr>
          <w:color w:val="4F576A"/>
          <w:spacing w:val="1"/>
        </w:rPr>
        <w:t> </w:t>
      </w:r>
      <w:r>
        <w:rPr>
          <w:color w:val="4F576A"/>
        </w:rPr>
        <w:t>Professional/</w:t>
      </w:r>
      <w:r>
        <w:rPr>
          <w:color w:val="4F576A"/>
          <w:spacing w:val="2"/>
        </w:rPr>
        <w:t> </w:t>
      </w:r>
      <w:r>
        <w:rPr>
          <w:color w:val="4F576A"/>
        </w:rPr>
        <w:t>Resolution Professional</w:t>
      </w:r>
    </w:p>
    <w:p>
      <w:pPr>
        <w:pStyle w:val="ListParagraph"/>
        <w:numPr>
          <w:ilvl w:val="0"/>
          <w:numId w:val="4"/>
        </w:numPr>
        <w:tabs>
          <w:tab w:pos="787" w:val="left" w:leader="none"/>
          <w:tab w:pos="788" w:val="left" w:leader="none"/>
        </w:tabs>
        <w:spacing w:line="334" w:lineRule="exact" w:before="0" w:after="0"/>
        <w:ind w:left="787" w:right="0" w:hanging="452"/>
        <w:jc w:val="left"/>
        <w:rPr>
          <w:color w:val="4F576A"/>
          <w:sz w:val="32"/>
        </w:rPr>
      </w:pPr>
      <w:r>
        <w:rPr>
          <w:color w:val="4F576A"/>
          <w:sz w:val="32"/>
        </w:rPr>
        <w:t>An</w:t>
      </w:r>
      <w:r>
        <w:rPr>
          <w:color w:val="4F576A"/>
          <w:spacing w:val="11"/>
          <w:sz w:val="32"/>
        </w:rPr>
        <w:t> </w:t>
      </w:r>
      <w:r>
        <w:rPr>
          <w:color w:val="4F576A"/>
          <w:sz w:val="32"/>
        </w:rPr>
        <w:t>independent</w:t>
      </w:r>
      <w:r>
        <w:rPr>
          <w:color w:val="4F576A"/>
          <w:spacing w:val="13"/>
          <w:sz w:val="32"/>
        </w:rPr>
        <w:t> </w:t>
      </w:r>
      <w:r>
        <w:rPr>
          <w:color w:val="4F576A"/>
          <w:sz w:val="32"/>
        </w:rPr>
        <w:t>IP</w:t>
      </w:r>
      <w:r>
        <w:rPr>
          <w:color w:val="4F576A"/>
          <w:spacing w:val="8"/>
          <w:sz w:val="32"/>
        </w:rPr>
        <w:t> </w:t>
      </w:r>
      <w:r>
        <w:rPr>
          <w:color w:val="4F576A"/>
          <w:sz w:val="32"/>
        </w:rPr>
        <w:t>needs</w:t>
      </w:r>
      <w:r>
        <w:rPr>
          <w:color w:val="4F576A"/>
          <w:spacing w:val="14"/>
          <w:sz w:val="32"/>
        </w:rPr>
        <w:t> </w:t>
      </w:r>
      <w:r>
        <w:rPr>
          <w:color w:val="4F576A"/>
          <w:sz w:val="32"/>
        </w:rPr>
        <w:t>to</w:t>
      </w:r>
      <w:r>
        <w:rPr>
          <w:color w:val="4F576A"/>
          <w:spacing w:val="12"/>
          <w:sz w:val="32"/>
        </w:rPr>
        <w:t> </w:t>
      </w:r>
      <w:r>
        <w:rPr>
          <w:color w:val="4F576A"/>
          <w:sz w:val="32"/>
        </w:rPr>
        <w:t>be</w:t>
      </w:r>
      <w:r>
        <w:rPr>
          <w:color w:val="4F576A"/>
          <w:spacing w:val="12"/>
          <w:sz w:val="32"/>
        </w:rPr>
        <w:t> </w:t>
      </w:r>
      <w:r>
        <w:rPr>
          <w:color w:val="4F576A"/>
          <w:sz w:val="32"/>
        </w:rPr>
        <w:t>entrusted</w:t>
      </w:r>
      <w:r>
        <w:rPr>
          <w:color w:val="4F576A"/>
          <w:spacing w:val="14"/>
          <w:sz w:val="32"/>
        </w:rPr>
        <w:t> </w:t>
      </w:r>
      <w:r>
        <w:rPr>
          <w:color w:val="4F576A"/>
          <w:sz w:val="32"/>
        </w:rPr>
        <w:t>to</w:t>
      </w:r>
      <w:r>
        <w:rPr>
          <w:color w:val="4F576A"/>
          <w:spacing w:val="12"/>
          <w:sz w:val="32"/>
        </w:rPr>
        <w:t> </w:t>
      </w:r>
      <w:r>
        <w:rPr>
          <w:color w:val="4F576A"/>
          <w:sz w:val="32"/>
        </w:rPr>
        <w:t>conduct</w:t>
      </w:r>
      <w:r>
        <w:rPr>
          <w:color w:val="4F576A"/>
          <w:spacing w:val="13"/>
          <w:sz w:val="32"/>
        </w:rPr>
        <w:t> </w:t>
      </w:r>
      <w:r>
        <w:rPr>
          <w:color w:val="4F576A"/>
          <w:sz w:val="32"/>
        </w:rPr>
        <w:t>the</w:t>
      </w:r>
      <w:r>
        <w:rPr>
          <w:color w:val="4F576A"/>
          <w:spacing w:val="12"/>
          <w:sz w:val="32"/>
        </w:rPr>
        <w:t> </w:t>
      </w:r>
      <w:r>
        <w:rPr>
          <w:color w:val="4F576A"/>
          <w:sz w:val="32"/>
        </w:rPr>
        <w:t>liquidation</w:t>
      </w:r>
    </w:p>
    <w:p>
      <w:pPr>
        <w:pStyle w:val="BodyText"/>
        <w:spacing w:before="16"/>
        <w:ind w:left="787"/>
      </w:pPr>
      <w:r>
        <w:rPr>
          <w:color w:val="4F576A"/>
        </w:rPr>
        <w:t>process</w:t>
      </w:r>
      <w:r>
        <w:rPr>
          <w:color w:val="4F576A"/>
          <w:spacing w:val="-1"/>
        </w:rPr>
        <w:t> </w:t>
      </w:r>
      <w:r>
        <w:rPr>
          <w:color w:val="4F576A"/>
        </w:rPr>
        <w:t>of the CD</w:t>
      </w:r>
    </w:p>
    <w:p>
      <w:pPr>
        <w:pStyle w:val="ListParagraph"/>
        <w:numPr>
          <w:ilvl w:val="0"/>
          <w:numId w:val="4"/>
        </w:numPr>
        <w:tabs>
          <w:tab w:pos="787" w:val="left" w:leader="none"/>
          <w:tab w:pos="788" w:val="left" w:leader="none"/>
        </w:tabs>
        <w:spacing w:line="249" w:lineRule="auto" w:before="16" w:after="0"/>
        <w:ind w:left="787" w:right="435" w:hanging="452"/>
        <w:jc w:val="left"/>
        <w:rPr>
          <w:color w:val="4F576A"/>
          <w:sz w:val="32"/>
        </w:rPr>
      </w:pPr>
      <w:r>
        <w:rPr>
          <w:color w:val="4F576A"/>
          <w:sz w:val="32"/>
        </w:rPr>
        <w:t>Segregation</w:t>
      </w:r>
      <w:r>
        <w:rPr>
          <w:color w:val="4F576A"/>
          <w:spacing w:val="21"/>
          <w:sz w:val="32"/>
        </w:rPr>
        <w:t> </w:t>
      </w:r>
      <w:r>
        <w:rPr>
          <w:color w:val="4F576A"/>
          <w:sz w:val="32"/>
        </w:rPr>
        <w:t>of</w:t>
      </w:r>
      <w:r>
        <w:rPr>
          <w:color w:val="4F576A"/>
          <w:spacing w:val="22"/>
          <w:sz w:val="32"/>
        </w:rPr>
        <w:t> </w:t>
      </w:r>
      <w:r>
        <w:rPr>
          <w:color w:val="4F576A"/>
          <w:sz w:val="32"/>
        </w:rPr>
        <w:t>dual</w:t>
      </w:r>
      <w:r>
        <w:rPr>
          <w:color w:val="4F576A"/>
          <w:spacing w:val="21"/>
          <w:sz w:val="32"/>
        </w:rPr>
        <w:t> </w:t>
      </w:r>
      <w:r>
        <w:rPr>
          <w:color w:val="4F576A"/>
          <w:sz w:val="32"/>
        </w:rPr>
        <w:t>role</w:t>
      </w:r>
      <w:r>
        <w:rPr>
          <w:color w:val="4F576A"/>
          <w:spacing w:val="21"/>
          <w:sz w:val="32"/>
        </w:rPr>
        <w:t> </w:t>
      </w:r>
      <w:r>
        <w:rPr>
          <w:color w:val="4F576A"/>
          <w:sz w:val="32"/>
        </w:rPr>
        <w:t>of</w:t>
      </w:r>
      <w:r>
        <w:rPr>
          <w:color w:val="4F576A"/>
          <w:spacing w:val="20"/>
          <w:sz w:val="32"/>
        </w:rPr>
        <w:t> </w:t>
      </w:r>
      <w:r>
        <w:rPr>
          <w:color w:val="4F576A"/>
          <w:sz w:val="32"/>
        </w:rPr>
        <w:t>an</w:t>
      </w:r>
      <w:r>
        <w:rPr>
          <w:color w:val="4F576A"/>
          <w:spacing w:val="22"/>
          <w:sz w:val="32"/>
        </w:rPr>
        <w:t> </w:t>
      </w:r>
      <w:r>
        <w:rPr>
          <w:color w:val="4F576A"/>
          <w:sz w:val="32"/>
        </w:rPr>
        <w:t>IP</w:t>
      </w:r>
      <w:r>
        <w:rPr>
          <w:color w:val="4F576A"/>
          <w:spacing w:val="16"/>
          <w:sz w:val="32"/>
        </w:rPr>
        <w:t> </w:t>
      </w:r>
      <w:r>
        <w:rPr>
          <w:color w:val="4F576A"/>
          <w:sz w:val="32"/>
        </w:rPr>
        <w:t>in</w:t>
      </w:r>
      <w:r>
        <w:rPr>
          <w:color w:val="4F576A"/>
          <w:spacing w:val="20"/>
          <w:sz w:val="32"/>
        </w:rPr>
        <w:t> </w:t>
      </w:r>
      <w:r>
        <w:rPr>
          <w:color w:val="4F576A"/>
          <w:sz w:val="32"/>
        </w:rPr>
        <w:t>the</w:t>
      </w:r>
      <w:r>
        <w:rPr>
          <w:color w:val="4F576A"/>
          <w:spacing w:val="22"/>
          <w:sz w:val="32"/>
        </w:rPr>
        <w:t> </w:t>
      </w:r>
      <w:r>
        <w:rPr>
          <w:color w:val="4F576A"/>
          <w:sz w:val="32"/>
        </w:rPr>
        <w:t>same</w:t>
      </w:r>
      <w:r>
        <w:rPr>
          <w:color w:val="4F576A"/>
          <w:spacing w:val="21"/>
          <w:sz w:val="32"/>
        </w:rPr>
        <w:t> </w:t>
      </w:r>
      <w:r>
        <w:rPr>
          <w:color w:val="4F576A"/>
          <w:sz w:val="32"/>
        </w:rPr>
        <w:t>CD</w:t>
      </w:r>
      <w:r>
        <w:rPr>
          <w:color w:val="4F576A"/>
          <w:spacing w:val="20"/>
          <w:sz w:val="32"/>
        </w:rPr>
        <w:t> </w:t>
      </w:r>
      <w:r>
        <w:rPr>
          <w:color w:val="4F576A"/>
          <w:sz w:val="32"/>
        </w:rPr>
        <w:t>as</w:t>
      </w:r>
      <w:r>
        <w:rPr>
          <w:color w:val="4F576A"/>
          <w:spacing w:val="21"/>
          <w:sz w:val="32"/>
        </w:rPr>
        <w:t> </w:t>
      </w:r>
      <w:r>
        <w:rPr>
          <w:color w:val="4F576A"/>
          <w:sz w:val="32"/>
        </w:rPr>
        <w:t>RP</w:t>
      </w:r>
      <w:r>
        <w:rPr>
          <w:color w:val="4F576A"/>
          <w:spacing w:val="16"/>
          <w:sz w:val="32"/>
        </w:rPr>
        <w:t> </w:t>
      </w:r>
      <w:r>
        <w:rPr>
          <w:color w:val="4F576A"/>
          <w:sz w:val="32"/>
        </w:rPr>
        <w:t>&amp;</w:t>
      </w:r>
      <w:r>
        <w:rPr>
          <w:color w:val="4F576A"/>
          <w:spacing w:val="-86"/>
          <w:sz w:val="32"/>
        </w:rPr>
        <w:t> </w:t>
      </w:r>
      <w:r>
        <w:rPr>
          <w:color w:val="4F576A"/>
          <w:sz w:val="32"/>
        </w:rPr>
        <w:t>Liquidator</w:t>
      </w:r>
    </w:p>
    <w:p>
      <w:pPr>
        <w:pStyle w:val="ListParagraph"/>
        <w:numPr>
          <w:ilvl w:val="0"/>
          <w:numId w:val="4"/>
        </w:numPr>
        <w:tabs>
          <w:tab w:pos="787" w:val="left" w:leader="none"/>
          <w:tab w:pos="788" w:val="left" w:leader="none"/>
        </w:tabs>
        <w:spacing w:line="240" w:lineRule="auto" w:before="3" w:after="0"/>
        <w:ind w:left="787" w:right="0" w:hanging="452"/>
        <w:jc w:val="left"/>
        <w:rPr>
          <w:color w:val="6A6A6A"/>
          <w:sz w:val="32"/>
        </w:rPr>
      </w:pPr>
      <w:hyperlink r:id="rId13">
        <w:r>
          <w:rPr>
            <w:color w:val="56C1B8"/>
            <w:sz w:val="32"/>
            <w:u w:val="thick" w:color="56C1B8"/>
          </w:rPr>
          <w:t>Click</w:t>
        </w:r>
        <w:r>
          <w:rPr>
            <w:color w:val="56C1B8"/>
            <w:spacing w:val="-5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here</w:t>
        </w:r>
        <w:r>
          <w:rPr>
            <w:color w:val="56C1B8"/>
            <w:spacing w:val="1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for</w:t>
        </w:r>
        <w:r>
          <w:rPr>
            <w:color w:val="56C1B8"/>
            <w:spacing w:val="2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IBBI</w:t>
        </w:r>
        <w:r>
          <w:rPr>
            <w:color w:val="56C1B8"/>
            <w:spacing w:val="1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Letter</w:t>
        </w:r>
      </w:hyperlink>
    </w:p>
    <w:p>
      <w:pPr>
        <w:spacing w:after="0" w:line="240" w:lineRule="auto"/>
        <w:jc w:val="left"/>
        <w:rPr>
          <w:sz w:val="32"/>
        </w:rPr>
        <w:sectPr>
          <w:pgSz w:w="10800" w:h="19200"/>
          <w:pgMar w:top="0" w:bottom="0" w:left="0" w:right="0"/>
        </w:sectPr>
      </w:pPr>
    </w:p>
    <w:p>
      <w:pPr>
        <w:tabs>
          <w:tab w:pos="5200" w:val="left" w:leader="none"/>
        </w:tabs>
        <w:spacing w:line="240" w:lineRule="auto"/>
        <w:ind w:left="410" w:right="0" w:firstLine="0"/>
        <w:rPr>
          <w:sz w:val="20"/>
        </w:rPr>
      </w:pPr>
      <w:r>
        <w:rPr/>
        <w:pict>
          <v:shape style="position:absolute;margin-left:9.648pt;margin-top:939.940918pt;width:519.5pt;height:18.6pt;mso-position-horizontal-relative:page;mso-position-vertical-relative:page;z-index:-16023552" type="#_x0000_t202" filled="false" stroked="false">
            <v:textbox inset="0,0,0,0">
              <w:txbxContent>
                <w:p>
                  <w:pPr>
                    <w:tabs>
                      <w:tab w:pos="7332" w:val="left" w:leader="none"/>
                    </w:tabs>
                    <w:spacing w:line="371" w:lineRule="exact" w:before="0"/>
                    <w:ind w:left="0" w:right="0" w:firstLine="0"/>
                    <w:jc w:val="left"/>
                    <w:rPr>
                      <w:rFonts w:ascii="Arial"/>
                      <w:b/>
                      <w:sz w:val="30"/>
                    </w:rPr>
                  </w:pPr>
                  <w:r>
                    <w:rPr>
                      <w:rFonts w:ascii="Arial"/>
                      <w:b/>
                      <w:color w:val="EBCF6A"/>
                      <w:spacing w:val="11"/>
                      <w:position w:val="4"/>
                      <w:sz w:val="28"/>
                    </w:rPr>
                    <w:t>DECEMBER</w:t>
                  </w:r>
                  <w:r>
                    <w:rPr>
                      <w:rFonts w:ascii="Arial"/>
                      <w:b/>
                      <w:color w:val="EBCF6A"/>
                      <w:spacing w:val="30"/>
                      <w:position w:val="4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16"/>
                      <w:position w:val="4"/>
                      <w:sz w:val="30"/>
                    </w:rPr>
                    <w:t>2022</w:t>
                    <w:tab/>
                  </w:r>
                  <w:r>
                    <w:rPr>
                      <w:rFonts w:ascii="Arial"/>
                      <w:b/>
                      <w:color w:val="EBCF6A"/>
                      <w:spacing w:val="-17"/>
                      <w:sz w:val="30"/>
                    </w:rPr>
                    <w:t>KNOWLEDGE</w:t>
                  </w:r>
                  <w:r>
                    <w:rPr>
                      <w:rFonts w:ascii="Arial"/>
                      <w:b/>
                      <w:color w:val="EBCF6A"/>
                      <w:spacing w:val="-14"/>
                      <w:sz w:val="30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-16"/>
                      <w:sz w:val="30"/>
                    </w:rPr>
                    <w:t>UPDATE</w:t>
                  </w:r>
                </w:p>
              </w:txbxContent>
            </v:textbox>
            <w10:wrap type="none"/>
          </v:shape>
        </w:pict>
      </w:r>
      <w:r>
        <w:rPr/>
        <w:pict>
          <v:rect style="position:absolute;margin-left:0pt;margin-top:-.000061pt;width:540pt;height:960pt;mso-position-horizontal-relative:page;mso-position-vertical-relative:page;z-index:-16023040" filled="true" fillcolor="#fdfcf8" stroked="false">
            <v:fill type="solid"/>
            <w10:wrap type="none"/>
          </v:rect>
        </w:pict>
      </w:r>
      <w:r>
        <w:rPr/>
        <w:pict>
          <v:group style="position:absolute;margin-left:0pt;margin-top:939.479797pt;width:539.950pt;height:20.4pt;mso-position-horizontal-relative:page;mso-position-vertical-relative:page;z-index:15738368" coordorigin="0,18790" coordsize="10799,408">
            <v:rect style="position:absolute;left:0;top:18789;width:10799;height:408" filled="true" fillcolor="#36394f" stroked="false">
              <v:fill type="solid"/>
            </v:rect>
            <v:shape style="position:absolute;left:108;top:18814;width:2162;height:336" type="#_x0000_t202" filled="false" stroked="false">
              <v:textbox inset="0,0,0,0">
                <w:txbxContent>
                  <w:p>
                    <w:pPr>
                      <w:spacing w:line="335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15"/>
                        <w:sz w:val="28"/>
                      </w:rPr>
                      <w:t>AUGUST</w:t>
                    </w:r>
                    <w:r>
                      <w:rPr>
                        <w:rFonts w:ascii="Arial"/>
                        <w:b/>
                        <w:color w:val="EBCF6A"/>
                        <w:spacing w:val="54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16"/>
                        <w:sz w:val="30"/>
                      </w:rPr>
                      <w:t>2023</w:t>
                    </w:r>
                  </w:p>
                </w:txbxContent>
              </v:textbox>
              <w10:wrap type="none"/>
            </v:shape>
            <v:shape style="position:absolute;left:7544;top:18814;width:3125;height:336" type="#_x0000_t202" filled="false" stroked="false">
              <v:textbox inset="0,0,0,0">
                <w:txbxContent>
                  <w:p>
                    <w:pPr>
                      <w:spacing w:line="335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-13"/>
                        <w:sz w:val="30"/>
                      </w:rPr>
                      <w:t>KNOWLEDGE</w:t>
                    </w:r>
                    <w:r>
                      <w:rPr>
                        <w:rFonts w:ascii="Arial"/>
                        <w:b/>
                        <w:color w:val="EBCF6A"/>
                        <w:spacing w:val="-12"/>
                        <w:sz w:val="30"/>
                      </w:rPr>
                      <w:t> UPDATE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position w:val="12"/>
          <w:sz w:val="20"/>
        </w:rPr>
        <w:drawing>
          <wp:inline distT="0" distB="0" distL="0" distR="0">
            <wp:extent cx="2737277" cy="1743837"/>
            <wp:effectExtent l="0" t="0" r="0" b="0"/>
            <wp:docPr id="9" name="image5.jpeg" descr="A picture containing text, indoor, tool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7277" cy="1743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2"/>
          <w:sz w:val="20"/>
        </w:rPr>
      </w:r>
      <w:r>
        <w:rPr>
          <w:position w:val="12"/>
          <w:sz w:val="20"/>
        </w:rPr>
        <w:tab/>
      </w:r>
      <w:r>
        <w:rPr>
          <w:sz w:val="20"/>
        </w:rPr>
        <w:pict>
          <v:group style="width:270pt;height:167.9pt;mso-position-horizontal-relative:char;mso-position-vertical-relative:line" coordorigin="0,0" coordsize="5400,3358">
            <v:rect style="position:absolute;left:3842;top:0;width:857;height:2742" filled="true" fillcolor="#ebcf6a" stroked="false">
              <v:fill type="solid"/>
            </v:rect>
            <v:shape style="position:absolute;left:3280;top:300;width:1786;height:1798" type="#_x0000_t75" stroked="false">
              <v:imagedata r:id="rId5" o:title=""/>
            </v:shape>
            <v:shape style="position:absolute;left:0;top:2741;width:5400;height:617" type="#_x0000_t202" filled="true" fillcolor="#36394f" stroked="false">
              <v:textbox inset="0,0,0,0">
                <w:txbxContent>
                  <w:p>
                    <w:pPr>
                      <w:spacing w:before="14"/>
                      <w:ind w:left="1615" w:right="0" w:firstLine="0"/>
                      <w:jc w:val="left"/>
                      <w:rPr>
                        <w:rFonts w:ascii="Arial"/>
                        <w:b/>
                        <w:sz w:val="40"/>
                      </w:rPr>
                    </w:pPr>
                    <w:bookmarkStart w:name="Slide 4" w:id="4"/>
                    <w:bookmarkEnd w:id="4"/>
                    <w:r>
                      <w:rPr/>
                    </w:r>
                    <w:r>
                      <w:rPr>
                        <w:rFonts w:ascii="Arial"/>
                        <w:b/>
                        <w:color w:val="EBCF6A"/>
                        <w:sz w:val="40"/>
                      </w:rPr>
                      <w:t>CASE</w:t>
                    </w:r>
                    <w:r>
                      <w:rPr>
                        <w:rFonts w:ascii="Arial"/>
                        <w:b/>
                        <w:color w:val="EBCF6A"/>
                        <w:spacing w:val="-19"/>
                        <w:sz w:val="4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z w:val="40"/>
                      </w:rPr>
                      <w:t>LAWS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6"/>
        <w:rPr>
          <w:sz w:val="16"/>
        </w:rPr>
      </w:pPr>
    </w:p>
    <w:p>
      <w:pPr>
        <w:spacing w:before="89"/>
        <w:ind w:left="315" w:right="0" w:firstLine="0"/>
        <w:jc w:val="left"/>
        <w:rPr>
          <w:rFonts w:ascii="Arial"/>
          <w:b/>
          <w:sz w:val="32"/>
        </w:rPr>
      </w:pPr>
      <w:r>
        <w:rPr>
          <w:rFonts w:ascii="Arial"/>
          <w:b/>
          <w:color w:val="4F576A"/>
          <w:spacing w:val="-2"/>
          <w:sz w:val="32"/>
          <w:u w:val="thick" w:color="4F576A"/>
        </w:rPr>
        <w:t>COMPANY</w:t>
      </w:r>
      <w:r>
        <w:rPr>
          <w:rFonts w:ascii="Arial"/>
          <w:b/>
          <w:color w:val="4F576A"/>
          <w:spacing w:val="-20"/>
          <w:sz w:val="32"/>
          <w:u w:val="thick" w:color="4F576A"/>
        </w:rPr>
        <w:t> </w:t>
      </w:r>
      <w:r>
        <w:rPr>
          <w:rFonts w:ascii="Arial"/>
          <w:b/>
          <w:color w:val="4F576A"/>
          <w:spacing w:val="-1"/>
          <w:sz w:val="32"/>
          <w:u w:val="thick" w:color="4F576A"/>
        </w:rPr>
        <w:t>LAW</w:t>
      </w:r>
    </w:p>
    <w:p>
      <w:pPr>
        <w:spacing w:line="300" w:lineRule="auto" w:before="93"/>
        <w:ind w:left="855" w:right="469" w:hanging="540"/>
        <w:jc w:val="both"/>
        <w:rPr>
          <w:rFonts w:ascii="Arial" w:hAnsi="Arial"/>
          <w:b/>
          <w:sz w:val="32"/>
        </w:rPr>
      </w:pPr>
      <w:r>
        <w:rPr>
          <w:rFonts w:ascii="Arial" w:hAnsi="Arial"/>
          <w:b/>
          <w:color w:val="4F576A"/>
          <w:sz w:val="32"/>
        </w:rPr>
        <w:t>1.</w:t>
      </w:r>
      <w:r>
        <w:rPr>
          <w:rFonts w:ascii="Arial" w:hAnsi="Arial"/>
          <w:b/>
          <w:color w:val="4F576A"/>
          <w:spacing w:val="1"/>
          <w:sz w:val="32"/>
        </w:rPr>
        <w:t> </w:t>
      </w:r>
      <w:r>
        <w:rPr>
          <w:rFonts w:ascii="Arial" w:hAnsi="Arial"/>
          <w:b/>
          <w:color w:val="4F576A"/>
          <w:sz w:val="32"/>
        </w:rPr>
        <w:t>RD Sets Aside ROC’s Order w.r.t Non-appointment of CS as</w:t>
      </w:r>
      <w:r>
        <w:rPr>
          <w:rFonts w:ascii="Arial" w:hAnsi="Arial"/>
          <w:b/>
          <w:color w:val="4F576A"/>
          <w:spacing w:val="1"/>
          <w:sz w:val="32"/>
        </w:rPr>
        <w:t> </w:t>
      </w:r>
      <w:r>
        <w:rPr>
          <w:rFonts w:ascii="Arial" w:hAnsi="Arial"/>
          <w:b/>
          <w:color w:val="4F576A"/>
          <w:sz w:val="32"/>
        </w:rPr>
        <w:t>Company</w:t>
      </w:r>
      <w:r>
        <w:rPr>
          <w:rFonts w:ascii="Arial" w:hAnsi="Arial"/>
          <w:b/>
          <w:color w:val="4F576A"/>
          <w:spacing w:val="1"/>
          <w:sz w:val="32"/>
        </w:rPr>
        <w:t> </w:t>
      </w:r>
      <w:r>
        <w:rPr>
          <w:rFonts w:ascii="Arial" w:hAnsi="Arial"/>
          <w:b/>
          <w:color w:val="4F576A"/>
          <w:sz w:val="32"/>
        </w:rPr>
        <w:t>had Incurred</w:t>
      </w:r>
      <w:r>
        <w:rPr>
          <w:rFonts w:ascii="Arial" w:hAnsi="Arial"/>
          <w:b/>
          <w:color w:val="4F576A"/>
          <w:spacing w:val="3"/>
          <w:sz w:val="32"/>
        </w:rPr>
        <w:t> </w:t>
      </w:r>
      <w:r>
        <w:rPr>
          <w:rFonts w:ascii="Arial" w:hAnsi="Arial"/>
          <w:b/>
          <w:color w:val="4F576A"/>
          <w:sz w:val="32"/>
        </w:rPr>
        <w:t>Losses</w:t>
      </w:r>
      <w:r>
        <w:rPr>
          <w:rFonts w:ascii="Arial" w:hAnsi="Arial"/>
          <w:b/>
          <w:color w:val="4F576A"/>
          <w:spacing w:val="-1"/>
          <w:sz w:val="32"/>
        </w:rPr>
        <w:t> </w:t>
      </w:r>
      <w:r>
        <w:rPr>
          <w:rFonts w:ascii="Arial" w:hAnsi="Arial"/>
          <w:b/>
          <w:color w:val="4F576A"/>
          <w:sz w:val="32"/>
        </w:rPr>
        <w:t>&amp;</w:t>
      </w:r>
      <w:r>
        <w:rPr>
          <w:rFonts w:ascii="Arial" w:hAnsi="Arial"/>
          <w:b/>
          <w:color w:val="4F576A"/>
          <w:spacing w:val="1"/>
          <w:sz w:val="32"/>
        </w:rPr>
        <w:t> </w:t>
      </w:r>
      <w:r>
        <w:rPr>
          <w:rFonts w:ascii="Arial" w:hAnsi="Arial"/>
          <w:b/>
          <w:color w:val="4F576A"/>
          <w:sz w:val="32"/>
        </w:rPr>
        <w:t>Itself</w:t>
      </w:r>
      <w:r>
        <w:rPr>
          <w:rFonts w:ascii="Arial" w:hAnsi="Arial"/>
          <w:b/>
          <w:color w:val="4F576A"/>
          <w:spacing w:val="5"/>
          <w:sz w:val="32"/>
        </w:rPr>
        <w:t> </w:t>
      </w:r>
      <w:r>
        <w:rPr>
          <w:rFonts w:ascii="Arial" w:hAnsi="Arial"/>
          <w:b/>
          <w:color w:val="4F576A"/>
          <w:sz w:val="32"/>
        </w:rPr>
        <w:t>Got</w:t>
      </w:r>
      <w:r>
        <w:rPr>
          <w:rFonts w:ascii="Arial" w:hAnsi="Arial"/>
          <w:b/>
          <w:color w:val="4F576A"/>
          <w:spacing w:val="2"/>
          <w:sz w:val="32"/>
        </w:rPr>
        <w:t> </w:t>
      </w:r>
      <w:r>
        <w:rPr>
          <w:rFonts w:ascii="Arial" w:hAnsi="Arial"/>
          <w:b/>
          <w:color w:val="4F576A"/>
          <w:sz w:val="32"/>
        </w:rPr>
        <w:t>Delisted</w:t>
      </w:r>
    </w:p>
    <w:p>
      <w:pPr>
        <w:pStyle w:val="ListParagraph"/>
        <w:numPr>
          <w:ilvl w:val="0"/>
          <w:numId w:val="4"/>
        </w:numPr>
        <w:tabs>
          <w:tab w:pos="767" w:val="left" w:leader="none"/>
        </w:tabs>
        <w:spacing w:line="336" w:lineRule="exact" w:before="0" w:after="0"/>
        <w:ind w:left="766" w:right="0" w:hanging="452"/>
        <w:jc w:val="both"/>
        <w:rPr>
          <w:color w:val="4F576A"/>
          <w:sz w:val="32"/>
        </w:rPr>
      </w:pPr>
      <w:r>
        <w:rPr>
          <w:color w:val="4F576A"/>
          <w:sz w:val="32"/>
        </w:rPr>
        <w:t>Penalty</w:t>
      </w:r>
      <w:r>
        <w:rPr>
          <w:color w:val="4F576A"/>
          <w:spacing w:val="70"/>
          <w:sz w:val="32"/>
        </w:rPr>
        <w:t> </w:t>
      </w:r>
      <w:r>
        <w:rPr>
          <w:color w:val="4F576A"/>
          <w:sz w:val="32"/>
        </w:rPr>
        <w:t>imposed</w:t>
      </w:r>
      <w:r>
        <w:rPr>
          <w:color w:val="4F576A"/>
          <w:spacing w:val="74"/>
          <w:sz w:val="32"/>
        </w:rPr>
        <w:t> </w:t>
      </w:r>
      <w:r>
        <w:rPr>
          <w:color w:val="4F576A"/>
          <w:sz w:val="32"/>
        </w:rPr>
        <w:t>due</w:t>
      </w:r>
      <w:r>
        <w:rPr>
          <w:color w:val="4F576A"/>
          <w:spacing w:val="74"/>
          <w:sz w:val="32"/>
        </w:rPr>
        <w:t> </w:t>
      </w:r>
      <w:r>
        <w:rPr>
          <w:color w:val="4F576A"/>
          <w:sz w:val="32"/>
        </w:rPr>
        <w:t>to</w:t>
      </w:r>
      <w:r>
        <w:rPr>
          <w:color w:val="4F576A"/>
          <w:spacing w:val="75"/>
          <w:sz w:val="32"/>
        </w:rPr>
        <w:t> </w:t>
      </w:r>
      <w:r>
        <w:rPr>
          <w:color w:val="4F576A"/>
          <w:sz w:val="32"/>
        </w:rPr>
        <w:t>non</w:t>
      </w:r>
      <w:r>
        <w:rPr>
          <w:color w:val="4F576A"/>
          <w:spacing w:val="75"/>
          <w:sz w:val="32"/>
        </w:rPr>
        <w:t> </w:t>
      </w:r>
      <w:r>
        <w:rPr>
          <w:color w:val="4F576A"/>
          <w:sz w:val="32"/>
        </w:rPr>
        <w:t>appointment</w:t>
      </w:r>
      <w:r>
        <w:rPr>
          <w:color w:val="4F576A"/>
          <w:spacing w:val="74"/>
          <w:sz w:val="32"/>
        </w:rPr>
        <w:t> </w:t>
      </w:r>
      <w:r>
        <w:rPr>
          <w:color w:val="4F576A"/>
          <w:sz w:val="32"/>
        </w:rPr>
        <w:t>of</w:t>
      </w:r>
      <w:r>
        <w:rPr>
          <w:color w:val="4F576A"/>
          <w:spacing w:val="75"/>
          <w:sz w:val="32"/>
        </w:rPr>
        <w:t> </w:t>
      </w:r>
      <w:r>
        <w:rPr>
          <w:color w:val="4F576A"/>
          <w:sz w:val="32"/>
        </w:rPr>
        <w:t>CS</w:t>
      </w:r>
      <w:r>
        <w:rPr>
          <w:color w:val="4F576A"/>
          <w:spacing w:val="74"/>
          <w:sz w:val="32"/>
        </w:rPr>
        <w:t> </w:t>
      </w:r>
      <w:r>
        <w:rPr>
          <w:color w:val="4F576A"/>
          <w:sz w:val="32"/>
        </w:rPr>
        <w:t>on</w:t>
      </w:r>
      <w:r>
        <w:rPr>
          <w:color w:val="4F576A"/>
          <w:spacing w:val="77"/>
          <w:sz w:val="32"/>
        </w:rPr>
        <w:t> </w:t>
      </w:r>
      <w:r>
        <w:rPr>
          <w:color w:val="4F576A"/>
          <w:sz w:val="32"/>
        </w:rPr>
        <w:t>rolls</w:t>
      </w:r>
      <w:r>
        <w:rPr>
          <w:color w:val="4F576A"/>
          <w:spacing w:val="75"/>
          <w:sz w:val="32"/>
        </w:rPr>
        <w:t> </w:t>
      </w:r>
      <w:r>
        <w:rPr>
          <w:color w:val="4F576A"/>
          <w:sz w:val="32"/>
        </w:rPr>
        <w:t>for</w:t>
      </w:r>
      <w:r>
        <w:rPr>
          <w:color w:val="4F576A"/>
          <w:spacing w:val="75"/>
          <w:sz w:val="32"/>
        </w:rPr>
        <w:t> </w:t>
      </w:r>
      <w:r>
        <w:rPr>
          <w:color w:val="4F576A"/>
          <w:sz w:val="32"/>
        </w:rPr>
        <w:t>an</w:t>
      </w:r>
    </w:p>
    <w:p>
      <w:pPr>
        <w:pStyle w:val="BodyText"/>
        <w:spacing w:line="249" w:lineRule="auto" w:before="16"/>
        <w:ind w:left="766" w:right="465"/>
        <w:jc w:val="both"/>
      </w:pPr>
      <w:r>
        <w:rPr>
          <w:color w:val="4F576A"/>
        </w:rPr>
        <w:t>amount</w:t>
      </w:r>
      <w:r>
        <w:rPr>
          <w:color w:val="4F576A"/>
          <w:spacing w:val="1"/>
        </w:rPr>
        <w:t> </w:t>
      </w:r>
      <w:r>
        <w:rPr>
          <w:color w:val="4F576A"/>
        </w:rPr>
        <w:t>of</w:t>
      </w:r>
      <w:r>
        <w:rPr>
          <w:color w:val="4F576A"/>
          <w:spacing w:val="1"/>
        </w:rPr>
        <w:t> </w:t>
      </w:r>
      <w:r>
        <w:rPr>
          <w:color w:val="4F576A"/>
        </w:rPr>
        <w:t>Rs.6.50</w:t>
      </w:r>
      <w:r>
        <w:rPr>
          <w:color w:val="4F576A"/>
          <w:spacing w:val="1"/>
        </w:rPr>
        <w:t> </w:t>
      </w:r>
      <w:r>
        <w:rPr>
          <w:color w:val="4F576A"/>
        </w:rPr>
        <w:t>lac</w:t>
      </w:r>
      <w:r>
        <w:rPr>
          <w:color w:val="4F576A"/>
          <w:spacing w:val="1"/>
        </w:rPr>
        <w:t> </w:t>
      </w:r>
      <w:r>
        <w:rPr>
          <w:color w:val="4F576A"/>
        </w:rPr>
        <w:t>against</w:t>
      </w:r>
      <w:r>
        <w:rPr>
          <w:color w:val="4F576A"/>
          <w:spacing w:val="1"/>
        </w:rPr>
        <w:t> </w:t>
      </w:r>
      <w:r>
        <w:rPr>
          <w:color w:val="4F576A"/>
        </w:rPr>
        <w:t>which</w:t>
      </w:r>
      <w:r>
        <w:rPr>
          <w:color w:val="4F576A"/>
          <w:spacing w:val="1"/>
        </w:rPr>
        <w:t> </w:t>
      </w:r>
      <w:r>
        <w:rPr>
          <w:color w:val="4F576A"/>
        </w:rPr>
        <w:t>appeal</w:t>
      </w:r>
      <w:r>
        <w:rPr>
          <w:color w:val="4F576A"/>
          <w:spacing w:val="1"/>
        </w:rPr>
        <w:t> </w:t>
      </w:r>
      <w:r>
        <w:rPr>
          <w:color w:val="4F576A"/>
        </w:rPr>
        <w:t>was</w:t>
      </w:r>
      <w:r>
        <w:rPr>
          <w:color w:val="4F576A"/>
          <w:spacing w:val="1"/>
        </w:rPr>
        <w:t> </w:t>
      </w:r>
      <w:r>
        <w:rPr>
          <w:color w:val="4F576A"/>
        </w:rPr>
        <w:t>made</w:t>
      </w:r>
      <w:r>
        <w:rPr>
          <w:color w:val="4F576A"/>
          <w:spacing w:val="1"/>
        </w:rPr>
        <w:t> </w:t>
      </w:r>
      <w:r>
        <w:rPr>
          <w:color w:val="4F576A"/>
        </w:rPr>
        <w:t>before</w:t>
      </w:r>
      <w:r>
        <w:rPr>
          <w:color w:val="4F576A"/>
          <w:spacing w:val="-86"/>
        </w:rPr>
        <w:t> </w:t>
      </w:r>
      <w:r>
        <w:rPr>
          <w:color w:val="4F576A"/>
        </w:rPr>
        <w:t>Regional</w:t>
      </w:r>
      <w:r>
        <w:rPr>
          <w:color w:val="4F576A"/>
          <w:spacing w:val="-6"/>
        </w:rPr>
        <w:t> </w:t>
      </w:r>
      <w:r>
        <w:rPr>
          <w:color w:val="4F576A"/>
        </w:rPr>
        <w:t>Director.</w:t>
      </w:r>
    </w:p>
    <w:p>
      <w:pPr>
        <w:pStyle w:val="ListParagraph"/>
        <w:numPr>
          <w:ilvl w:val="0"/>
          <w:numId w:val="4"/>
        </w:numPr>
        <w:tabs>
          <w:tab w:pos="767" w:val="left" w:leader="none"/>
        </w:tabs>
        <w:spacing w:line="249" w:lineRule="auto" w:before="2" w:after="0"/>
        <w:ind w:left="766" w:right="463" w:hanging="452"/>
        <w:jc w:val="both"/>
        <w:rPr>
          <w:color w:val="4F576A"/>
          <w:sz w:val="32"/>
        </w:rPr>
      </w:pPr>
      <w:r>
        <w:rPr>
          <w:color w:val="4F576A"/>
          <w:sz w:val="32"/>
        </w:rPr>
        <w:t>Regional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Director,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upon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hearing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the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submissions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set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aside</w:t>
      </w:r>
      <w:r>
        <w:rPr>
          <w:color w:val="4F576A"/>
          <w:spacing w:val="88"/>
          <w:sz w:val="32"/>
        </w:rPr>
        <w:t> </w:t>
      </w:r>
      <w:r>
        <w:rPr>
          <w:color w:val="4F576A"/>
          <w:sz w:val="32"/>
        </w:rPr>
        <w:t>the</w:t>
      </w:r>
      <w:r>
        <w:rPr>
          <w:color w:val="4F576A"/>
          <w:spacing w:val="-86"/>
          <w:sz w:val="32"/>
        </w:rPr>
        <w:t> </w:t>
      </w:r>
      <w:r>
        <w:rPr>
          <w:color w:val="4F576A"/>
          <w:sz w:val="32"/>
        </w:rPr>
        <w:t>order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as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the Company was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not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carrying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any business</w:t>
      </w:r>
      <w:r>
        <w:rPr>
          <w:color w:val="4F576A"/>
          <w:spacing w:val="88"/>
          <w:sz w:val="32"/>
        </w:rPr>
        <w:t> </w:t>
      </w:r>
      <w:r>
        <w:rPr>
          <w:color w:val="4F576A"/>
          <w:sz w:val="32"/>
        </w:rPr>
        <w:t>activities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from</w:t>
      </w:r>
      <w:r>
        <w:rPr>
          <w:color w:val="4F576A"/>
          <w:spacing w:val="4"/>
          <w:sz w:val="32"/>
        </w:rPr>
        <w:t> </w:t>
      </w:r>
      <w:r>
        <w:rPr>
          <w:color w:val="4F576A"/>
          <w:sz w:val="32"/>
        </w:rPr>
        <w:t>last six</w:t>
      </w:r>
      <w:r>
        <w:rPr>
          <w:color w:val="4F576A"/>
          <w:spacing w:val="-3"/>
          <w:sz w:val="32"/>
        </w:rPr>
        <w:t> </w:t>
      </w:r>
      <w:r>
        <w:rPr>
          <w:color w:val="4F576A"/>
          <w:sz w:val="32"/>
        </w:rPr>
        <w:t>years</w:t>
      </w:r>
      <w:r>
        <w:rPr>
          <w:color w:val="4F576A"/>
          <w:spacing w:val="8"/>
          <w:sz w:val="32"/>
        </w:rPr>
        <w:t> </w:t>
      </w:r>
      <w:r>
        <w:rPr>
          <w:color w:val="4F576A"/>
          <w:sz w:val="32"/>
        </w:rPr>
        <w:t>&amp;</w:t>
      </w:r>
      <w:r>
        <w:rPr>
          <w:color w:val="4F576A"/>
          <w:spacing w:val="-1"/>
          <w:sz w:val="32"/>
        </w:rPr>
        <w:t> </w:t>
      </w:r>
      <w:r>
        <w:rPr>
          <w:color w:val="4F576A"/>
          <w:sz w:val="32"/>
        </w:rPr>
        <w:t>not</w:t>
      </w:r>
      <w:r>
        <w:rPr>
          <w:color w:val="4F576A"/>
          <w:spacing w:val="2"/>
          <w:sz w:val="32"/>
        </w:rPr>
        <w:t> </w:t>
      </w:r>
      <w:r>
        <w:rPr>
          <w:color w:val="4F576A"/>
          <w:sz w:val="32"/>
        </w:rPr>
        <w:t>in</w:t>
      </w:r>
      <w:r>
        <w:rPr>
          <w:color w:val="4F576A"/>
          <w:spacing w:val="-4"/>
          <w:sz w:val="32"/>
        </w:rPr>
        <w:t> </w:t>
      </w:r>
      <w:r>
        <w:rPr>
          <w:color w:val="4F576A"/>
          <w:sz w:val="32"/>
        </w:rPr>
        <w:t>position</w:t>
      </w:r>
      <w:r>
        <w:rPr>
          <w:color w:val="4F576A"/>
          <w:spacing w:val="-2"/>
          <w:sz w:val="32"/>
        </w:rPr>
        <w:t> </w:t>
      </w:r>
      <w:r>
        <w:rPr>
          <w:color w:val="4F576A"/>
          <w:sz w:val="32"/>
        </w:rPr>
        <w:t>to</w:t>
      </w:r>
      <w:r>
        <w:rPr>
          <w:color w:val="4F576A"/>
          <w:spacing w:val="2"/>
          <w:sz w:val="32"/>
        </w:rPr>
        <w:t> </w:t>
      </w:r>
      <w:r>
        <w:rPr>
          <w:color w:val="4F576A"/>
          <w:sz w:val="32"/>
        </w:rPr>
        <w:t>appoint</w:t>
      </w:r>
      <w:r>
        <w:rPr>
          <w:color w:val="4F576A"/>
          <w:spacing w:val="-1"/>
          <w:sz w:val="32"/>
        </w:rPr>
        <w:t> </w:t>
      </w:r>
      <w:r>
        <w:rPr>
          <w:color w:val="4F576A"/>
          <w:sz w:val="32"/>
        </w:rPr>
        <w:t>CS.</w:t>
      </w:r>
    </w:p>
    <w:p>
      <w:pPr>
        <w:pStyle w:val="ListParagraph"/>
        <w:numPr>
          <w:ilvl w:val="0"/>
          <w:numId w:val="4"/>
        </w:numPr>
        <w:tabs>
          <w:tab w:pos="767" w:val="left" w:leader="none"/>
        </w:tabs>
        <w:spacing w:line="249" w:lineRule="auto" w:before="5" w:after="0"/>
        <w:ind w:left="766" w:right="465" w:hanging="452"/>
        <w:jc w:val="both"/>
        <w:rPr>
          <w:color w:val="4F576A"/>
          <w:sz w:val="32"/>
        </w:rPr>
      </w:pPr>
      <w:r>
        <w:rPr>
          <w:color w:val="4F576A"/>
          <w:sz w:val="32"/>
        </w:rPr>
        <w:t>Further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directed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ROC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to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give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due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consideration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to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all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aspects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before</w:t>
      </w:r>
      <w:r>
        <w:rPr>
          <w:color w:val="4F576A"/>
          <w:spacing w:val="2"/>
          <w:sz w:val="32"/>
        </w:rPr>
        <w:t> </w:t>
      </w:r>
      <w:r>
        <w:rPr>
          <w:color w:val="4F576A"/>
          <w:sz w:val="32"/>
        </w:rPr>
        <w:t>passing</w:t>
      </w:r>
      <w:r>
        <w:rPr>
          <w:color w:val="4F576A"/>
          <w:spacing w:val="-6"/>
          <w:sz w:val="32"/>
        </w:rPr>
        <w:t> </w:t>
      </w:r>
      <w:r>
        <w:rPr>
          <w:color w:val="4F576A"/>
          <w:sz w:val="32"/>
        </w:rPr>
        <w:t>an</w:t>
      </w:r>
      <w:r>
        <w:rPr>
          <w:color w:val="4F576A"/>
          <w:spacing w:val="3"/>
          <w:sz w:val="32"/>
        </w:rPr>
        <w:t> </w:t>
      </w:r>
      <w:r>
        <w:rPr>
          <w:color w:val="4F576A"/>
          <w:sz w:val="32"/>
        </w:rPr>
        <w:t>order</w:t>
      </w:r>
      <w:r>
        <w:rPr>
          <w:color w:val="4F576A"/>
          <w:spacing w:val="2"/>
          <w:sz w:val="32"/>
        </w:rPr>
        <w:t> </w:t>
      </w:r>
      <w:r>
        <w:rPr>
          <w:color w:val="4F576A"/>
          <w:sz w:val="32"/>
        </w:rPr>
        <w:t>of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penalty.</w:t>
      </w:r>
    </w:p>
    <w:p>
      <w:pPr>
        <w:pStyle w:val="ListParagraph"/>
        <w:numPr>
          <w:ilvl w:val="0"/>
          <w:numId w:val="4"/>
        </w:numPr>
        <w:tabs>
          <w:tab w:pos="767" w:val="left" w:leader="none"/>
        </w:tabs>
        <w:spacing w:line="240" w:lineRule="auto" w:before="36" w:after="0"/>
        <w:ind w:left="766" w:right="0" w:hanging="452"/>
        <w:jc w:val="both"/>
        <w:rPr>
          <w:color w:val="6A6A6A"/>
          <w:sz w:val="32"/>
        </w:rPr>
      </w:pPr>
      <w:hyperlink r:id="rId15">
        <w:r>
          <w:rPr>
            <w:color w:val="56C1B8"/>
            <w:sz w:val="32"/>
            <w:u w:val="thick" w:color="56C1B8"/>
          </w:rPr>
          <w:t>Click</w:t>
        </w:r>
        <w:r>
          <w:rPr>
            <w:color w:val="56C1B8"/>
            <w:spacing w:val="-6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here</w:t>
        </w:r>
        <w:r>
          <w:rPr>
            <w:color w:val="56C1B8"/>
            <w:spacing w:val="-1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for</w:t>
        </w:r>
        <w:r>
          <w:rPr>
            <w:color w:val="56C1B8"/>
            <w:spacing w:val="3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Order</w:t>
        </w:r>
      </w:hyperlink>
    </w:p>
    <w:p>
      <w:pPr>
        <w:pStyle w:val="BodyText"/>
        <w:spacing w:before="2"/>
        <w:rPr>
          <w:sz w:val="48"/>
        </w:rPr>
      </w:pPr>
    </w:p>
    <w:p>
      <w:pPr>
        <w:spacing w:before="0"/>
        <w:ind w:left="315" w:right="0" w:firstLine="0"/>
        <w:jc w:val="left"/>
        <w:rPr>
          <w:rFonts w:ascii="Arial"/>
          <w:b/>
          <w:sz w:val="32"/>
        </w:rPr>
      </w:pPr>
      <w:r>
        <w:rPr>
          <w:rFonts w:ascii="Arial"/>
          <w:b/>
          <w:color w:val="4F576A"/>
          <w:sz w:val="32"/>
          <w:u w:val="thick" w:color="4F576A"/>
        </w:rPr>
        <w:t>SECURITIES</w:t>
      </w:r>
      <w:r>
        <w:rPr>
          <w:rFonts w:ascii="Arial"/>
          <w:b/>
          <w:color w:val="4F576A"/>
          <w:spacing w:val="-17"/>
          <w:sz w:val="32"/>
          <w:u w:val="thick" w:color="4F576A"/>
        </w:rPr>
        <w:t> </w:t>
      </w:r>
      <w:r>
        <w:rPr>
          <w:rFonts w:ascii="Arial"/>
          <w:b/>
          <w:color w:val="4F576A"/>
          <w:sz w:val="32"/>
          <w:u w:val="thick" w:color="4F576A"/>
        </w:rPr>
        <w:t>LAW</w:t>
      </w:r>
    </w:p>
    <w:p>
      <w:pPr>
        <w:spacing w:before="93"/>
        <w:ind w:left="315" w:right="0" w:firstLine="0"/>
        <w:jc w:val="both"/>
        <w:rPr>
          <w:rFonts w:ascii="Arial"/>
          <w:b/>
          <w:sz w:val="32"/>
        </w:rPr>
      </w:pPr>
      <w:r>
        <w:rPr>
          <w:rFonts w:ascii="Arial"/>
          <w:b/>
          <w:color w:val="4F576A"/>
          <w:sz w:val="32"/>
        </w:rPr>
        <w:t>1.</w:t>
      </w:r>
      <w:r>
        <w:rPr>
          <w:rFonts w:ascii="Arial"/>
          <w:b/>
          <w:color w:val="4F576A"/>
          <w:spacing w:val="2"/>
          <w:sz w:val="32"/>
        </w:rPr>
        <w:t> </w:t>
      </w:r>
      <w:r>
        <w:rPr>
          <w:rFonts w:ascii="Arial"/>
          <w:b/>
          <w:color w:val="4F576A"/>
          <w:sz w:val="32"/>
        </w:rPr>
        <w:t>SAT</w:t>
      </w:r>
      <w:r>
        <w:rPr>
          <w:rFonts w:ascii="Arial"/>
          <w:b/>
          <w:color w:val="4F576A"/>
          <w:spacing w:val="1"/>
          <w:sz w:val="32"/>
        </w:rPr>
        <w:t> </w:t>
      </w:r>
      <w:r>
        <w:rPr>
          <w:rFonts w:ascii="Arial"/>
          <w:b/>
          <w:color w:val="4F576A"/>
          <w:sz w:val="32"/>
        </w:rPr>
        <w:t>reduces</w:t>
      </w:r>
      <w:r>
        <w:rPr>
          <w:rFonts w:ascii="Arial"/>
          <w:b/>
          <w:color w:val="4F576A"/>
          <w:spacing w:val="2"/>
          <w:sz w:val="32"/>
        </w:rPr>
        <w:t> </w:t>
      </w:r>
      <w:r>
        <w:rPr>
          <w:rFonts w:ascii="Arial"/>
          <w:b/>
          <w:color w:val="4F576A"/>
          <w:sz w:val="32"/>
        </w:rPr>
        <w:t>the</w:t>
      </w:r>
      <w:r>
        <w:rPr>
          <w:rFonts w:ascii="Arial"/>
          <w:b/>
          <w:color w:val="4F576A"/>
          <w:spacing w:val="3"/>
          <w:sz w:val="32"/>
        </w:rPr>
        <w:t> </w:t>
      </w:r>
      <w:r>
        <w:rPr>
          <w:rFonts w:ascii="Arial"/>
          <w:b/>
          <w:color w:val="4F576A"/>
          <w:sz w:val="32"/>
        </w:rPr>
        <w:t>penalty</w:t>
      </w:r>
      <w:r>
        <w:rPr>
          <w:rFonts w:ascii="Arial"/>
          <w:b/>
          <w:color w:val="4F576A"/>
          <w:spacing w:val="-1"/>
          <w:sz w:val="32"/>
        </w:rPr>
        <w:t> </w:t>
      </w:r>
      <w:r>
        <w:rPr>
          <w:rFonts w:ascii="Arial"/>
          <w:b/>
          <w:color w:val="4F576A"/>
          <w:sz w:val="32"/>
        </w:rPr>
        <w:t>for</w:t>
      </w:r>
      <w:r>
        <w:rPr>
          <w:rFonts w:ascii="Arial"/>
          <w:b/>
          <w:color w:val="4F576A"/>
          <w:spacing w:val="3"/>
          <w:sz w:val="32"/>
        </w:rPr>
        <w:t> </w:t>
      </w:r>
      <w:r>
        <w:rPr>
          <w:rFonts w:ascii="Arial"/>
          <w:b/>
          <w:color w:val="4F576A"/>
          <w:sz w:val="32"/>
        </w:rPr>
        <w:t>non-serious LODR</w:t>
      </w:r>
      <w:r>
        <w:rPr>
          <w:rFonts w:ascii="Arial"/>
          <w:b/>
          <w:color w:val="4F576A"/>
          <w:spacing w:val="3"/>
          <w:sz w:val="32"/>
        </w:rPr>
        <w:t> </w:t>
      </w:r>
      <w:r>
        <w:rPr>
          <w:rFonts w:ascii="Arial"/>
          <w:b/>
          <w:color w:val="4F576A"/>
          <w:sz w:val="32"/>
        </w:rPr>
        <w:t>violations</w:t>
      </w:r>
      <w:r>
        <w:rPr>
          <w:rFonts w:ascii="Arial"/>
          <w:b/>
          <w:color w:val="4F576A"/>
          <w:spacing w:val="-1"/>
          <w:sz w:val="32"/>
        </w:rPr>
        <w:t> </w:t>
      </w:r>
      <w:r>
        <w:rPr>
          <w:rFonts w:ascii="Arial"/>
          <w:b/>
          <w:color w:val="4F576A"/>
          <w:sz w:val="32"/>
        </w:rPr>
        <w:t>from</w:t>
      </w:r>
    </w:p>
    <w:p>
      <w:pPr>
        <w:pStyle w:val="Heading2"/>
        <w:spacing w:before="93"/>
        <w:ind w:left="732"/>
        <w:jc w:val="both"/>
      </w:pPr>
      <w:r>
        <w:rPr>
          <w:color w:val="4F576A"/>
        </w:rPr>
        <w:t>Rs</w:t>
      </w:r>
      <w:r>
        <w:rPr>
          <w:color w:val="4F576A"/>
          <w:spacing w:val="-3"/>
        </w:rPr>
        <w:t> </w:t>
      </w:r>
      <w:r>
        <w:rPr>
          <w:color w:val="4F576A"/>
        </w:rPr>
        <w:t>25 to 10 Lakh.</w:t>
      </w:r>
    </w:p>
    <w:p>
      <w:pPr>
        <w:pStyle w:val="ListParagraph"/>
        <w:numPr>
          <w:ilvl w:val="0"/>
          <w:numId w:val="4"/>
        </w:numPr>
        <w:tabs>
          <w:tab w:pos="767" w:val="left" w:leader="none"/>
        </w:tabs>
        <w:spacing w:line="249" w:lineRule="auto" w:before="59" w:after="0"/>
        <w:ind w:left="766" w:right="463" w:hanging="452"/>
        <w:jc w:val="both"/>
        <w:rPr>
          <w:color w:val="4F576A"/>
          <w:sz w:val="32"/>
        </w:rPr>
      </w:pPr>
      <w:r>
        <w:rPr>
          <w:color w:val="4F576A"/>
          <w:sz w:val="32"/>
        </w:rPr>
        <w:t>Violation of due process for approving related party transactions &amp;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failure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to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disclose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that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a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forensic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audit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is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being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initiated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which</w:t>
      </w:r>
      <w:r>
        <w:rPr>
          <w:color w:val="4F576A"/>
          <w:spacing w:val="-86"/>
          <w:sz w:val="32"/>
        </w:rPr>
        <w:t> </w:t>
      </w:r>
      <w:r>
        <w:rPr>
          <w:color w:val="4F576A"/>
          <w:sz w:val="32"/>
        </w:rPr>
        <w:t>constituted</w:t>
      </w:r>
      <w:r>
        <w:rPr>
          <w:color w:val="4F576A"/>
          <w:spacing w:val="-4"/>
          <w:sz w:val="32"/>
        </w:rPr>
        <w:t> </w:t>
      </w:r>
      <w:r>
        <w:rPr>
          <w:color w:val="4F576A"/>
          <w:sz w:val="32"/>
        </w:rPr>
        <w:t>a</w:t>
      </w:r>
      <w:r>
        <w:rPr>
          <w:color w:val="4F576A"/>
          <w:spacing w:val="2"/>
          <w:sz w:val="32"/>
        </w:rPr>
        <w:t> </w:t>
      </w:r>
      <w:r>
        <w:rPr>
          <w:color w:val="4F576A"/>
          <w:sz w:val="32"/>
        </w:rPr>
        <w:t>material</w:t>
      </w:r>
      <w:r>
        <w:rPr>
          <w:color w:val="4F576A"/>
          <w:spacing w:val="2"/>
          <w:sz w:val="32"/>
        </w:rPr>
        <w:t> </w:t>
      </w:r>
      <w:r>
        <w:rPr>
          <w:color w:val="4F576A"/>
          <w:sz w:val="32"/>
        </w:rPr>
        <w:t>event.</w:t>
      </w:r>
    </w:p>
    <w:p>
      <w:pPr>
        <w:pStyle w:val="ListParagraph"/>
        <w:numPr>
          <w:ilvl w:val="0"/>
          <w:numId w:val="4"/>
        </w:numPr>
        <w:tabs>
          <w:tab w:pos="767" w:val="left" w:leader="none"/>
        </w:tabs>
        <w:spacing w:line="249" w:lineRule="auto" w:before="4" w:after="0"/>
        <w:ind w:left="766" w:right="460" w:hanging="452"/>
        <w:jc w:val="both"/>
        <w:rPr>
          <w:color w:val="4F576A"/>
          <w:sz w:val="32"/>
        </w:rPr>
      </w:pPr>
      <w:r>
        <w:rPr>
          <w:color w:val="4F576A"/>
          <w:sz w:val="32"/>
        </w:rPr>
        <w:t>SEBI considering the above violations imposed a penalty of Rs. 25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lakh</w:t>
      </w:r>
      <w:r>
        <w:rPr>
          <w:color w:val="4F576A"/>
          <w:spacing w:val="-10"/>
          <w:sz w:val="32"/>
        </w:rPr>
        <w:t> </w:t>
      </w:r>
      <w:r>
        <w:rPr>
          <w:color w:val="4F576A"/>
          <w:sz w:val="32"/>
        </w:rPr>
        <w:t>on</w:t>
      </w:r>
      <w:r>
        <w:rPr>
          <w:color w:val="4F576A"/>
          <w:spacing w:val="-5"/>
          <w:sz w:val="32"/>
        </w:rPr>
        <w:t> </w:t>
      </w:r>
      <w:r>
        <w:rPr>
          <w:color w:val="4F576A"/>
          <w:sz w:val="32"/>
        </w:rPr>
        <w:t>the</w:t>
      </w:r>
      <w:r>
        <w:rPr>
          <w:color w:val="4F576A"/>
          <w:spacing w:val="-6"/>
          <w:sz w:val="32"/>
        </w:rPr>
        <w:t> </w:t>
      </w:r>
      <w:r>
        <w:rPr>
          <w:color w:val="4F576A"/>
          <w:sz w:val="32"/>
        </w:rPr>
        <w:t>Company</w:t>
      </w:r>
      <w:r>
        <w:rPr>
          <w:color w:val="4F576A"/>
          <w:spacing w:val="-5"/>
          <w:sz w:val="32"/>
        </w:rPr>
        <w:t> </w:t>
      </w:r>
      <w:r>
        <w:rPr>
          <w:color w:val="4F576A"/>
          <w:sz w:val="32"/>
        </w:rPr>
        <w:t>against</w:t>
      </w:r>
      <w:r>
        <w:rPr>
          <w:color w:val="4F576A"/>
          <w:spacing w:val="-7"/>
          <w:sz w:val="32"/>
        </w:rPr>
        <w:t> </w:t>
      </w:r>
      <w:r>
        <w:rPr>
          <w:color w:val="4F576A"/>
          <w:sz w:val="32"/>
        </w:rPr>
        <w:t>which</w:t>
      </w:r>
      <w:r>
        <w:rPr>
          <w:color w:val="4F576A"/>
          <w:spacing w:val="-6"/>
          <w:sz w:val="32"/>
        </w:rPr>
        <w:t> </w:t>
      </w:r>
      <w:r>
        <w:rPr>
          <w:color w:val="4F576A"/>
          <w:sz w:val="32"/>
        </w:rPr>
        <w:t>appeal</w:t>
      </w:r>
      <w:r>
        <w:rPr>
          <w:color w:val="4F576A"/>
          <w:spacing w:val="-9"/>
          <w:sz w:val="32"/>
        </w:rPr>
        <w:t> </w:t>
      </w:r>
      <w:r>
        <w:rPr>
          <w:color w:val="4F576A"/>
          <w:sz w:val="32"/>
        </w:rPr>
        <w:t>was</w:t>
      </w:r>
      <w:r>
        <w:rPr>
          <w:color w:val="4F576A"/>
          <w:spacing w:val="-4"/>
          <w:sz w:val="32"/>
        </w:rPr>
        <w:t> </w:t>
      </w:r>
      <w:r>
        <w:rPr>
          <w:color w:val="4F576A"/>
          <w:sz w:val="32"/>
        </w:rPr>
        <w:t>made</w:t>
      </w:r>
      <w:r>
        <w:rPr>
          <w:color w:val="4F576A"/>
          <w:spacing w:val="-4"/>
          <w:sz w:val="32"/>
        </w:rPr>
        <w:t> </w:t>
      </w:r>
      <w:r>
        <w:rPr>
          <w:color w:val="4F576A"/>
          <w:sz w:val="32"/>
        </w:rPr>
        <w:t>before</w:t>
      </w:r>
      <w:r>
        <w:rPr>
          <w:color w:val="4F576A"/>
          <w:spacing w:val="-3"/>
          <w:sz w:val="32"/>
        </w:rPr>
        <w:t> </w:t>
      </w:r>
      <w:r>
        <w:rPr>
          <w:color w:val="4F576A"/>
          <w:sz w:val="32"/>
        </w:rPr>
        <w:t>SAT.</w:t>
      </w:r>
    </w:p>
    <w:p>
      <w:pPr>
        <w:pStyle w:val="ListParagraph"/>
        <w:numPr>
          <w:ilvl w:val="0"/>
          <w:numId w:val="4"/>
        </w:numPr>
        <w:tabs>
          <w:tab w:pos="767" w:val="left" w:leader="none"/>
        </w:tabs>
        <w:spacing w:line="249" w:lineRule="auto" w:before="3" w:after="0"/>
        <w:ind w:left="766" w:right="463" w:hanging="452"/>
        <w:jc w:val="both"/>
        <w:rPr>
          <w:color w:val="4F576A"/>
          <w:sz w:val="32"/>
        </w:rPr>
      </w:pPr>
      <w:r>
        <w:rPr>
          <w:color w:val="4F576A"/>
          <w:sz w:val="32"/>
        </w:rPr>
        <w:t>The SAT held that the said violations were not that serious and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reduced the</w:t>
      </w:r>
      <w:r>
        <w:rPr>
          <w:color w:val="4F576A"/>
          <w:spacing w:val="2"/>
          <w:sz w:val="32"/>
        </w:rPr>
        <w:t> </w:t>
      </w:r>
      <w:r>
        <w:rPr>
          <w:color w:val="4F576A"/>
          <w:sz w:val="32"/>
        </w:rPr>
        <w:t>penalty</w:t>
      </w:r>
      <w:r>
        <w:rPr>
          <w:color w:val="4F576A"/>
          <w:spacing w:val="-2"/>
          <w:sz w:val="32"/>
        </w:rPr>
        <w:t> </w:t>
      </w:r>
      <w:r>
        <w:rPr>
          <w:color w:val="4F576A"/>
          <w:sz w:val="32"/>
        </w:rPr>
        <w:t>of</w:t>
      </w:r>
      <w:r>
        <w:rPr>
          <w:color w:val="4F576A"/>
          <w:spacing w:val="2"/>
          <w:sz w:val="32"/>
        </w:rPr>
        <w:t> </w:t>
      </w:r>
      <w:r>
        <w:rPr>
          <w:color w:val="4F576A"/>
          <w:sz w:val="32"/>
        </w:rPr>
        <w:t>Rs.</w:t>
      </w:r>
      <w:r>
        <w:rPr>
          <w:color w:val="4F576A"/>
          <w:spacing w:val="2"/>
          <w:sz w:val="32"/>
        </w:rPr>
        <w:t> </w:t>
      </w:r>
      <w:r>
        <w:rPr>
          <w:color w:val="4F576A"/>
          <w:sz w:val="32"/>
        </w:rPr>
        <w:t>25</w:t>
      </w:r>
      <w:r>
        <w:rPr>
          <w:color w:val="4F576A"/>
          <w:spacing w:val="-1"/>
          <w:sz w:val="32"/>
        </w:rPr>
        <w:t> </w:t>
      </w:r>
      <w:r>
        <w:rPr>
          <w:color w:val="4F576A"/>
          <w:sz w:val="32"/>
        </w:rPr>
        <w:t>lakhs</w:t>
      </w:r>
      <w:r>
        <w:rPr>
          <w:color w:val="4F576A"/>
          <w:spacing w:val="-1"/>
          <w:sz w:val="32"/>
        </w:rPr>
        <w:t> </w:t>
      </w:r>
      <w:r>
        <w:rPr>
          <w:color w:val="4F576A"/>
          <w:sz w:val="32"/>
        </w:rPr>
        <w:t>to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Rs.</w:t>
      </w:r>
      <w:r>
        <w:rPr>
          <w:color w:val="4F576A"/>
          <w:spacing w:val="2"/>
          <w:sz w:val="32"/>
        </w:rPr>
        <w:t> </w:t>
      </w:r>
      <w:r>
        <w:rPr>
          <w:color w:val="4F576A"/>
          <w:sz w:val="32"/>
        </w:rPr>
        <w:t>10 lakh</w:t>
      </w:r>
    </w:p>
    <w:p>
      <w:pPr>
        <w:pStyle w:val="ListParagraph"/>
        <w:numPr>
          <w:ilvl w:val="0"/>
          <w:numId w:val="4"/>
        </w:numPr>
        <w:tabs>
          <w:tab w:pos="767" w:val="left" w:leader="none"/>
        </w:tabs>
        <w:spacing w:line="240" w:lineRule="auto" w:before="36" w:after="0"/>
        <w:ind w:left="766" w:right="0" w:hanging="452"/>
        <w:jc w:val="both"/>
        <w:rPr>
          <w:color w:val="4F576A"/>
          <w:sz w:val="32"/>
        </w:rPr>
      </w:pPr>
      <w:r>
        <w:rPr/>
        <w:pict>
          <v:group style="position:absolute;margin-left:270pt;margin-top:75.300819pt;width:270pt;height:30.85pt;mso-position-horizontal-relative:page;mso-position-vertical-relative:paragraph;z-index:15738880" coordorigin="5400,1506" coordsize="5400,617">
            <v:rect style="position:absolute;left:5400;top:1506;width:5400;height:617" filled="true" fillcolor="#36394f" stroked="false">
              <v:fill type="solid"/>
            </v:rect>
            <v:shape style="position:absolute;left:5400;top:1506;width:5400;height:617" type="#_x0000_t202" filled="false" stroked="false">
              <v:textbox inset="0,0,0,0">
                <w:txbxContent>
                  <w:p>
                    <w:pPr>
                      <w:spacing w:before="15"/>
                      <w:ind w:left="1125" w:right="0" w:firstLine="0"/>
                      <w:jc w:val="left"/>
                      <w:rPr>
                        <w:rFonts w:ascii="Arial"/>
                        <w:b/>
                        <w:sz w:val="4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-2"/>
                        <w:sz w:val="40"/>
                      </w:rPr>
                      <w:t>OTHER</w:t>
                    </w:r>
                    <w:r>
                      <w:rPr>
                        <w:rFonts w:ascii="Arial"/>
                        <w:b/>
                        <w:color w:val="EBCF6A"/>
                        <w:spacing w:val="-25"/>
                        <w:sz w:val="4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-1"/>
                        <w:sz w:val="40"/>
                      </w:rPr>
                      <w:t>UPDATES</w:t>
                    </w:r>
                  </w:p>
                </w:txbxContent>
              </v:textbox>
              <w10:wrap type="none"/>
            </v:shape>
            <w10:wrap type="none"/>
          </v:group>
        </w:pict>
      </w:r>
      <w:hyperlink r:id="rId16">
        <w:r>
          <w:rPr>
            <w:color w:val="56C1B8"/>
            <w:sz w:val="32"/>
            <w:u w:val="thick" w:color="56C1B8"/>
          </w:rPr>
          <w:t>Click</w:t>
        </w:r>
        <w:r>
          <w:rPr>
            <w:color w:val="56C1B8"/>
            <w:spacing w:val="-6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here</w:t>
        </w:r>
        <w:r>
          <w:rPr>
            <w:color w:val="56C1B8"/>
            <w:spacing w:val="-1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for</w:t>
        </w:r>
        <w:r>
          <w:rPr>
            <w:color w:val="56C1B8"/>
            <w:spacing w:val="3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Order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14"/>
        </w:rPr>
      </w:pPr>
      <w:r>
        <w:rPr/>
        <w:drawing>
          <wp:anchor distT="0" distB="0" distL="0" distR="0" allowOverlap="1" layoutInCell="1" locked="0" behindDoc="0" simplePos="0" relativeHeight="16">
            <wp:simplePos x="0" y="0"/>
            <wp:positionH relativeFrom="page">
              <wp:posOffset>437387</wp:posOffset>
            </wp:positionH>
            <wp:positionV relativeFrom="paragraph">
              <wp:posOffset>127175</wp:posOffset>
            </wp:positionV>
            <wp:extent cx="2639872" cy="1690687"/>
            <wp:effectExtent l="0" t="0" r="0" b="0"/>
            <wp:wrapTopAndBottom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9872" cy="169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numPr>
          <w:ilvl w:val="0"/>
          <w:numId w:val="7"/>
        </w:numPr>
        <w:tabs>
          <w:tab w:pos="733" w:val="left" w:leader="none"/>
        </w:tabs>
        <w:spacing w:line="300" w:lineRule="auto" w:before="197" w:after="0"/>
        <w:ind w:left="732" w:right="466" w:hanging="418"/>
        <w:jc w:val="both"/>
      </w:pPr>
      <w:r>
        <w:rPr>
          <w:color w:val="4F576A"/>
        </w:rPr>
        <w:t>Notification</w:t>
      </w:r>
      <w:r>
        <w:rPr>
          <w:color w:val="4F576A"/>
          <w:spacing w:val="1"/>
        </w:rPr>
        <w:t> </w:t>
      </w:r>
      <w:r>
        <w:rPr>
          <w:color w:val="4F576A"/>
        </w:rPr>
        <w:t>on</w:t>
      </w:r>
      <w:r>
        <w:rPr>
          <w:color w:val="4F576A"/>
          <w:spacing w:val="1"/>
        </w:rPr>
        <w:t> </w:t>
      </w:r>
      <w:r>
        <w:rPr>
          <w:color w:val="4F576A"/>
        </w:rPr>
        <w:t>registration</w:t>
      </w:r>
      <w:r>
        <w:rPr>
          <w:color w:val="4F576A"/>
          <w:spacing w:val="1"/>
        </w:rPr>
        <w:t> </w:t>
      </w:r>
      <w:r>
        <w:rPr>
          <w:color w:val="4F576A"/>
        </w:rPr>
        <w:t>of</w:t>
      </w:r>
      <w:r>
        <w:rPr>
          <w:color w:val="4F576A"/>
          <w:spacing w:val="1"/>
        </w:rPr>
        <w:t> </w:t>
      </w:r>
      <w:r>
        <w:rPr>
          <w:color w:val="4F576A"/>
        </w:rPr>
        <w:t>Trust</w:t>
      </w:r>
      <w:r>
        <w:rPr>
          <w:color w:val="4F576A"/>
          <w:spacing w:val="1"/>
        </w:rPr>
        <w:t> </w:t>
      </w:r>
      <w:r>
        <w:rPr>
          <w:color w:val="4F576A"/>
        </w:rPr>
        <w:t>and</w:t>
      </w:r>
      <w:r>
        <w:rPr>
          <w:color w:val="4F576A"/>
          <w:spacing w:val="1"/>
        </w:rPr>
        <w:t> </w:t>
      </w:r>
      <w:r>
        <w:rPr>
          <w:color w:val="4F576A"/>
        </w:rPr>
        <w:t>Company</w:t>
      </w:r>
      <w:r>
        <w:rPr>
          <w:color w:val="4F576A"/>
          <w:spacing w:val="1"/>
        </w:rPr>
        <w:t> </w:t>
      </w:r>
      <w:r>
        <w:rPr>
          <w:color w:val="4F576A"/>
        </w:rPr>
        <w:t>Service</w:t>
      </w:r>
      <w:r>
        <w:rPr>
          <w:color w:val="4F576A"/>
          <w:spacing w:val="1"/>
        </w:rPr>
        <w:t> </w:t>
      </w:r>
      <w:r>
        <w:rPr>
          <w:color w:val="4F576A"/>
        </w:rPr>
        <w:t>Provider</w:t>
      </w:r>
      <w:r>
        <w:rPr>
          <w:color w:val="4F576A"/>
          <w:spacing w:val="9"/>
        </w:rPr>
        <w:t> </w:t>
      </w:r>
      <w:r>
        <w:rPr>
          <w:color w:val="4F576A"/>
        </w:rPr>
        <w:t>(TCSP)</w:t>
      </w:r>
      <w:r>
        <w:rPr>
          <w:color w:val="4F576A"/>
          <w:spacing w:val="1"/>
        </w:rPr>
        <w:t> </w:t>
      </w:r>
      <w:r>
        <w:rPr>
          <w:color w:val="4F576A"/>
        </w:rPr>
        <w:t>with</w:t>
      </w:r>
      <w:r>
        <w:rPr>
          <w:color w:val="4F576A"/>
          <w:spacing w:val="-1"/>
        </w:rPr>
        <w:t> </w:t>
      </w:r>
      <w:r>
        <w:rPr>
          <w:color w:val="4F576A"/>
        </w:rPr>
        <w:t>FIU_IND</w:t>
      </w:r>
    </w:p>
    <w:p>
      <w:pPr>
        <w:spacing w:after="0" w:line="300" w:lineRule="auto"/>
        <w:jc w:val="both"/>
        <w:sectPr>
          <w:pgSz w:w="10800" w:h="19200"/>
          <w:pgMar w:top="20" w:bottom="0" w:left="0" w:right="0"/>
        </w:sectPr>
      </w:pPr>
    </w:p>
    <w:p>
      <w:pPr>
        <w:tabs>
          <w:tab w:pos="5232" w:val="left" w:leader="none"/>
        </w:tabs>
        <w:spacing w:line="240" w:lineRule="auto"/>
        <w:ind w:left="532" w:right="0" w:firstLine="0"/>
        <w:rPr>
          <w:rFonts w:ascii="Arial"/>
          <w:sz w:val="20"/>
        </w:rPr>
      </w:pPr>
      <w:r>
        <w:rPr/>
        <w:pict>
          <v:shape style="position:absolute;margin-left:9.648pt;margin-top:939.940918pt;width:519.5pt;height:18.6pt;mso-position-horizontal-relative:page;mso-position-vertical-relative:page;z-index:-16020992" type="#_x0000_t202" filled="false" stroked="false">
            <v:textbox inset="0,0,0,0">
              <w:txbxContent>
                <w:p>
                  <w:pPr>
                    <w:tabs>
                      <w:tab w:pos="7332" w:val="left" w:leader="none"/>
                    </w:tabs>
                    <w:spacing w:line="371" w:lineRule="exact" w:before="0"/>
                    <w:ind w:left="0" w:right="0" w:firstLine="0"/>
                    <w:jc w:val="left"/>
                    <w:rPr>
                      <w:rFonts w:ascii="Arial"/>
                      <w:b/>
                      <w:sz w:val="30"/>
                    </w:rPr>
                  </w:pPr>
                  <w:r>
                    <w:rPr>
                      <w:rFonts w:ascii="Arial"/>
                      <w:b/>
                      <w:color w:val="EBCF6A"/>
                      <w:spacing w:val="11"/>
                      <w:position w:val="4"/>
                      <w:sz w:val="28"/>
                    </w:rPr>
                    <w:t>DECEMBER</w:t>
                  </w:r>
                  <w:r>
                    <w:rPr>
                      <w:rFonts w:ascii="Arial"/>
                      <w:b/>
                      <w:color w:val="EBCF6A"/>
                      <w:spacing w:val="30"/>
                      <w:position w:val="4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16"/>
                      <w:position w:val="4"/>
                      <w:sz w:val="30"/>
                    </w:rPr>
                    <w:t>2022</w:t>
                    <w:tab/>
                  </w:r>
                  <w:r>
                    <w:rPr>
                      <w:rFonts w:ascii="Arial"/>
                      <w:b/>
                      <w:color w:val="EBCF6A"/>
                      <w:spacing w:val="-17"/>
                      <w:sz w:val="30"/>
                    </w:rPr>
                    <w:t>KNOWLEDGE</w:t>
                  </w:r>
                  <w:r>
                    <w:rPr>
                      <w:rFonts w:ascii="Arial"/>
                      <w:b/>
                      <w:color w:val="EBCF6A"/>
                      <w:spacing w:val="-14"/>
                      <w:sz w:val="30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-16"/>
                      <w:sz w:val="30"/>
                    </w:rPr>
                    <w:t>UPDATE</w:t>
                  </w:r>
                </w:p>
              </w:txbxContent>
            </v:textbox>
            <w10:wrap type="none"/>
          </v:shape>
        </w:pict>
      </w:r>
      <w:r>
        <w:rPr/>
        <w:pict>
          <v:rect style="position:absolute;margin-left:0pt;margin-top:-.000061pt;width:540pt;height:960pt;mso-position-horizontal-relative:page;mso-position-vertical-relative:page;z-index:-16020480" filled="true" fillcolor="#fdfcf8" stroked="false">
            <v:fill type="solid"/>
            <w10:wrap type="none"/>
          </v:rect>
        </w:pict>
      </w:r>
      <w:r>
        <w:rPr/>
        <w:pict>
          <v:group style="position:absolute;margin-left:0pt;margin-top:939.479797pt;width:539.950pt;height:20.4pt;mso-position-horizontal-relative:page;mso-position-vertical-relative:page;z-index:15740928" coordorigin="0,18790" coordsize="10799,408">
            <v:rect style="position:absolute;left:0;top:18789;width:10799;height:408" filled="true" fillcolor="#36394f" stroked="false">
              <v:fill type="solid"/>
            </v:rect>
            <v:shape style="position:absolute;left:108;top:18814;width:2162;height:336" type="#_x0000_t202" filled="false" stroked="false">
              <v:textbox inset="0,0,0,0">
                <w:txbxContent>
                  <w:p>
                    <w:pPr>
                      <w:spacing w:line="335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15"/>
                        <w:sz w:val="28"/>
                      </w:rPr>
                      <w:t>AUGUST</w:t>
                    </w:r>
                    <w:r>
                      <w:rPr>
                        <w:rFonts w:ascii="Arial"/>
                        <w:b/>
                        <w:color w:val="EBCF6A"/>
                        <w:spacing w:val="54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16"/>
                        <w:sz w:val="30"/>
                      </w:rPr>
                      <w:t>2023</w:t>
                    </w:r>
                  </w:p>
                </w:txbxContent>
              </v:textbox>
              <w10:wrap type="none"/>
            </v:shape>
            <v:shape style="position:absolute;left:7544;top:18814;width:3125;height:336" type="#_x0000_t202" filled="false" stroked="false">
              <v:textbox inset="0,0,0,0">
                <w:txbxContent>
                  <w:p>
                    <w:pPr>
                      <w:spacing w:line="335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-13"/>
                        <w:sz w:val="30"/>
                      </w:rPr>
                      <w:t>KNOWLEDGE</w:t>
                    </w:r>
                    <w:r>
                      <w:rPr>
                        <w:rFonts w:ascii="Arial"/>
                        <w:b/>
                        <w:color w:val="EBCF6A"/>
                        <w:spacing w:val="-12"/>
                        <w:sz w:val="30"/>
                      </w:rPr>
                      <w:t> UPDATE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"/>
          <w:position w:val="6"/>
          <w:sz w:val="20"/>
        </w:rPr>
        <w:drawing>
          <wp:inline distT="0" distB="0" distL="0" distR="0">
            <wp:extent cx="2850550" cy="1825942"/>
            <wp:effectExtent l="0" t="0" r="0" b="0"/>
            <wp:docPr id="13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6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0550" cy="1825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6"/>
          <w:sz w:val="20"/>
        </w:rPr>
      </w:r>
      <w:r>
        <w:rPr>
          <w:rFonts w:ascii="Arial"/>
          <w:position w:val="6"/>
          <w:sz w:val="20"/>
        </w:rPr>
        <w:tab/>
      </w:r>
      <w:r>
        <w:rPr>
          <w:rFonts w:ascii="Arial"/>
          <w:sz w:val="20"/>
        </w:rPr>
        <w:pict>
          <v:group style="width:270pt;height:176.2pt;mso-position-horizontal-relative:char;mso-position-vertical-relative:line" coordorigin="0,0" coordsize="5400,3524">
            <v:rect style="position:absolute;left:3811;top:0;width:857;height:2910" filled="true" fillcolor="#ebcf6a" stroked="false">
              <v:fill type="solid"/>
            </v:rect>
            <v:shape style="position:absolute;left:3249;top:300;width:1786;height:1798" type="#_x0000_t75" stroked="false">
              <v:imagedata r:id="rId5" o:title=""/>
            </v:shape>
            <v:rect style="position:absolute;left:0;top:2909;width:5400;height:614" filled="true" fillcolor="#36394f" stroked="false">
              <v:fill type="solid"/>
            </v:rect>
            <v:shape style="position:absolute;left:0;top:0;width:5400;height:3524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Arial"/>
                        <w:b/>
                        <w:sz w:val="4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sz w:val="4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sz w:val="4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sz w:val="4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sz w:val="44"/>
                      </w:rPr>
                    </w:pPr>
                  </w:p>
                  <w:p>
                    <w:pPr>
                      <w:spacing w:before="393"/>
                      <w:ind w:left="1126" w:right="0" w:firstLine="0"/>
                      <w:jc w:val="left"/>
                      <w:rPr>
                        <w:rFonts w:ascii="Arial"/>
                        <w:b/>
                        <w:sz w:val="40"/>
                      </w:rPr>
                    </w:pPr>
                    <w:bookmarkStart w:name="Slide 5" w:id="5"/>
                    <w:bookmarkEnd w:id="5"/>
                    <w:r>
                      <w:rPr/>
                    </w:r>
                    <w:r>
                      <w:rPr>
                        <w:rFonts w:ascii="Arial"/>
                        <w:b/>
                        <w:color w:val="EBCF6A"/>
                        <w:spacing w:val="-4"/>
                        <w:sz w:val="40"/>
                      </w:rPr>
                      <w:t>OTHER</w:t>
                    </w:r>
                    <w:r>
                      <w:rPr>
                        <w:rFonts w:ascii="Arial"/>
                        <w:b/>
                        <w:color w:val="EBCF6A"/>
                        <w:spacing w:val="-21"/>
                        <w:sz w:val="4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-3"/>
                        <w:sz w:val="40"/>
                      </w:rPr>
                      <w:t>UPDATES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Arial"/>
          <w:sz w:val="20"/>
        </w:rPr>
      </w:r>
    </w:p>
    <w:p>
      <w:pPr>
        <w:pStyle w:val="BodyText"/>
        <w:spacing w:before="9"/>
        <w:rPr>
          <w:rFonts w:ascii="Arial"/>
          <w:b/>
          <w:sz w:val="23"/>
        </w:rPr>
      </w:pPr>
    </w:p>
    <w:p>
      <w:pPr>
        <w:pStyle w:val="ListParagraph"/>
        <w:numPr>
          <w:ilvl w:val="0"/>
          <w:numId w:val="8"/>
        </w:numPr>
        <w:tabs>
          <w:tab w:pos="634" w:val="left" w:leader="none"/>
        </w:tabs>
        <w:spacing w:line="249" w:lineRule="auto" w:before="89" w:after="0"/>
        <w:ind w:left="633" w:right="425" w:hanging="452"/>
        <w:jc w:val="both"/>
        <w:rPr>
          <w:color w:val="4F576A"/>
          <w:sz w:val="32"/>
        </w:rPr>
      </w:pPr>
      <w:r>
        <w:rPr>
          <w:color w:val="4F576A"/>
          <w:sz w:val="32"/>
        </w:rPr>
        <w:t>TCSP are covered under the definition of ‘Reporting Entity’ under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PMLA.</w:t>
      </w:r>
    </w:p>
    <w:p>
      <w:pPr>
        <w:pStyle w:val="ListParagraph"/>
        <w:numPr>
          <w:ilvl w:val="0"/>
          <w:numId w:val="8"/>
        </w:numPr>
        <w:tabs>
          <w:tab w:pos="634" w:val="left" w:leader="none"/>
        </w:tabs>
        <w:spacing w:line="249" w:lineRule="auto" w:before="2" w:after="0"/>
        <w:ind w:left="633" w:right="423" w:hanging="452"/>
        <w:jc w:val="both"/>
        <w:rPr>
          <w:color w:val="4F576A"/>
          <w:sz w:val="32"/>
        </w:rPr>
      </w:pPr>
      <w:r>
        <w:rPr>
          <w:color w:val="4F576A"/>
          <w:sz w:val="32"/>
        </w:rPr>
        <w:t>Registration on FINNET 2.0 Portal with FIU-INDIA for TCSP is pre-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requisite for a reporting entity to become complaint with the reporting</w:t>
      </w:r>
      <w:r>
        <w:rPr>
          <w:color w:val="4F576A"/>
          <w:spacing w:val="-86"/>
          <w:sz w:val="32"/>
        </w:rPr>
        <w:t> </w:t>
      </w:r>
      <w:r>
        <w:rPr>
          <w:color w:val="4F576A"/>
          <w:sz w:val="32"/>
        </w:rPr>
        <w:t>obligation</w:t>
      </w:r>
      <w:r>
        <w:rPr>
          <w:color w:val="4F576A"/>
          <w:spacing w:val="-7"/>
          <w:sz w:val="32"/>
        </w:rPr>
        <w:t> </w:t>
      </w:r>
      <w:r>
        <w:rPr>
          <w:color w:val="4F576A"/>
          <w:sz w:val="32"/>
        </w:rPr>
        <w:t>under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PMLA.</w:t>
      </w:r>
    </w:p>
    <w:p>
      <w:pPr>
        <w:pStyle w:val="ListParagraph"/>
        <w:numPr>
          <w:ilvl w:val="0"/>
          <w:numId w:val="8"/>
        </w:numPr>
        <w:tabs>
          <w:tab w:pos="634" w:val="left" w:leader="none"/>
        </w:tabs>
        <w:spacing w:line="240" w:lineRule="auto" w:before="4" w:after="0"/>
        <w:ind w:left="633" w:right="0" w:hanging="452"/>
        <w:jc w:val="both"/>
        <w:rPr>
          <w:color w:val="4F576A"/>
          <w:sz w:val="32"/>
        </w:rPr>
      </w:pPr>
      <w:r>
        <w:rPr>
          <w:color w:val="4F576A"/>
          <w:sz w:val="32"/>
        </w:rPr>
        <w:t>Certain</w:t>
      </w:r>
      <w:r>
        <w:rPr>
          <w:color w:val="4F576A"/>
          <w:spacing w:val="-2"/>
          <w:sz w:val="32"/>
        </w:rPr>
        <w:t> </w:t>
      </w:r>
      <w:r>
        <w:rPr>
          <w:color w:val="4F576A"/>
          <w:sz w:val="32"/>
        </w:rPr>
        <w:t>activities</w:t>
      </w:r>
      <w:r>
        <w:rPr>
          <w:color w:val="4F576A"/>
          <w:spacing w:val="-6"/>
          <w:sz w:val="32"/>
        </w:rPr>
        <w:t> </w:t>
      </w:r>
      <w:r>
        <w:rPr>
          <w:color w:val="4F576A"/>
          <w:sz w:val="32"/>
        </w:rPr>
        <w:t>exempted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from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reporting.</w:t>
      </w:r>
    </w:p>
    <w:p>
      <w:pPr>
        <w:pStyle w:val="ListParagraph"/>
        <w:numPr>
          <w:ilvl w:val="0"/>
          <w:numId w:val="8"/>
        </w:numPr>
        <w:tabs>
          <w:tab w:pos="634" w:val="left" w:leader="none"/>
        </w:tabs>
        <w:spacing w:line="240" w:lineRule="auto" w:before="50" w:after="0"/>
        <w:ind w:left="633" w:right="0" w:hanging="452"/>
        <w:jc w:val="both"/>
        <w:rPr>
          <w:color w:val="6A6A6A"/>
          <w:sz w:val="32"/>
        </w:rPr>
      </w:pPr>
      <w:hyperlink r:id="rId18">
        <w:r>
          <w:rPr>
            <w:color w:val="56C1B8"/>
            <w:sz w:val="32"/>
            <w:u w:val="thick" w:color="56C1B8"/>
          </w:rPr>
          <w:t>Click</w:t>
        </w:r>
        <w:r>
          <w:rPr>
            <w:color w:val="56C1B8"/>
            <w:spacing w:val="-6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here for</w:t>
        </w:r>
        <w:r>
          <w:rPr>
            <w:color w:val="56C1B8"/>
            <w:spacing w:val="3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Circular</w:t>
        </w:r>
      </w:hyperlink>
    </w:p>
    <w:p>
      <w:pPr>
        <w:pStyle w:val="BodyText"/>
        <w:spacing w:before="1"/>
        <w:rPr>
          <w:sz w:val="48"/>
        </w:rPr>
      </w:pPr>
    </w:p>
    <w:p>
      <w:pPr>
        <w:pStyle w:val="Heading2"/>
        <w:numPr>
          <w:ilvl w:val="0"/>
          <w:numId w:val="7"/>
        </w:numPr>
        <w:tabs>
          <w:tab w:pos="540" w:val="left" w:leader="none"/>
        </w:tabs>
        <w:spacing w:line="300" w:lineRule="auto" w:before="1" w:after="0"/>
        <w:ind w:left="542" w:right="526" w:hanging="360"/>
        <w:jc w:val="both"/>
      </w:pPr>
      <w:r>
        <w:rPr>
          <w:color w:val="4F576A"/>
        </w:rPr>
        <w:t>LLP</w:t>
      </w:r>
      <w:r>
        <w:rPr>
          <w:color w:val="4F576A"/>
          <w:spacing w:val="-20"/>
        </w:rPr>
        <w:t> </w:t>
      </w:r>
      <w:r>
        <w:rPr>
          <w:color w:val="4F576A"/>
        </w:rPr>
        <w:t>Amnesty</w:t>
      </w:r>
      <w:r>
        <w:rPr>
          <w:color w:val="4F576A"/>
          <w:spacing w:val="5"/>
        </w:rPr>
        <w:t> </w:t>
      </w:r>
      <w:r>
        <w:rPr>
          <w:color w:val="4F576A"/>
        </w:rPr>
        <w:t>Scheme</w:t>
      </w:r>
      <w:r>
        <w:rPr>
          <w:color w:val="4F576A"/>
          <w:spacing w:val="-3"/>
        </w:rPr>
        <w:t> </w:t>
      </w:r>
      <w:r>
        <w:rPr>
          <w:color w:val="4F576A"/>
        </w:rPr>
        <w:t>(Condonation</w:t>
      </w:r>
      <w:r>
        <w:rPr>
          <w:color w:val="4F576A"/>
          <w:spacing w:val="4"/>
        </w:rPr>
        <w:t> </w:t>
      </w:r>
      <w:r>
        <w:rPr>
          <w:color w:val="4F576A"/>
        </w:rPr>
        <w:t>of</w:t>
      </w:r>
      <w:r>
        <w:rPr>
          <w:color w:val="4F576A"/>
          <w:spacing w:val="-1"/>
        </w:rPr>
        <w:t> </w:t>
      </w:r>
      <w:r>
        <w:rPr>
          <w:color w:val="4F576A"/>
        </w:rPr>
        <w:t>delay</w:t>
      </w:r>
      <w:r>
        <w:rPr>
          <w:color w:val="4F576A"/>
          <w:spacing w:val="-3"/>
        </w:rPr>
        <w:t> </w:t>
      </w:r>
      <w:r>
        <w:rPr>
          <w:color w:val="4F576A"/>
        </w:rPr>
        <w:t>for</w:t>
      </w:r>
      <w:r>
        <w:rPr>
          <w:color w:val="4F576A"/>
          <w:spacing w:val="-1"/>
        </w:rPr>
        <w:t> </w:t>
      </w:r>
      <w:r>
        <w:rPr>
          <w:color w:val="4F576A"/>
        </w:rPr>
        <w:t>Form</w:t>
      </w:r>
      <w:r>
        <w:rPr>
          <w:color w:val="4F576A"/>
          <w:spacing w:val="-1"/>
        </w:rPr>
        <w:t> </w:t>
      </w:r>
      <w:r>
        <w:rPr>
          <w:color w:val="4F576A"/>
        </w:rPr>
        <w:t>3,</w:t>
      </w:r>
      <w:r>
        <w:rPr>
          <w:color w:val="4F576A"/>
          <w:spacing w:val="-3"/>
        </w:rPr>
        <w:t> </w:t>
      </w:r>
      <w:r>
        <w:rPr>
          <w:color w:val="4F576A"/>
        </w:rPr>
        <w:t>Form</w:t>
      </w:r>
      <w:r>
        <w:rPr>
          <w:color w:val="4F576A"/>
          <w:spacing w:val="-1"/>
        </w:rPr>
        <w:t> </w:t>
      </w:r>
      <w:r>
        <w:rPr>
          <w:color w:val="4F576A"/>
        </w:rPr>
        <w:t>4</w:t>
      </w:r>
      <w:r>
        <w:rPr>
          <w:color w:val="4F576A"/>
          <w:spacing w:val="-86"/>
        </w:rPr>
        <w:t> </w:t>
      </w:r>
      <w:r>
        <w:rPr>
          <w:color w:val="4F576A"/>
        </w:rPr>
        <w:t>and Form-11)</w:t>
      </w:r>
    </w:p>
    <w:p>
      <w:pPr>
        <w:pStyle w:val="ListParagraph"/>
        <w:numPr>
          <w:ilvl w:val="0"/>
          <w:numId w:val="8"/>
        </w:numPr>
        <w:tabs>
          <w:tab w:pos="634" w:val="left" w:leader="none"/>
        </w:tabs>
        <w:spacing w:line="337" w:lineRule="exact" w:before="0" w:after="0"/>
        <w:ind w:left="633" w:right="0" w:hanging="452"/>
        <w:jc w:val="both"/>
        <w:rPr>
          <w:color w:val="4F576A"/>
          <w:sz w:val="32"/>
        </w:rPr>
      </w:pPr>
      <w:r>
        <w:rPr>
          <w:color w:val="4F576A"/>
          <w:sz w:val="32"/>
        </w:rPr>
        <w:t>Effective</w:t>
      </w:r>
      <w:r>
        <w:rPr>
          <w:color w:val="4F576A"/>
          <w:spacing w:val="-5"/>
          <w:sz w:val="32"/>
        </w:rPr>
        <w:t> </w:t>
      </w:r>
      <w:r>
        <w:rPr>
          <w:color w:val="4F576A"/>
          <w:sz w:val="32"/>
        </w:rPr>
        <w:t>from</w:t>
      </w:r>
      <w:r>
        <w:rPr>
          <w:color w:val="4F576A"/>
          <w:spacing w:val="2"/>
          <w:sz w:val="32"/>
        </w:rPr>
        <w:t> </w:t>
      </w:r>
      <w:r>
        <w:rPr>
          <w:color w:val="4F576A"/>
          <w:sz w:val="32"/>
        </w:rPr>
        <w:t>1st</w:t>
      </w:r>
      <w:r>
        <w:rPr>
          <w:color w:val="4F576A"/>
          <w:spacing w:val="-2"/>
          <w:sz w:val="32"/>
        </w:rPr>
        <w:t> </w:t>
      </w:r>
      <w:r>
        <w:rPr>
          <w:color w:val="4F576A"/>
          <w:sz w:val="32"/>
        </w:rPr>
        <w:t>September</w:t>
      </w:r>
      <w:r>
        <w:rPr>
          <w:color w:val="4F576A"/>
          <w:spacing w:val="2"/>
          <w:sz w:val="32"/>
        </w:rPr>
        <w:t> </w:t>
      </w:r>
      <w:r>
        <w:rPr>
          <w:color w:val="4F576A"/>
          <w:sz w:val="32"/>
        </w:rPr>
        <w:t>2023</w:t>
      </w:r>
      <w:r>
        <w:rPr>
          <w:color w:val="4F576A"/>
          <w:spacing w:val="-2"/>
          <w:sz w:val="32"/>
        </w:rPr>
        <w:t> </w:t>
      </w:r>
      <w:r>
        <w:rPr>
          <w:color w:val="4F576A"/>
          <w:sz w:val="32"/>
        </w:rPr>
        <w:t>till</w:t>
      </w:r>
      <w:r>
        <w:rPr>
          <w:color w:val="4F576A"/>
          <w:spacing w:val="-3"/>
          <w:sz w:val="32"/>
        </w:rPr>
        <w:t> </w:t>
      </w:r>
      <w:r>
        <w:rPr>
          <w:color w:val="4F576A"/>
          <w:sz w:val="32"/>
        </w:rPr>
        <w:t>30th</w:t>
      </w:r>
      <w:r>
        <w:rPr>
          <w:color w:val="4F576A"/>
          <w:spacing w:val="-1"/>
          <w:sz w:val="32"/>
        </w:rPr>
        <w:t> </w:t>
      </w:r>
      <w:r>
        <w:rPr>
          <w:color w:val="4F576A"/>
          <w:sz w:val="32"/>
        </w:rPr>
        <w:t>November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2023.</w:t>
      </w:r>
    </w:p>
    <w:p>
      <w:pPr>
        <w:pStyle w:val="ListParagraph"/>
        <w:numPr>
          <w:ilvl w:val="0"/>
          <w:numId w:val="8"/>
        </w:numPr>
        <w:tabs>
          <w:tab w:pos="634" w:val="left" w:leader="none"/>
        </w:tabs>
        <w:spacing w:line="249" w:lineRule="auto" w:before="16" w:after="0"/>
        <w:ind w:left="633" w:right="426" w:hanging="452"/>
        <w:jc w:val="both"/>
        <w:rPr>
          <w:color w:val="4F576A"/>
          <w:sz w:val="32"/>
        </w:rPr>
      </w:pPr>
      <w:r>
        <w:rPr>
          <w:color w:val="4F576A"/>
          <w:sz w:val="32"/>
        </w:rPr>
        <w:t>Condonation of delay in filing of Form 3/ Form 4/Form 11 for event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date after</w:t>
      </w:r>
      <w:r>
        <w:rPr>
          <w:color w:val="4F576A"/>
          <w:spacing w:val="3"/>
          <w:sz w:val="32"/>
        </w:rPr>
        <w:t> </w:t>
      </w:r>
      <w:r>
        <w:rPr>
          <w:color w:val="4F576A"/>
          <w:sz w:val="32"/>
        </w:rPr>
        <w:t>1</w:t>
      </w:r>
      <w:r>
        <w:rPr>
          <w:color w:val="4F576A"/>
          <w:position w:val="10"/>
          <w:sz w:val="21"/>
        </w:rPr>
        <w:t>st</w:t>
      </w:r>
      <w:r>
        <w:rPr>
          <w:color w:val="4F576A"/>
          <w:spacing w:val="31"/>
          <w:position w:val="10"/>
          <w:sz w:val="21"/>
        </w:rPr>
        <w:t> </w:t>
      </w:r>
      <w:r>
        <w:rPr>
          <w:color w:val="4F576A"/>
          <w:sz w:val="32"/>
        </w:rPr>
        <w:t>January</w:t>
      </w:r>
      <w:r>
        <w:rPr>
          <w:color w:val="4F576A"/>
          <w:spacing w:val="4"/>
          <w:sz w:val="32"/>
        </w:rPr>
        <w:t> </w:t>
      </w:r>
      <w:r>
        <w:rPr>
          <w:color w:val="4F576A"/>
          <w:sz w:val="32"/>
        </w:rPr>
        <w:t>2021</w:t>
      </w:r>
    </w:p>
    <w:p>
      <w:pPr>
        <w:pStyle w:val="ListParagraph"/>
        <w:numPr>
          <w:ilvl w:val="0"/>
          <w:numId w:val="8"/>
        </w:numPr>
        <w:tabs>
          <w:tab w:pos="634" w:val="left" w:leader="none"/>
        </w:tabs>
        <w:spacing w:line="249" w:lineRule="auto" w:before="2" w:after="0"/>
        <w:ind w:left="633" w:right="423" w:hanging="452"/>
        <w:jc w:val="both"/>
        <w:rPr>
          <w:color w:val="4F576A"/>
          <w:sz w:val="32"/>
        </w:rPr>
      </w:pPr>
      <w:r>
        <w:rPr>
          <w:color w:val="4F576A"/>
          <w:sz w:val="32"/>
        </w:rPr>
        <w:t>For event date prior to 01.01.2021 the additional fee will be 2 times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or 4 times the normal fee based on type of LLP small or other than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Small.</w:t>
      </w:r>
    </w:p>
    <w:p>
      <w:pPr>
        <w:pStyle w:val="ListParagraph"/>
        <w:numPr>
          <w:ilvl w:val="0"/>
          <w:numId w:val="8"/>
        </w:numPr>
        <w:tabs>
          <w:tab w:pos="634" w:val="left" w:leader="none"/>
        </w:tabs>
        <w:spacing w:line="247" w:lineRule="auto" w:before="0" w:after="0"/>
        <w:ind w:left="633" w:right="424" w:hanging="452"/>
        <w:jc w:val="both"/>
        <w:rPr>
          <w:color w:val="4F576A"/>
          <w:sz w:val="32"/>
        </w:rPr>
      </w:pPr>
      <w:r>
        <w:rPr>
          <w:color w:val="4F576A"/>
          <w:sz w:val="32"/>
        </w:rPr>
        <w:t>S</w:t>
      </w:r>
      <w:r>
        <w:rPr>
          <w:rFonts w:ascii="Cambria Math" w:hAnsi="Cambria Math" w:eastAsia="Cambria Math"/>
          <w:color w:val="4F576A"/>
          <w:sz w:val="32"/>
        </w:rPr>
        <w:t>𝐦𝐚𝐥𝐥 𝐋𝐋𝐏𝐬 </w:t>
      </w:r>
      <w:r>
        <w:rPr>
          <w:color w:val="4F576A"/>
          <w:sz w:val="32"/>
        </w:rPr>
        <w:t>are those whose contribution does not exceed 25 lacs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and</w:t>
      </w:r>
      <w:r>
        <w:rPr>
          <w:color w:val="4F576A"/>
          <w:spacing w:val="-2"/>
          <w:sz w:val="32"/>
        </w:rPr>
        <w:t> </w:t>
      </w:r>
      <w:r>
        <w:rPr>
          <w:color w:val="4F576A"/>
          <w:sz w:val="32"/>
        </w:rPr>
        <w:t>turnover</w:t>
      </w:r>
      <w:r>
        <w:rPr>
          <w:color w:val="4F576A"/>
          <w:spacing w:val="4"/>
          <w:sz w:val="32"/>
        </w:rPr>
        <w:t> </w:t>
      </w:r>
      <w:r>
        <w:rPr>
          <w:color w:val="4F576A"/>
          <w:sz w:val="32"/>
        </w:rPr>
        <w:t>does</w:t>
      </w:r>
      <w:r>
        <w:rPr>
          <w:color w:val="4F576A"/>
          <w:spacing w:val="4"/>
          <w:sz w:val="32"/>
        </w:rPr>
        <w:t> </w:t>
      </w:r>
      <w:r>
        <w:rPr>
          <w:color w:val="4F576A"/>
          <w:sz w:val="32"/>
        </w:rPr>
        <w:t>not</w:t>
      </w:r>
      <w:r>
        <w:rPr>
          <w:color w:val="4F576A"/>
          <w:spacing w:val="-1"/>
          <w:sz w:val="32"/>
        </w:rPr>
        <w:t> </w:t>
      </w:r>
      <w:r>
        <w:rPr>
          <w:color w:val="4F576A"/>
          <w:sz w:val="32"/>
        </w:rPr>
        <w:t>exceed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40</w:t>
      </w:r>
      <w:r>
        <w:rPr>
          <w:color w:val="4F576A"/>
          <w:spacing w:val="2"/>
          <w:sz w:val="32"/>
        </w:rPr>
        <w:t> </w:t>
      </w:r>
      <w:r>
        <w:rPr>
          <w:color w:val="4F576A"/>
          <w:sz w:val="32"/>
        </w:rPr>
        <w:t>lacs.</w:t>
      </w:r>
    </w:p>
    <w:p>
      <w:pPr>
        <w:pStyle w:val="ListParagraph"/>
        <w:numPr>
          <w:ilvl w:val="0"/>
          <w:numId w:val="8"/>
        </w:numPr>
        <w:tabs>
          <w:tab w:pos="634" w:val="left" w:leader="none"/>
        </w:tabs>
        <w:spacing w:line="240" w:lineRule="auto" w:before="40" w:after="0"/>
        <w:ind w:left="633" w:right="0" w:hanging="452"/>
        <w:jc w:val="both"/>
        <w:rPr>
          <w:color w:val="67C6C0"/>
          <w:sz w:val="32"/>
        </w:rPr>
      </w:pPr>
      <w:hyperlink r:id="rId19">
        <w:r>
          <w:rPr>
            <w:color w:val="67C6C0"/>
            <w:sz w:val="32"/>
            <w:u w:val="thick" w:color="67C6C0"/>
          </w:rPr>
          <w:t>Click</w:t>
        </w:r>
        <w:r>
          <w:rPr>
            <w:color w:val="67C6C0"/>
            <w:spacing w:val="-6"/>
            <w:sz w:val="32"/>
            <w:u w:val="thick" w:color="67C6C0"/>
          </w:rPr>
          <w:t> </w:t>
        </w:r>
        <w:r>
          <w:rPr>
            <w:color w:val="67C6C0"/>
            <w:sz w:val="32"/>
            <w:u w:val="thick" w:color="67C6C0"/>
          </w:rPr>
          <w:t>here</w:t>
        </w:r>
        <w:r>
          <w:rPr>
            <w:color w:val="67C6C0"/>
            <w:spacing w:val="1"/>
            <w:sz w:val="32"/>
            <w:u w:val="thick" w:color="67C6C0"/>
          </w:rPr>
          <w:t> </w:t>
        </w:r>
        <w:r>
          <w:rPr>
            <w:color w:val="67C6C0"/>
            <w:sz w:val="32"/>
            <w:u w:val="thick" w:color="67C6C0"/>
          </w:rPr>
          <w:t>for</w:t>
        </w:r>
        <w:r>
          <w:rPr>
            <w:color w:val="67C6C0"/>
            <w:spacing w:val="2"/>
            <w:sz w:val="32"/>
            <w:u w:val="thick" w:color="67C6C0"/>
          </w:rPr>
          <w:t> </w:t>
        </w:r>
        <w:r>
          <w:rPr>
            <w:color w:val="67C6C0"/>
            <w:sz w:val="32"/>
            <w:u w:val="thick" w:color="67C6C0"/>
          </w:rPr>
          <w:t>Circular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8"/>
        </w:rPr>
      </w:pPr>
    </w:p>
    <w:p>
      <w:pPr>
        <w:pStyle w:val="Heading1"/>
        <w:tabs>
          <w:tab w:pos="6876" w:val="left" w:leader="none"/>
          <w:tab w:pos="10631" w:val="left" w:leader="none"/>
        </w:tabs>
        <w:ind w:left="5433"/>
      </w:pPr>
      <w:r>
        <w:rPr/>
        <w:drawing>
          <wp:anchor distT="0" distB="0" distL="0" distR="0" allowOverlap="1" layoutInCell="1" locked="0" behindDoc="0" simplePos="0" relativeHeight="15741440">
            <wp:simplePos x="0" y="0"/>
            <wp:positionH relativeFrom="page">
              <wp:posOffset>341375</wp:posOffset>
            </wp:positionH>
            <wp:positionV relativeFrom="paragraph">
              <wp:posOffset>-218570</wp:posOffset>
            </wp:positionV>
            <wp:extent cx="2575560" cy="1752600"/>
            <wp:effectExtent l="0" t="0" r="0" b="0"/>
            <wp:wrapNone/>
            <wp:docPr id="15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7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BCF6A"/>
          <w:w w:val="100"/>
          <w:shd w:fill="394558" w:color="auto" w:val="clear"/>
        </w:rPr>
        <w:t> </w:t>
      </w:r>
      <w:r>
        <w:rPr>
          <w:color w:val="EBCF6A"/>
          <w:shd w:fill="394558" w:color="auto" w:val="clear"/>
        </w:rPr>
        <w:tab/>
      </w:r>
      <w:r>
        <w:rPr>
          <w:color w:val="EBCF6A"/>
          <w:shd w:fill="394558" w:color="auto" w:val="clear"/>
        </w:rPr>
        <w:t>DUE</w:t>
      </w:r>
      <w:r>
        <w:rPr>
          <w:color w:val="EBCF6A"/>
          <w:spacing w:val="22"/>
          <w:shd w:fill="394558" w:color="auto" w:val="clear"/>
        </w:rPr>
        <w:t> </w:t>
      </w:r>
      <w:r>
        <w:rPr>
          <w:color w:val="EBCF6A"/>
          <w:shd w:fill="394558" w:color="auto" w:val="clear"/>
        </w:rPr>
        <w:t>DATES</w:t>
        <w:tab/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1"/>
        <w:rPr>
          <w:rFonts w:ascii="Arial"/>
          <w:b/>
          <w:sz w:val="17"/>
        </w:rPr>
      </w:pPr>
    </w:p>
    <w:tbl>
      <w:tblPr>
        <w:tblW w:w="0" w:type="auto"/>
        <w:jc w:val="left"/>
        <w:tblInd w:w="5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43"/>
        <w:gridCol w:w="1399"/>
        <w:gridCol w:w="1399"/>
        <w:gridCol w:w="1399"/>
        <w:gridCol w:w="1399"/>
        <w:gridCol w:w="1399"/>
        <w:gridCol w:w="1399"/>
      </w:tblGrid>
      <w:tr>
        <w:trPr>
          <w:trHeight w:val="675" w:hRule="atLeast"/>
        </w:trPr>
        <w:tc>
          <w:tcPr>
            <w:tcW w:w="1343" w:type="dxa"/>
            <w:shd w:val="clear" w:color="auto" w:fill="4F81BB"/>
          </w:tcPr>
          <w:p>
            <w:pPr>
              <w:pStyle w:val="TableParagraph"/>
              <w:spacing w:before="175"/>
              <w:ind w:left="426" w:right="264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SUN</w:t>
            </w:r>
          </w:p>
        </w:tc>
        <w:tc>
          <w:tcPr>
            <w:tcW w:w="1399" w:type="dxa"/>
            <w:shd w:val="clear" w:color="auto" w:fill="4F81BB"/>
          </w:tcPr>
          <w:p>
            <w:pPr>
              <w:pStyle w:val="TableParagraph"/>
              <w:spacing w:before="175"/>
              <w:ind w:left="424" w:right="259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MON</w:t>
            </w:r>
          </w:p>
        </w:tc>
        <w:tc>
          <w:tcPr>
            <w:tcW w:w="1399" w:type="dxa"/>
            <w:shd w:val="clear" w:color="auto" w:fill="4F81BB"/>
          </w:tcPr>
          <w:p>
            <w:pPr>
              <w:pStyle w:val="TableParagraph"/>
              <w:spacing w:before="175"/>
              <w:ind w:left="423" w:right="259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TUE</w:t>
            </w:r>
          </w:p>
        </w:tc>
        <w:tc>
          <w:tcPr>
            <w:tcW w:w="1399" w:type="dxa"/>
            <w:shd w:val="clear" w:color="auto" w:fill="4F81BB"/>
          </w:tcPr>
          <w:p>
            <w:pPr>
              <w:pStyle w:val="TableParagraph"/>
              <w:spacing w:before="175"/>
              <w:ind w:left="425" w:right="259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WED</w:t>
            </w:r>
          </w:p>
        </w:tc>
        <w:tc>
          <w:tcPr>
            <w:tcW w:w="1399" w:type="dxa"/>
            <w:shd w:val="clear" w:color="auto" w:fill="4F81BB"/>
          </w:tcPr>
          <w:p>
            <w:pPr>
              <w:pStyle w:val="TableParagraph"/>
              <w:spacing w:before="175"/>
              <w:ind w:left="424" w:right="259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THU</w:t>
            </w:r>
          </w:p>
        </w:tc>
        <w:tc>
          <w:tcPr>
            <w:tcW w:w="1399" w:type="dxa"/>
            <w:shd w:val="clear" w:color="auto" w:fill="4F81BB"/>
          </w:tcPr>
          <w:p>
            <w:pPr>
              <w:pStyle w:val="TableParagraph"/>
              <w:spacing w:before="175"/>
              <w:ind w:right="383"/>
              <w:jc w:val="righ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FRI</w:t>
            </w:r>
          </w:p>
        </w:tc>
        <w:tc>
          <w:tcPr>
            <w:tcW w:w="1399" w:type="dxa"/>
            <w:shd w:val="clear" w:color="auto" w:fill="4F81BB"/>
          </w:tcPr>
          <w:p>
            <w:pPr>
              <w:pStyle w:val="TableParagraph"/>
              <w:spacing w:before="175"/>
              <w:ind w:left="425" w:right="252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SAT</w:t>
            </w:r>
          </w:p>
        </w:tc>
      </w:tr>
      <w:tr>
        <w:trPr>
          <w:trHeight w:val="540" w:hRule="atLeast"/>
        </w:trPr>
        <w:tc>
          <w:tcPr>
            <w:tcW w:w="1343" w:type="dxa"/>
            <w:shd w:val="clear" w:color="auto" w:fill="FDFCF8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30"/>
              </w:rPr>
            </w:pPr>
          </w:p>
        </w:tc>
        <w:tc>
          <w:tcPr>
            <w:tcW w:w="1399" w:type="dxa"/>
            <w:shd w:val="clear" w:color="auto" w:fill="FDFCF8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30"/>
              </w:rPr>
            </w:pPr>
          </w:p>
        </w:tc>
        <w:tc>
          <w:tcPr>
            <w:tcW w:w="1399" w:type="dxa"/>
            <w:shd w:val="clear" w:color="auto" w:fill="FDFCF8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30"/>
              </w:rPr>
            </w:pPr>
          </w:p>
        </w:tc>
        <w:tc>
          <w:tcPr>
            <w:tcW w:w="1399" w:type="dxa"/>
            <w:shd w:val="clear" w:color="auto" w:fill="FDFCF8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30"/>
              </w:rPr>
            </w:pPr>
          </w:p>
        </w:tc>
        <w:tc>
          <w:tcPr>
            <w:tcW w:w="1399" w:type="dxa"/>
            <w:shd w:val="clear" w:color="auto" w:fill="FDFCF8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30"/>
              </w:rPr>
            </w:pPr>
          </w:p>
        </w:tc>
        <w:tc>
          <w:tcPr>
            <w:tcW w:w="1399" w:type="dxa"/>
            <w:shd w:val="clear" w:color="auto" w:fill="FDFCF8"/>
          </w:tcPr>
          <w:p>
            <w:pPr>
              <w:pStyle w:val="TableParagraph"/>
              <w:spacing w:before="108"/>
              <w:ind w:left="21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100"/>
                <w:sz w:val="28"/>
              </w:rPr>
              <w:t>1</w:t>
            </w:r>
          </w:p>
        </w:tc>
        <w:tc>
          <w:tcPr>
            <w:tcW w:w="1399" w:type="dxa"/>
            <w:shd w:val="clear" w:color="auto" w:fill="FDFCF8"/>
          </w:tcPr>
          <w:p>
            <w:pPr>
              <w:pStyle w:val="TableParagraph"/>
              <w:ind w:left="170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100"/>
                <w:sz w:val="28"/>
              </w:rPr>
              <w:t>2</w:t>
            </w:r>
          </w:p>
        </w:tc>
      </w:tr>
      <w:tr>
        <w:trPr>
          <w:trHeight w:val="541" w:hRule="atLeast"/>
        </w:trPr>
        <w:tc>
          <w:tcPr>
            <w:tcW w:w="1343" w:type="dxa"/>
            <w:shd w:val="clear" w:color="auto" w:fill="FDFCF8"/>
          </w:tcPr>
          <w:p>
            <w:pPr>
              <w:pStyle w:val="TableParagraph"/>
              <w:ind w:left="163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100"/>
                <w:sz w:val="28"/>
              </w:rPr>
              <w:t>3</w:t>
            </w:r>
          </w:p>
        </w:tc>
        <w:tc>
          <w:tcPr>
            <w:tcW w:w="1399" w:type="dxa"/>
            <w:shd w:val="clear" w:color="auto" w:fill="FDFCF8"/>
          </w:tcPr>
          <w:p>
            <w:pPr>
              <w:pStyle w:val="TableParagraph"/>
              <w:ind w:left="162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100"/>
                <w:sz w:val="28"/>
              </w:rPr>
              <w:t>4</w:t>
            </w:r>
          </w:p>
        </w:tc>
        <w:tc>
          <w:tcPr>
            <w:tcW w:w="1399" w:type="dxa"/>
            <w:shd w:val="clear" w:color="auto" w:fill="FDFCF8"/>
          </w:tcPr>
          <w:p>
            <w:pPr>
              <w:pStyle w:val="TableParagraph"/>
              <w:ind w:left="162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100"/>
                <w:sz w:val="28"/>
              </w:rPr>
              <w:t>5</w:t>
            </w:r>
          </w:p>
        </w:tc>
        <w:tc>
          <w:tcPr>
            <w:tcW w:w="1399" w:type="dxa"/>
            <w:shd w:val="clear" w:color="auto" w:fill="FDFCF8"/>
          </w:tcPr>
          <w:p>
            <w:pPr>
              <w:pStyle w:val="TableParagraph"/>
              <w:ind w:left="168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100"/>
                <w:sz w:val="28"/>
              </w:rPr>
              <w:t>6</w:t>
            </w:r>
          </w:p>
        </w:tc>
        <w:tc>
          <w:tcPr>
            <w:tcW w:w="1399" w:type="dxa"/>
            <w:shd w:val="clear" w:color="auto" w:fill="FFFFFF"/>
          </w:tcPr>
          <w:p>
            <w:pPr>
              <w:pStyle w:val="TableParagraph"/>
              <w:ind w:left="168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100"/>
                <w:sz w:val="28"/>
              </w:rPr>
              <w:t>7</w:t>
            </w:r>
          </w:p>
        </w:tc>
        <w:tc>
          <w:tcPr>
            <w:tcW w:w="1399" w:type="dxa"/>
            <w:shd w:val="clear" w:color="auto" w:fill="FDFCF8"/>
          </w:tcPr>
          <w:p>
            <w:pPr>
              <w:pStyle w:val="TableParagraph"/>
              <w:ind w:left="169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100"/>
                <w:sz w:val="28"/>
              </w:rPr>
              <w:t>8</w:t>
            </w:r>
          </w:p>
        </w:tc>
        <w:tc>
          <w:tcPr>
            <w:tcW w:w="1399" w:type="dxa"/>
            <w:shd w:val="clear" w:color="auto" w:fill="FFFFFF"/>
          </w:tcPr>
          <w:p>
            <w:pPr>
              <w:pStyle w:val="TableParagraph"/>
              <w:ind w:left="170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100"/>
                <w:sz w:val="28"/>
              </w:rPr>
              <w:t>9</w:t>
            </w:r>
          </w:p>
        </w:tc>
      </w:tr>
      <w:tr>
        <w:trPr>
          <w:trHeight w:val="540" w:hRule="atLeast"/>
        </w:trPr>
        <w:tc>
          <w:tcPr>
            <w:tcW w:w="1343" w:type="dxa"/>
            <w:shd w:val="clear" w:color="auto" w:fill="FDFCF8"/>
          </w:tcPr>
          <w:p>
            <w:pPr>
              <w:pStyle w:val="TableParagraph"/>
              <w:ind w:left="425" w:right="264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10</w:t>
            </w:r>
          </w:p>
        </w:tc>
        <w:tc>
          <w:tcPr>
            <w:tcW w:w="1399" w:type="dxa"/>
            <w:shd w:val="clear" w:color="auto" w:fill="FFFFFF"/>
          </w:tcPr>
          <w:p>
            <w:pPr>
              <w:pStyle w:val="TableParagraph"/>
              <w:ind w:left="423" w:right="259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11</w:t>
            </w:r>
          </w:p>
        </w:tc>
        <w:tc>
          <w:tcPr>
            <w:tcW w:w="1399" w:type="dxa"/>
            <w:shd w:val="clear" w:color="auto" w:fill="FDFCF8"/>
          </w:tcPr>
          <w:p>
            <w:pPr>
              <w:pStyle w:val="TableParagraph"/>
              <w:ind w:left="424" w:right="259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12</w:t>
            </w:r>
          </w:p>
        </w:tc>
        <w:tc>
          <w:tcPr>
            <w:tcW w:w="1399" w:type="dxa"/>
            <w:shd w:val="clear" w:color="auto" w:fill="FDFCF8"/>
          </w:tcPr>
          <w:p>
            <w:pPr>
              <w:pStyle w:val="TableParagraph"/>
              <w:ind w:left="424" w:right="259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13</w:t>
            </w:r>
          </w:p>
        </w:tc>
        <w:tc>
          <w:tcPr>
            <w:tcW w:w="1399" w:type="dxa"/>
            <w:shd w:val="clear" w:color="auto" w:fill="FFFFFF"/>
          </w:tcPr>
          <w:p>
            <w:pPr>
              <w:pStyle w:val="TableParagraph"/>
              <w:ind w:left="425" w:right="259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14</w:t>
            </w:r>
          </w:p>
        </w:tc>
        <w:tc>
          <w:tcPr>
            <w:tcW w:w="1399" w:type="dxa"/>
            <w:shd w:val="clear" w:color="auto" w:fill="D99593"/>
          </w:tcPr>
          <w:p>
            <w:pPr>
              <w:pStyle w:val="TableParagraph"/>
              <w:ind w:right="447"/>
              <w:jc w:val="righ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15</w:t>
            </w:r>
          </w:p>
        </w:tc>
        <w:tc>
          <w:tcPr>
            <w:tcW w:w="1399" w:type="dxa"/>
            <w:shd w:val="clear" w:color="auto" w:fill="FFFFFF"/>
          </w:tcPr>
          <w:p>
            <w:pPr>
              <w:pStyle w:val="TableParagraph"/>
              <w:ind w:left="425" w:right="253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16</w:t>
            </w:r>
          </w:p>
        </w:tc>
      </w:tr>
      <w:tr>
        <w:trPr>
          <w:trHeight w:val="579" w:hRule="atLeast"/>
        </w:trPr>
        <w:tc>
          <w:tcPr>
            <w:tcW w:w="1343" w:type="dxa"/>
            <w:shd w:val="clear" w:color="auto" w:fill="FDFCF8"/>
          </w:tcPr>
          <w:p>
            <w:pPr>
              <w:pStyle w:val="TableParagraph"/>
              <w:ind w:left="425" w:right="264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17</w:t>
            </w:r>
          </w:p>
        </w:tc>
        <w:tc>
          <w:tcPr>
            <w:tcW w:w="1399" w:type="dxa"/>
            <w:shd w:val="clear" w:color="auto" w:fill="FDFCF8"/>
          </w:tcPr>
          <w:p>
            <w:pPr>
              <w:pStyle w:val="TableParagraph"/>
              <w:ind w:left="423" w:right="259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18</w:t>
            </w:r>
          </w:p>
        </w:tc>
        <w:tc>
          <w:tcPr>
            <w:tcW w:w="1399" w:type="dxa"/>
            <w:shd w:val="clear" w:color="auto" w:fill="FFFFFF"/>
          </w:tcPr>
          <w:p>
            <w:pPr>
              <w:pStyle w:val="TableParagraph"/>
              <w:ind w:left="424" w:right="259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19</w:t>
            </w:r>
          </w:p>
        </w:tc>
        <w:tc>
          <w:tcPr>
            <w:tcW w:w="1399" w:type="dxa"/>
            <w:shd w:val="clear" w:color="auto" w:fill="FDFCF8"/>
          </w:tcPr>
          <w:p>
            <w:pPr>
              <w:pStyle w:val="TableParagraph"/>
              <w:ind w:left="424" w:right="259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20</w:t>
            </w:r>
          </w:p>
        </w:tc>
        <w:tc>
          <w:tcPr>
            <w:tcW w:w="1399" w:type="dxa"/>
            <w:shd w:val="clear" w:color="auto" w:fill="FDFCF8"/>
          </w:tcPr>
          <w:p>
            <w:pPr>
              <w:pStyle w:val="TableParagraph"/>
              <w:ind w:left="425" w:right="259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21</w:t>
            </w:r>
          </w:p>
        </w:tc>
        <w:tc>
          <w:tcPr>
            <w:tcW w:w="1399" w:type="dxa"/>
            <w:shd w:val="clear" w:color="auto" w:fill="FDFCF8"/>
          </w:tcPr>
          <w:p>
            <w:pPr>
              <w:pStyle w:val="TableParagraph"/>
              <w:ind w:right="447"/>
              <w:jc w:val="righ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22</w:t>
            </w:r>
          </w:p>
        </w:tc>
        <w:tc>
          <w:tcPr>
            <w:tcW w:w="1399" w:type="dxa"/>
            <w:shd w:val="clear" w:color="auto" w:fill="FFFFFF"/>
          </w:tcPr>
          <w:p>
            <w:pPr>
              <w:pStyle w:val="TableParagraph"/>
              <w:ind w:left="425" w:right="253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23</w:t>
            </w:r>
          </w:p>
        </w:tc>
      </w:tr>
      <w:tr>
        <w:trPr>
          <w:trHeight w:val="622" w:hRule="atLeast"/>
        </w:trPr>
        <w:tc>
          <w:tcPr>
            <w:tcW w:w="1343" w:type="dxa"/>
            <w:shd w:val="clear" w:color="auto" w:fill="FFFFFF"/>
          </w:tcPr>
          <w:p>
            <w:pPr>
              <w:pStyle w:val="TableParagraph"/>
              <w:spacing w:before="177"/>
              <w:ind w:left="425" w:right="264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24</w:t>
            </w:r>
          </w:p>
        </w:tc>
        <w:tc>
          <w:tcPr>
            <w:tcW w:w="1399" w:type="dxa"/>
            <w:shd w:val="clear" w:color="auto" w:fill="FFFFFF"/>
          </w:tcPr>
          <w:p>
            <w:pPr>
              <w:pStyle w:val="TableParagraph"/>
              <w:spacing w:before="177"/>
              <w:ind w:left="423" w:right="259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25</w:t>
            </w:r>
          </w:p>
        </w:tc>
        <w:tc>
          <w:tcPr>
            <w:tcW w:w="1399" w:type="dxa"/>
            <w:shd w:val="clear" w:color="auto" w:fill="FDFCF8"/>
          </w:tcPr>
          <w:p>
            <w:pPr>
              <w:pStyle w:val="TableParagraph"/>
              <w:spacing w:before="177"/>
              <w:ind w:left="424" w:right="259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26</w:t>
            </w:r>
          </w:p>
        </w:tc>
        <w:tc>
          <w:tcPr>
            <w:tcW w:w="1399" w:type="dxa"/>
            <w:shd w:val="clear" w:color="auto" w:fill="C3D59B"/>
          </w:tcPr>
          <w:p>
            <w:pPr>
              <w:pStyle w:val="TableParagraph"/>
              <w:spacing w:before="177"/>
              <w:ind w:left="424" w:right="259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27</w:t>
            </w:r>
          </w:p>
        </w:tc>
        <w:tc>
          <w:tcPr>
            <w:tcW w:w="1399" w:type="dxa"/>
            <w:shd w:val="clear" w:color="auto" w:fill="FDFCF8"/>
          </w:tcPr>
          <w:p>
            <w:pPr>
              <w:pStyle w:val="TableParagraph"/>
              <w:spacing w:before="177"/>
              <w:ind w:left="425" w:right="259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28</w:t>
            </w:r>
          </w:p>
        </w:tc>
        <w:tc>
          <w:tcPr>
            <w:tcW w:w="1399" w:type="dxa"/>
            <w:shd w:val="clear" w:color="auto" w:fill="FDFCF8"/>
          </w:tcPr>
          <w:p>
            <w:pPr>
              <w:pStyle w:val="TableParagraph"/>
              <w:spacing w:before="177"/>
              <w:ind w:right="447"/>
              <w:jc w:val="righ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29</w:t>
            </w:r>
          </w:p>
        </w:tc>
        <w:tc>
          <w:tcPr>
            <w:tcW w:w="1399" w:type="dxa"/>
            <w:shd w:val="clear" w:color="auto" w:fill="F9C090"/>
          </w:tcPr>
          <w:p>
            <w:pPr>
              <w:pStyle w:val="TableParagraph"/>
              <w:spacing w:before="177"/>
              <w:ind w:left="425" w:right="253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30</w:t>
            </w:r>
          </w:p>
        </w:tc>
      </w:tr>
    </w:tbl>
    <w:p>
      <w:pPr>
        <w:spacing w:after="0"/>
        <w:rPr>
          <w:rFonts w:ascii="Arial"/>
          <w:sz w:val="28"/>
        </w:rPr>
        <w:sectPr>
          <w:pgSz w:w="10800" w:h="19200"/>
          <w:pgMar w:top="20" w:bottom="0" w:left="0" w:right="0"/>
        </w:sectPr>
      </w:pPr>
    </w:p>
    <w:p>
      <w:pPr>
        <w:pStyle w:val="BodyText"/>
        <w:rPr>
          <w:rFonts w:ascii="Arial"/>
          <w:b/>
          <w:sz w:val="20"/>
        </w:rPr>
      </w:pPr>
      <w:r>
        <w:rPr/>
        <w:pict>
          <v:rect style="position:absolute;margin-left:0pt;margin-top:-.000061pt;width:540pt;height:960pt;mso-position-horizontal-relative:page;mso-position-vertical-relative:page;z-index:-16017920" filled="true" fillcolor="#fdfcf8" stroked="false">
            <v:fill type="solid"/>
            <w10:wrap type="none"/>
          </v:rect>
        </w:pic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tabs>
          <w:tab w:pos="6841" w:val="left" w:leader="none"/>
          <w:tab w:pos="10598" w:val="left" w:leader="none"/>
        </w:tabs>
        <w:spacing w:before="218"/>
        <w:ind w:left="5400" w:right="0" w:firstLine="0"/>
        <w:jc w:val="left"/>
        <w:rPr>
          <w:rFonts w:ascii="Arial"/>
          <w:b/>
          <w:sz w:val="40"/>
        </w:rPr>
      </w:pPr>
      <w:r>
        <w:rPr/>
        <w:pict>
          <v:group style="position:absolute;margin-left:424.079987pt;margin-top:-126.510216pt;width:89.3pt;height:159.75pt;mso-position-horizontal-relative:page;mso-position-vertical-relative:paragraph;z-index:-16017408" coordorigin="8482,-2530" coordsize="1786,3195">
            <v:shape style="position:absolute;left:9192;top:-2531;width:855;height:3195" type="#_x0000_t75" stroked="false">
              <v:imagedata r:id="rId21" o:title=""/>
            </v:shape>
            <v:shape style="position:absolute;left:8481;top:-2207;width:1786;height:1798" type="#_x0000_t75" stroked="false">
              <v:imagedata r:id="rId5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44000">
            <wp:simplePos x="0" y="0"/>
            <wp:positionH relativeFrom="page">
              <wp:posOffset>379475</wp:posOffset>
            </wp:positionH>
            <wp:positionV relativeFrom="paragraph">
              <wp:posOffset>-1405511</wp:posOffset>
            </wp:positionV>
            <wp:extent cx="2699004" cy="1795272"/>
            <wp:effectExtent l="0" t="0" r="0" b="0"/>
            <wp:wrapNone/>
            <wp:docPr id="17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7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9004" cy="1795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lide 6" w:id="6"/>
      <w:bookmarkEnd w:id="6"/>
      <w:r>
        <w:rPr/>
      </w:r>
      <w:r>
        <w:rPr>
          <w:rFonts w:ascii="Arial"/>
          <w:b/>
          <w:color w:val="EBCF6A"/>
          <w:w w:val="100"/>
          <w:sz w:val="40"/>
          <w:shd w:fill="394558" w:color="auto" w:val="clear"/>
        </w:rPr>
        <w:t> </w:t>
      </w:r>
      <w:r>
        <w:rPr>
          <w:rFonts w:ascii="Arial"/>
          <w:b/>
          <w:color w:val="EBCF6A"/>
          <w:sz w:val="40"/>
          <w:shd w:fill="394558" w:color="auto" w:val="clear"/>
        </w:rPr>
        <w:tab/>
      </w:r>
      <w:r>
        <w:rPr>
          <w:rFonts w:ascii="Arial"/>
          <w:b/>
          <w:color w:val="EBCF6A"/>
          <w:sz w:val="40"/>
          <w:shd w:fill="394558" w:color="auto" w:val="clear"/>
        </w:rPr>
        <w:t>DUE</w:t>
      </w:r>
      <w:r>
        <w:rPr>
          <w:rFonts w:ascii="Arial"/>
          <w:b/>
          <w:color w:val="EBCF6A"/>
          <w:spacing w:val="19"/>
          <w:sz w:val="40"/>
          <w:shd w:fill="394558" w:color="auto" w:val="clear"/>
        </w:rPr>
        <w:t> </w:t>
      </w:r>
      <w:r>
        <w:rPr>
          <w:rFonts w:ascii="Arial"/>
          <w:b/>
          <w:color w:val="EBCF6A"/>
          <w:sz w:val="40"/>
          <w:shd w:fill="394558" w:color="auto" w:val="clear"/>
        </w:rPr>
        <w:t>DATES</w:t>
        <w:tab/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7"/>
        <w:rPr>
          <w:rFonts w:ascii="Arial"/>
          <w:b/>
          <w:sz w:val="16"/>
        </w:rPr>
      </w:pPr>
    </w:p>
    <w:p>
      <w:pPr>
        <w:tabs>
          <w:tab w:pos="10468" w:val="left" w:leader="none"/>
        </w:tabs>
        <w:spacing w:before="89"/>
        <w:ind w:left="597" w:right="0" w:firstLine="0"/>
        <w:jc w:val="left"/>
        <w:rPr>
          <w:rFonts w:ascii="Arial"/>
          <w:b/>
          <w:sz w:val="32"/>
        </w:rPr>
      </w:pPr>
      <w:r>
        <w:rPr>
          <w:rFonts w:ascii="Arial"/>
          <w:b/>
          <w:color w:val="EBCF6A"/>
          <w:w w:val="99"/>
          <w:sz w:val="32"/>
          <w:shd w:fill="36394F" w:color="auto" w:val="clear"/>
        </w:rPr>
        <w:t> </w:t>
      </w:r>
      <w:r>
        <w:rPr>
          <w:rFonts w:ascii="Arial"/>
          <w:b/>
          <w:color w:val="EBCF6A"/>
          <w:spacing w:val="-55"/>
          <w:sz w:val="32"/>
          <w:shd w:fill="36394F" w:color="auto" w:val="clear"/>
        </w:rPr>
        <w:t> </w:t>
      </w:r>
      <w:r>
        <w:rPr>
          <w:rFonts w:ascii="Arial"/>
          <w:b/>
          <w:color w:val="EBCF6A"/>
          <w:sz w:val="32"/>
          <w:shd w:fill="36394F" w:color="auto" w:val="clear"/>
        </w:rPr>
        <w:t>Due</w:t>
      </w:r>
      <w:r>
        <w:rPr>
          <w:rFonts w:ascii="Arial"/>
          <w:b/>
          <w:color w:val="EBCF6A"/>
          <w:spacing w:val="60"/>
          <w:sz w:val="32"/>
          <w:shd w:fill="36394F" w:color="auto" w:val="clear"/>
        </w:rPr>
        <w:t> </w:t>
      </w:r>
      <w:r>
        <w:rPr>
          <w:rFonts w:ascii="Arial"/>
          <w:b/>
          <w:color w:val="EBCF6A"/>
          <w:sz w:val="32"/>
          <w:shd w:fill="36394F" w:color="auto" w:val="clear"/>
        </w:rPr>
        <w:t>Dates</w:t>
      </w:r>
      <w:r>
        <w:rPr>
          <w:rFonts w:ascii="Arial"/>
          <w:b/>
          <w:color w:val="EBCF6A"/>
          <w:spacing w:val="68"/>
          <w:sz w:val="32"/>
          <w:shd w:fill="36394F" w:color="auto" w:val="clear"/>
        </w:rPr>
        <w:t> </w:t>
      </w:r>
      <w:r>
        <w:rPr>
          <w:rFonts w:ascii="Arial"/>
          <w:b/>
          <w:color w:val="EBCF6A"/>
          <w:sz w:val="32"/>
          <w:shd w:fill="36394F" w:color="auto" w:val="clear"/>
        </w:rPr>
        <w:t>under</w:t>
      </w:r>
      <w:r>
        <w:rPr>
          <w:rFonts w:ascii="Arial"/>
          <w:b/>
          <w:color w:val="EBCF6A"/>
          <w:spacing w:val="72"/>
          <w:sz w:val="32"/>
          <w:shd w:fill="36394F" w:color="auto" w:val="clear"/>
        </w:rPr>
        <w:t> </w:t>
      </w:r>
      <w:r>
        <w:rPr>
          <w:rFonts w:ascii="Arial"/>
          <w:b/>
          <w:color w:val="EBCF6A"/>
          <w:sz w:val="32"/>
          <w:shd w:fill="36394F" w:color="auto" w:val="clear"/>
        </w:rPr>
        <w:t>various</w:t>
      </w:r>
      <w:r>
        <w:rPr>
          <w:rFonts w:ascii="Arial"/>
          <w:b/>
          <w:color w:val="EBCF6A"/>
          <w:spacing w:val="80"/>
          <w:sz w:val="32"/>
          <w:shd w:fill="36394F" w:color="auto" w:val="clear"/>
        </w:rPr>
        <w:t> </w:t>
      </w:r>
      <w:r>
        <w:rPr>
          <w:rFonts w:ascii="Arial"/>
          <w:b/>
          <w:color w:val="EBCF6A"/>
          <w:sz w:val="32"/>
          <w:shd w:fill="36394F" w:color="auto" w:val="clear"/>
        </w:rPr>
        <w:t>laws</w:t>
        <w:tab/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/>
        <w:rPr>
          <w:rFonts w:ascii="Arial"/>
          <w:b/>
          <w:sz w:val="10"/>
        </w:rPr>
      </w:pPr>
    </w:p>
    <w:tbl>
      <w:tblPr>
        <w:tblW w:w="0" w:type="auto"/>
        <w:jc w:val="left"/>
        <w:tblInd w:w="4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47"/>
        <w:gridCol w:w="7027"/>
      </w:tblGrid>
      <w:tr>
        <w:trPr>
          <w:trHeight w:val="691" w:hRule="atLeast"/>
        </w:trPr>
        <w:tc>
          <w:tcPr>
            <w:tcW w:w="2947" w:type="dxa"/>
            <w:shd w:val="clear" w:color="auto" w:fill="D99593"/>
          </w:tcPr>
          <w:p>
            <w:pPr>
              <w:pStyle w:val="TableParagraph"/>
              <w:spacing w:before="4"/>
              <w:jc w:val="left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spacing w:before="1"/>
              <w:ind w:left="150" w:right="133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position w:val="8"/>
                <w:sz w:val="18"/>
              </w:rPr>
              <w:t>th</w:t>
            </w:r>
            <w:r>
              <w:rPr>
                <w:spacing w:val="28"/>
                <w:position w:val="8"/>
                <w:sz w:val="18"/>
              </w:rPr>
              <w:t> </w:t>
            </w:r>
            <w:r>
              <w:rPr>
                <w:sz w:val="28"/>
              </w:rPr>
              <w:t>September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2023</w:t>
            </w:r>
          </w:p>
        </w:tc>
        <w:tc>
          <w:tcPr>
            <w:tcW w:w="7027" w:type="dxa"/>
            <w:shd w:val="clear" w:color="auto" w:fill="FDFCF8"/>
          </w:tcPr>
          <w:p>
            <w:pPr>
              <w:pStyle w:val="TableParagraph"/>
              <w:spacing w:before="4"/>
              <w:jc w:val="left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spacing w:before="1"/>
              <w:ind w:left="462" w:right="430"/>
              <w:rPr>
                <w:sz w:val="28"/>
              </w:rPr>
            </w:pPr>
            <w:r>
              <w:rPr>
                <w:sz w:val="28"/>
              </w:rPr>
              <w:t>Revised</w:t>
            </w:r>
            <w:r>
              <w:rPr>
                <w:spacing w:val="6"/>
                <w:sz w:val="28"/>
              </w:rPr>
              <w:t> </w:t>
            </w:r>
            <w:r>
              <w:rPr>
                <w:sz w:val="28"/>
              </w:rPr>
              <w:t>RBI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FLA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based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on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audited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financials</w:t>
            </w:r>
          </w:p>
        </w:tc>
      </w:tr>
      <w:tr>
        <w:trPr>
          <w:trHeight w:val="691" w:hRule="atLeast"/>
        </w:trPr>
        <w:tc>
          <w:tcPr>
            <w:tcW w:w="2947" w:type="dxa"/>
            <w:shd w:val="clear" w:color="auto" w:fill="C3D59B"/>
          </w:tcPr>
          <w:p>
            <w:pPr>
              <w:pStyle w:val="TableParagraph"/>
              <w:spacing w:before="5"/>
              <w:jc w:val="left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spacing w:before="0"/>
              <w:ind w:left="150" w:right="133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position w:val="8"/>
                <w:sz w:val="18"/>
              </w:rPr>
              <w:t>th</w:t>
            </w:r>
            <w:r>
              <w:rPr>
                <w:spacing w:val="28"/>
                <w:position w:val="8"/>
                <w:sz w:val="18"/>
              </w:rPr>
              <w:t> </w:t>
            </w:r>
            <w:r>
              <w:rPr>
                <w:sz w:val="28"/>
              </w:rPr>
              <w:t>September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2023</w:t>
            </w:r>
          </w:p>
        </w:tc>
        <w:tc>
          <w:tcPr>
            <w:tcW w:w="7027" w:type="dxa"/>
            <w:shd w:val="clear" w:color="auto" w:fill="FDFCF8"/>
          </w:tcPr>
          <w:p>
            <w:pPr>
              <w:pStyle w:val="TableParagraph"/>
              <w:spacing w:before="5"/>
              <w:jc w:val="left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spacing w:before="0"/>
              <w:ind w:left="462" w:right="442"/>
              <w:rPr>
                <w:sz w:val="28"/>
              </w:rPr>
            </w:pPr>
            <w:r>
              <w:rPr>
                <w:sz w:val="28"/>
              </w:rPr>
              <w:t>AOC-4(OPC)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Form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for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Filing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Financial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Statement</w:t>
            </w:r>
          </w:p>
        </w:tc>
      </w:tr>
      <w:tr>
        <w:trPr>
          <w:trHeight w:val="691" w:hRule="atLeast"/>
        </w:trPr>
        <w:tc>
          <w:tcPr>
            <w:tcW w:w="2947" w:type="dxa"/>
            <w:vMerge w:val="restart"/>
            <w:shd w:val="clear" w:color="auto" w:fill="F9C090"/>
          </w:tcPr>
          <w:p>
            <w:pPr>
              <w:pStyle w:val="TableParagraph"/>
              <w:spacing w:before="0"/>
              <w:jc w:val="left"/>
              <w:rPr>
                <w:rFonts w:ascii="Arial"/>
                <w:b/>
                <w:sz w:val="30"/>
              </w:rPr>
            </w:pPr>
          </w:p>
          <w:p>
            <w:pPr>
              <w:pStyle w:val="TableParagraph"/>
              <w:spacing w:before="211"/>
              <w:ind w:left="166"/>
              <w:jc w:val="left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position w:val="8"/>
                <w:sz w:val="18"/>
              </w:rPr>
              <w:t>th</w:t>
            </w:r>
            <w:r>
              <w:rPr>
                <w:spacing w:val="28"/>
                <w:position w:val="8"/>
                <w:sz w:val="18"/>
              </w:rPr>
              <w:t> </w:t>
            </w:r>
            <w:r>
              <w:rPr>
                <w:sz w:val="28"/>
              </w:rPr>
              <w:t>September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2023</w:t>
            </w:r>
          </w:p>
        </w:tc>
        <w:tc>
          <w:tcPr>
            <w:tcW w:w="7027" w:type="dxa"/>
            <w:shd w:val="clear" w:color="auto" w:fill="FDFCF8"/>
          </w:tcPr>
          <w:p>
            <w:pPr>
              <w:pStyle w:val="TableParagraph"/>
              <w:spacing w:before="5"/>
              <w:jc w:val="left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spacing w:before="0"/>
              <w:ind w:left="461" w:right="442"/>
              <w:rPr>
                <w:sz w:val="28"/>
              </w:rPr>
            </w:pPr>
            <w:r>
              <w:rPr>
                <w:sz w:val="28"/>
              </w:rPr>
              <w:t>DIR-3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KYC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of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Director/Partner</w:t>
            </w:r>
          </w:p>
        </w:tc>
      </w:tr>
      <w:tr>
        <w:trPr>
          <w:trHeight w:val="691" w:hRule="atLeast"/>
        </w:trPr>
        <w:tc>
          <w:tcPr>
            <w:tcW w:w="2947" w:type="dxa"/>
            <w:vMerge/>
            <w:tcBorders>
              <w:top w:val="nil"/>
            </w:tcBorders>
            <w:shd w:val="clear" w:color="auto" w:fill="F9C09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7" w:type="dxa"/>
            <w:shd w:val="clear" w:color="auto" w:fill="FDFCF8"/>
          </w:tcPr>
          <w:p>
            <w:pPr>
              <w:pStyle w:val="TableParagraph"/>
              <w:spacing w:before="5"/>
              <w:jc w:val="left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spacing w:before="0"/>
              <w:ind w:left="460" w:right="442"/>
              <w:rPr>
                <w:sz w:val="28"/>
              </w:rPr>
            </w:pPr>
            <w:r>
              <w:rPr>
                <w:sz w:val="28"/>
              </w:rPr>
              <w:t>Convening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AGM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for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FY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2021-22</w:t>
            </w:r>
          </w:p>
        </w:tc>
      </w:tr>
    </w:tbl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5"/>
        <w:rPr>
          <w:rFonts w:ascii="Arial"/>
          <w:b/>
          <w:sz w:val="13"/>
        </w:rPr>
      </w:pPr>
      <w:r>
        <w:rPr/>
        <w:pict>
          <v:shape style="position:absolute;margin-left:305.040009pt;margin-top:9.713949pt;width:212.65pt;height:116.15pt;mso-position-horizontal-relative:page;mso-position-vertical-relative:paragraph;z-index:-15715328;mso-wrap-distance-left:0;mso-wrap-distance-right:0" coordorigin="6101,194" coordsize="4253,2323" path="m8936,755l7518,755,7518,755,7518,755,7518,194,6101,194,6101,755,6101,1875,7518,1875,7518,1315,8936,1315,8936,755xm10354,1875l8936,1875,8936,2517,10354,2517,10354,1875xe" filled="true" fillcolor="#ffffff" stroked="false">
            <v:path arrowok="t"/>
            <v:fill type="solid"/>
            <w10:wrap type="topAndBottom"/>
          </v:shape>
        </w:pict>
      </w: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spacing w:before="236"/>
        <w:ind w:left="70" w:right="0" w:firstLine="0"/>
        <w:jc w:val="left"/>
        <w:rPr>
          <w:rFonts w:ascii="Arial"/>
          <w:b/>
          <w:i/>
          <w:sz w:val="22"/>
        </w:rPr>
      </w:pPr>
      <w:r>
        <w:rPr>
          <w:rFonts w:ascii="Arial"/>
          <w:b/>
          <w:i/>
          <w:color w:val="7C7C7C"/>
          <w:sz w:val="22"/>
        </w:rPr>
        <w:t>Disclaimer</w:t>
      </w:r>
    </w:p>
    <w:p>
      <w:pPr>
        <w:spacing w:line="249" w:lineRule="auto" w:before="11"/>
        <w:ind w:left="70" w:right="51" w:firstLine="0"/>
        <w:jc w:val="both"/>
        <w:rPr>
          <w:rFonts w:ascii="Arial"/>
          <w:b/>
          <w:i/>
          <w:sz w:val="22"/>
        </w:rPr>
      </w:pPr>
      <w:r>
        <w:rPr/>
        <w:pict>
          <v:shape style="position:absolute;margin-left:6.072pt;margin-top:61.491043pt;width:523.15pt;height:16.8pt;mso-position-horizontal-relative:page;mso-position-vertical-relative:paragraph;z-index:-16018432" type="#_x0000_t202" filled="false" stroked="false">
            <v:textbox inset="0,0,0,0">
              <w:txbxContent>
                <w:p>
                  <w:pPr>
                    <w:tabs>
                      <w:tab w:pos="7402" w:val="left" w:leader="none"/>
                    </w:tabs>
                    <w:spacing w:line="336" w:lineRule="exact" w:before="0"/>
                    <w:ind w:left="0" w:right="0" w:firstLine="0"/>
                    <w:jc w:val="left"/>
                    <w:rPr>
                      <w:rFonts w:ascii="Arial"/>
                      <w:b/>
                      <w:sz w:val="30"/>
                    </w:rPr>
                  </w:pPr>
                  <w:r>
                    <w:rPr>
                      <w:rFonts w:ascii="Arial"/>
                      <w:b/>
                      <w:color w:val="EBCF6A"/>
                      <w:spacing w:val="11"/>
                      <w:sz w:val="28"/>
                    </w:rPr>
                    <w:t>DECEMBER</w:t>
                  </w:r>
                  <w:r>
                    <w:rPr>
                      <w:rFonts w:ascii="Arial"/>
                      <w:b/>
                      <w:color w:val="EBCF6A"/>
                      <w:spacing w:val="23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16"/>
                      <w:sz w:val="30"/>
                    </w:rPr>
                    <w:t>2022</w:t>
                    <w:tab/>
                  </w:r>
                  <w:r>
                    <w:rPr>
                      <w:rFonts w:ascii="Arial"/>
                      <w:b/>
                      <w:color w:val="EBCF6A"/>
                      <w:spacing w:val="-17"/>
                      <w:sz w:val="30"/>
                    </w:rPr>
                    <w:t>KNOWLEDGE</w:t>
                  </w:r>
                  <w:r>
                    <w:rPr>
                      <w:rFonts w:ascii="Arial"/>
                      <w:b/>
                      <w:color w:val="EBCF6A"/>
                      <w:spacing w:val="-11"/>
                      <w:sz w:val="30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-16"/>
                      <w:sz w:val="30"/>
                    </w:rPr>
                    <w:t>UPDATE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59.011692pt;width:539.950pt;height:20.4pt;mso-position-horizontal-relative:page;mso-position-vertical-relative:paragraph;z-index:15744512" coordorigin="0,1180" coordsize="10799,408">
            <v:rect style="position:absolute;left:0;top:1180;width:10799;height:408" filled="true" fillcolor="#36394f" stroked="false">
              <v:fill type="solid"/>
            </v:rect>
            <v:shape style="position:absolute;left:108;top:1204;width:2186;height:336" type="#_x0000_t202" filled="false" stroked="false">
              <v:textbox inset="0,0,0,0">
                <w:txbxContent>
                  <w:p>
                    <w:pPr>
                      <w:spacing w:line="335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15"/>
                        <w:sz w:val="28"/>
                      </w:rPr>
                      <w:t>AUGUST</w:t>
                    </w:r>
                    <w:r>
                      <w:rPr>
                        <w:rFonts w:ascii="Arial"/>
                        <w:b/>
                        <w:color w:val="EBCF6A"/>
                        <w:spacing w:val="52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22"/>
                        <w:sz w:val="30"/>
                      </w:rPr>
                      <w:t>2023</w:t>
                    </w:r>
                  </w:p>
                </w:txbxContent>
              </v:textbox>
              <w10:wrap type="none"/>
            </v:shape>
            <v:shape style="position:absolute;left:7633;top:1204;width:3122;height:336" type="#_x0000_t202" filled="false" stroked="false">
              <v:textbox inset="0,0,0,0">
                <w:txbxContent>
                  <w:p>
                    <w:pPr>
                      <w:spacing w:line="335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-13"/>
                        <w:sz w:val="30"/>
                      </w:rPr>
                      <w:t>KNOWLEDGE</w:t>
                    </w:r>
                    <w:r>
                      <w:rPr>
                        <w:rFonts w:ascii="Arial"/>
                        <w:b/>
                        <w:color w:val="EBCF6A"/>
                        <w:spacing w:val="-9"/>
                        <w:sz w:val="3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-13"/>
                        <w:sz w:val="30"/>
                      </w:rPr>
                      <w:t>UPDATE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"/>
          <w:b/>
          <w:i/>
          <w:color w:val="7C7C7C"/>
          <w:sz w:val="22"/>
        </w:rPr>
        <w:t>This newsletter is a compilation of updates prepared and circulated from</w:t>
      </w:r>
      <w:r>
        <w:rPr>
          <w:rFonts w:ascii="Arial"/>
          <w:b/>
          <w:i/>
          <w:color w:val="7C7C7C"/>
          <w:spacing w:val="1"/>
          <w:sz w:val="22"/>
        </w:rPr>
        <w:t> </w:t>
      </w:r>
      <w:r>
        <w:rPr>
          <w:rFonts w:ascii="Arial"/>
          <w:b/>
          <w:i/>
          <w:color w:val="7C7C7C"/>
          <w:sz w:val="22"/>
        </w:rPr>
        <w:t>the academic point of view</w:t>
      </w:r>
      <w:r>
        <w:rPr>
          <w:rFonts w:ascii="Arial"/>
          <w:b/>
          <w:i/>
          <w:color w:val="7C7C7C"/>
          <w:spacing w:val="1"/>
          <w:sz w:val="22"/>
        </w:rPr>
        <w:t> </w:t>
      </w:r>
      <w:r>
        <w:rPr>
          <w:rFonts w:ascii="Arial"/>
          <w:b/>
          <w:i/>
          <w:color w:val="7C7C7C"/>
          <w:sz w:val="22"/>
        </w:rPr>
        <w:t>only and are not intended to constitute</w:t>
      </w:r>
      <w:r>
        <w:rPr>
          <w:rFonts w:ascii="Arial"/>
          <w:b/>
          <w:i/>
          <w:color w:val="7C7C7C"/>
          <w:spacing w:val="1"/>
          <w:sz w:val="22"/>
        </w:rPr>
        <w:t> </w:t>
      </w:r>
      <w:r>
        <w:rPr>
          <w:rFonts w:ascii="Arial"/>
          <w:b/>
          <w:i/>
          <w:color w:val="7C7C7C"/>
          <w:sz w:val="22"/>
        </w:rPr>
        <w:t>professional advice on any matter. The views and opinions</w:t>
      </w:r>
      <w:r>
        <w:rPr>
          <w:rFonts w:ascii="Arial"/>
          <w:b/>
          <w:i/>
          <w:color w:val="7C7C7C"/>
          <w:spacing w:val="1"/>
          <w:sz w:val="22"/>
        </w:rPr>
        <w:t> </w:t>
      </w:r>
      <w:r>
        <w:rPr>
          <w:rFonts w:ascii="Arial"/>
          <w:b/>
          <w:i/>
          <w:color w:val="7C7C7C"/>
          <w:sz w:val="22"/>
        </w:rPr>
        <w:t>expressed in</w:t>
      </w:r>
      <w:r>
        <w:rPr>
          <w:rFonts w:ascii="Arial"/>
          <w:b/>
          <w:i/>
          <w:color w:val="7C7C7C"/>
          <w:spacing w:val="1"/>
          <w:sz w:val="22"/>
        </w:rPr>
        <w:t> </w:t>
      </w:r>
      <w:r>
        <w:rPr>
          <w:rFonts w:ascii="Arial"/>
          <w:b/>
          <w:i/>
          <w:color w:val="7C7C7C"/>
          <w:sz w:val="22"/>
        </w:rPr>
        <w:t>this newsletter are those of the author of this document and are based on</w:t>
      </w:r>
      <w:r>
        <w:rPr>
          <w:rFonts w:ascii="Arial"/>
          <w:b/>
          <w:i/>
          <w:color w:val="7C7C7C"/>
          <w:spacing w:val="1"/>
          <w:sz w:val="22"/>
        </w:rPr>
        <w:t> </w:t>
      </w:r>
      <w:r>
        <w:rPr>
          <w:rFonts w:ascii="Arial"/>
          <w:b/>
          <w:i/>
          <w:color w:val="7C7C7C"/>
          <w:sz w:val="22"/>
        </w:rPr>
        <w:t>the internal</w:t>
      </w:r>
      <w:r>
        <w:rPr>
          <w:rFonts w:ascii="Arial"/>
          <w:b/>
          <w:i/>
          <w:color w:val="7C7C7C"/>
          <w:spacing w:val="1"/>
          <w:sz w:val="22"/>
        </w:rPr>
        <w:t> </w:t>
      </w:r>
      <w:r>
        <w:rPr>
          <w:rFonts w:ascii="Arial"/>
          <w:b/>
          <w:i/>
          <w:color w:val="7C7C7C"/>
          <w:sz w:val="22"/>
        </w:rPr>
        <w:t>research</w:t>
      </w:r>
      <w:r>
        <w:rPr>
          <w:rFonts w:ascii="Arial"/>
          <w:b/>
          <w:i/>
          <w:color w:val="7C7C7C"/>
          <w:spacing w:val="-7"/>
          <w:sz w:val="22"/>
        </w:rPr>
        <w:t> </w:t>
      </w:r>
      <w:r>
        <w:rPr>
          <w:rFonts w:ascii="Arial"/>
          <w:b/>
          <w:i/>
          <w:color w:val="7C7C7C"/>
          <w:sz w:val="22"/>
        </w:rPr>
        <w:t>done</w:t>
      </w:r>
      <w:r>
        <w:rPr>
          <w:rFonts w:ascii="Arial"/>
          <w:b/>
          <w:i/>
          <w:color w:val="7C7C7C"/>
          <w:spacing w:val="-12"/>
          <w:sz w:val="22"/>
        </w:rPr>
        <w:t> </w:t>
      </w:r>
      <w:r>
        <w:rPr>
          <w:rFonts w:ascii="Arial"/>
          <w:b/>
          <w:i/>
          <w:color w:val="7C7C7C"/>
          <w:sz w:val="22"/>
        </w:rPr>
        <w:t>by</w:t>
      </w:r>
      <w:r>
        <w:rPr>
          <w:rFonts w:ascii="Arial"/>
          <w:b/>
          <w:i/>
          <w:color w:val="7C7C7C"/>
          <w:spacing w:val="-9"/>
          <w:sz w:val="22"/>
        </w:rPr>
        <w:t> </w:t>
      </w:r>
      <w:r>
        <w:rPr>
          <w:rFonts w:ascii="Arial"/>
          <w:b/>
          <w:i/>
          <w:color w:val="7C7C7C"/>
          <w:sz w:val="22"/>
        </w:rPr>
        <w:t>the</w:t>
      </w:r>
      <w:r>
        <w:rPr>
          <w:rFonts w:ascii="Arial"/>
          <w:b/>
          <w:i/>
          <w:color w:val="7C7C7C"/>
          <w:spacing w:val="-21"/>
          <w:sz w:val="22"/>
        </w:rPr>
        <w:t> </w:t>
      </w:r>
      <w:r>
        <w:rPr>
          <w:rFonts w:ascii="Arial"/>
          <w:b/>
          <w:i/>
          <w:color w:val="7C7C7C"/>
          <w:sz w:val="22"/>
        </w:rPr>
        <w:t>Author.</w:t>
      </w:r>
    </w:p>
    <w:sectPr>
      <w:pgSz w:w="10800" w:h="19200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  <w:font w:name="Cambria Math">
    <w:altName w:val="Cambria Math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0"/>
      <w:numFmt w:val="bullet"/>
      <w:lvlText w:val="•"/>
      <w:lvlJc w:val="left"/>
      <w:pPr>
        <w:ind w:left="633" w:hanging="452"/>
      </w:pPr>
      <w:rPr>
        <w:rFonts w:hint="default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6" w:hanging="4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72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88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04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20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36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2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68" w:hanging="452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732" w:hanging="418"/>
        <w:jc w:val="right"/>
      </w:pPr>
      <w:rPr>
        <w:rFonts w:hint="default" w:ascii="Arial" w:hAnsi="Arial" w:eastAsia="Arial" w:cs="Arial"/>
        <w:b/>
        <w:bCs/>
        <w:color w:val="4F576A"/>
        <w:w w:val="99"/>
        <w:sz w:val="32"/>
        <w:szCs w:val="3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46" w:hanging="41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52" w:hanging="41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58" w:hanging="41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64" w:hanging="41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70" w:hanging="41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76" w:hanging="41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82" w:hanging="41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88" w:hanging="418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"/>
      <w:lvlJc w:val="left"/>
      <w:pPr>
        <w:ind w:left="876" w:hanging="540"/>
      </w:pPr>
      <w:rPr>
        <w:rFonts w:hint="default" w:ascii="Symbol" w:hAnsi="Symbol" w:eastAsia="Symbol" w:cs="Symbol"/>
        <w:color w:val="4F576A"/>
        <w:w w:val="99"/>
        <w:sz w:val="32"/>
        <w:szCs w:val="3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72" w:hanging="5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64" w:hanging="5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56" w:hanging="5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48" w:hanging="5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40" w:hanging="5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32" w:hanging="5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24" w:hanging="5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16" w:hanging="540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828" w:hanging="541"/>
        <w:jc w:val="left"/>
      </w:pPr>
      <w:rPr>
        <w:rFonts w:hint="default" w:ascii="Arial" w:hAnsi="Arial" w:eastAsia="Arial" w:cs="Arial"/>
        <w:b/>
        <w:bCs/>
        <w:color w:val="4F576A"/>
        <w:w w:val="99"/>
        <w:sz w:val="32"/>
        <w:szCs w:val="3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8" w:hanging="54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16" w:hanging="54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14" w:hanging="54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12" w:hanging="54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10" w:hanging="54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08" w:hanging="54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06" w:hanging="54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04" w:hanging="541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739" w:hanging="452"/>
      </w:pPr>
      <w:rPr>
        <w:rFonts w:hint="default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46" w:hanging="4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52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58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64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70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76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82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88" w:hanging="452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664" w:hanging="540"/>
        <w:jc w:val="left"/>
      </w:pPr>
      <w:rPr>
        <w:rFonts w:hint="default" w:ascii="Arial MT" w:hAnsi="Arial MT" w:eastAsia="Arial MT" w:cs="Arial MT"/>
        <w:color w:val="4F576A"/>
        <w:w w:val="99"/>
        <w:sz w:val="32"/>
        <w:szCs w:val="32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828" w:hanging="541"/>
        <w:jc w:val="left"/>
      </w:pPr>
      <w:rPr>
        <w:rFonts w:hint="default" w:ascii="Arial" w:hAnsi="Arial" w:eastAsia="Arial" w:cs="Arial"/>
        <w:b/>
        <w:bCs/>
        <w:color w:val="4F576A"/>
        <w:w w:val="99"/>
        <w:sz w:val="32"/>
        <w:szCs w:val="3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8" w:hanging="54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7" w:hanging="54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46" w:hanging="54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55" w:hanging="54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64" w:hanging="54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73" w:hanging="54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82" w:hanging="541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664" w:hanging="540"/>
        <w:jc w:val="left"/>
      </w:pPr>
      <w:rPr>
        <w:rFonts w:hint="default" w:ascii="Arial MT" w:hAnsi="Arial MT" w:eastAsia="Arial MT" w:cs="Arial MT"/>
        <w:color w:val="4F576A"/>
        <w:w w:val="99"/>
        <w:sz w:val="32"/>
        <w:szCs w:val="3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4" w:hanging="5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88" w:hanging="5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02" w:hanging="5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16" w:hanging="5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30" w:hanging="5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44" w:hanging="5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8" w:hanging="5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72" w:hanging="54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664" w:hanging="540"/>
        <w:jc w:val="left"/>
      </w:pPr>
      <w:rPr>
        <w:rFonts w:hint="default" w:ascii="Arial MT" w:hAnsi="Arial MT" w:eastAsia="Arial MT" w:cs="Arial MT"/>
        <w:color w:val="4F576A"/>
        <w:w w:val="99"/>
        <w:sz w:val="32"/>
        <w:szCs w:val="3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4" w:hanging="5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88" w:hanging="5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02" w:hanging="5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16" w:hanging="5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30" w:hanging="5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44" w:hanging="5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8" w:hanging="5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72" w:hanging="540"/>
      </w:pPr>
      <w:rPr>
        <w:rFonts w:hint="default"/>
        <w:lang w:val="en-US" w:eastAsia="en-US" w:bidi="ar-SA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32"/>
      <w:szCs w:val="3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88"/>
      <w:ind w:left="5222"/>
      <w:outlineLvl w:val="1"/>
    </w:pPr>
    <w:rPr>
      <w:rFonts w:ascii="Arial" w:hAnsi="Arial" w:eastAsia="Arial" w:cs="Arial"/>
      <w:b/>
      <w:bCs/>
      <w:sz w:val="40"/>
      <w:szCs w:val="40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"/>
      <w:ind w:left="124"/>
      <w:outlineLvl w:val="2"/>
    </w:pPr>
    <w:rPr>
      <w:rFonts w:ascii="Arial" w:hAnsi="Arial" w:eastAsia="Arial" w:cs="Arial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33" w:hanging="452"/>
      <w:jc w:val="both"/>
    </w:pPr>
    <w:rPr>
      <w:rFonts w:ascii="Arial MT" w:hAnsi="Arial MT" w:eastAsia="Arial MT" w:cs="Arial MT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76"/>
      <w:jc w:val="center"/>
    </w:pPr>
    <w:rPr>
      <w:rFonts w:ascii="Arial MT" w:hAnsi="Arial MT" w:eastAsia="Arial MT" w:cs="Arial MT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https://www.mca.gov.in/bin/dms/getdocument?mds=jYQ0wTBvMQwmTluXHncG0A%253D%253D&amp;type=open" TargetMode="External"/><Relationship Id="rId8" Type="http://schemas.openxmlformats.org/officeDocument/2006/relationships/image" Target="media/image3.jpeg"/><Relationship Id="rId9" Type="http://schemas.openxmlformats.org/officeDocument/2006/relationships/hyperlink" Target="https://www.sebi.gov.in/legal/circulars/aug-2023/reduction-of-timeline-for-listing-of-shares-in-public-issue-from-existing-t-6-days-to-t-3-days_75122.html" TargetMode="External"/><Relationship Id="rId10" Type="http://schemas.openxmlformats.org/officeDocument/2006/relationships/hyperlink" Target="https://www.sebi.gov.in/legal/master-circulars/aug-2023/online-resolution-of-disputes-in-the-indian-securities-market_75220.html" TargetMode="External"/><Relationship Id="rId11" Type="http://schemas.openxmlformats.org/officeDocument/2006/relationships/hyperlink" Target="https://egazette.gov.in/WriteReadData/2023/248255.pdf" TargetMode="External"/><Relationship Id="rId12" Type="http://schemas.openxmlformats.org/officeDocument/2006/relationships/image" Target="media/image4.png"/><Relationship Id="rId13" Type="http://schemas.openxmlformats.org/officeDocument/2006/relationships/hyperlink" Target="https://aracs.in/wp-content/uploads/2023/08/IBBI-letter-dated-18.7.2023-Recommendation-for-appointment-of-liquidator-other-than-IRP-RP-under-section-34-4-b-of-the-IBC-2016.pdf" TargetMode="External"/><Relationship Id="rId14" Type="http://schemas.openxmlformats.org/officeDocument/2006/relationships/image" Target="media/image5.jpeg"/><Relationship Id="rId15" Type="http://schemas.openxmlformats.org/officeDocument/2006/relationships/hyperlink" Target="https://www.mca.gov.in/bin/dms/getdocument?mds=bxgTXDeyTb70S4KRQhtJnQ%253D%253D&amp;type=open" TargetMode="External"/><Relationship Id="rId16" Type="http://schemas.openxmlformats.org/officeDocument/2006/relationships/hyperlink" Target="https://sat.gov.in/english/pdf/E2023_JO2022918.PDF" TargetMode="External"/><Relationship Id="rId17" Type="http://schemas.openxmlformats.org/officeDocument/2006/relationships/image" Target="media/image6.jpeg"/><Relationship Id="rId18" Type="http://schemas.openxmlformats.org/officeDocument/2006/relationships/hyperlink" Target="https://fiuindia.gov.in/pdfs/downloads/TCSP17072023.pdf" TargetMode="External"/><Relationship Id="rId19" Type="http://schemas.openxmlformats.org/officeDocument/2006/relationships/hyperlink" Target="https://www.mca.gov.in/bin/dms/getdocument?mds=Zt6foWsl%252BABAbU7Pid9NGg%253D%253D&amp;type=open" TargetMode="External"/><Relationship Id="rId20" Type="http://schemas.openxmlformats.org/officeDocument/2006/relationships/image" Target="media/image7.jpeg"/><Relationship Id="rId21" Type="http://schemas.openxmlformats.org/officeDocument/2006/relationships/image" Target="media/image8.png"/><Relationship Id="rId2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Piyush Parmar</dc:creator>
  <dc:title>Akansha  Rathi &amp; Associates</dc:title>
  <dcterms:created xsi:type="dcterms:W3CDTF">2023-09-02T11:17:23Z</dcterms:created>
  <dcterms:modified xsi:type="dcterms:W3CDTF">2023-09-02T11:17:23Z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2023-09-02T00:00:00Z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2023-09-02T00:00:00Z</vt:filetime>
  </property>
</Properties>
</file>