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 w:after="1"/>
        <w:rPr>
          <w:rFonts w:ascii="Times New Roman"/>
          <w:sz w:val="17"/>
        </w:rPr>
      </w:pPr>
      <w:r>
        <w:rPr/>
        <w:pict>
          <v:rect style="position:absolute;margin-left:0pt;margin-top:-.000061pt;width:540pt;height:939.479881pt;mso-position-horizontal-relative:page;mso-position-vertical-relative:page;z-index:-16103424" filled="true" fillcolor="#fdfcf8" stroked="false">
            <v:fill type="solid"/>
            <w10:wrap type="none"/>
          </v:rect>
        </w:pict>
      </w:r>
      <w:r>
        <w:rPr/>
        <w:pict>
          <v:rect style="position:absolute;margin-left:0pt;margin-top:959.879822pt;width:540pt;height:.120119pt;mso-position-horizontal-relative:page;mso-position-vertical-relative:page;z-index:15729664" filled="true" fillcolor="#fdfcf8" stroked="false">
            <v:fill type="solid"/>
            <w10:wrap type="none"/>
          </v:rect>
        </w:pict>
      </w:r>
    </w:p>
    <w:p>
      <w:pPr>
        <w:pStyle w:val="BodyText"/>
        <w:ind w:left="212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311.6pt;height:20.3pt;mso-position-horizontal-relative:char;mso-position-vertical-relative:line" coordorigin="0,0" coordsize="6232,406">
            <v:rect style="position:absolute;left:0;top:0;width:6232;height:406" filled="true" fillcolor="#36394f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6232;height:406" type="#_x0000_t202" filled="false" stroked="false">
              <v:textbox inset="0,0,0,0">
                <w:txbxContent>
                  <w:p>
                    <w:pPr>
                      <w:spacing w:before="11"/>
                      <w:ind w:left="18" w:right="0" w:firstLine="0"/>
                      <w:jc w:val="left"/>
                      <w:rPr>
                        <w:rFonts w:ascii="Arial"/>
                        <w:b/>
                        <w:sz w:val="32"/>
                      </w:rPr>
                    </w:pPr>
                    <w:bookmarkStart w:name="Slide 1: In this Update:" w:id="1"/>
                    <w:bookmarkEnd w:id="1"/>
                    <w:r>
                      <w:rPr/>
                    </w:r>
                    <w:r>
                      <w:rPr>
                        <w:rFonts w:ascii="Arial"/>
                        <w:b/>
                        <w:color w:val="EBCF6A"/>
                        <w:spacing w:val="17"/>
                        <w:sz w:val="32"/>
                      </w:rPr>
                      <w:t>March</w:t>
                    </w:r>
                    <w:r>
                      <w:rPr>
                        <w:rFonts w:ascii="Arial"/>
                        <w:b/>
                        <w:color w:val="EBCF6A"/>
                        <w:spacing w:val="67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5"/>
                        <w:sz w:val="32"/>
                      </w:rPr>
                      <w:t>2023</w:t>
                    </w:r>
                    <w:r>
                      <w:rPr>
                        <w:rFonts w:ascii="Arial"/>
                        <w:b/>
                        <w:color w:val="EBCF6A"/>
                        <w:spacing w:val="32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|</w:t>
                    </w:r>
                    <w:r>
                      <w:rPr>
                        <w:rFonts w:ascii="Arial"/>
                        <w:b/>
                        <w:color w:val="EBCF6A"/>
                        <w:spacing w:val="-7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38</w:t>
                    </w:r>
                    <w:r>
                      <w:rPr>
                        <w:rFonts w:ascii="Arial"/>
                        <w:b/>
                        <w:color w:val="EBCF6A"/>
                        <w:position w:val="10"/>
                        <w:sz w:val="21"/>
                      </w:rPr>
                      <w:t>TH</w:t>
                    </w:r>
                    <w:r>
                      <w:rPr>
                        <w:rFonts w:ascii="Arial"/>
                        <w:b/>
                        <w:color w:val="EBCF6A"/>
                        <w:spacing w:val="65"/>
                        <w:position w:val="10"/>
                        <w:sz w:val="21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EDITION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before="1"/>
        <w:rPr>
          <w:rFonts w:ascii="Times New Roman"/>
          <w:sz w:val="16"/>
        </w:rPr>
      </w:pPr>
    </w:p>
    <w:p>
      <w:pPr>
        <w:pStyle w:val="Heading2"/>
        <w:rPr>
          <w:rFonts w:ascii="Calibri"/>
        </w:rPr>
      </w:pPr>
      <w:r>
        <w:rPr/>
        <w:pict>
          <v:group style="position:absolute;margin-left:424.079987pt;margin-top:-41.851357pt;width:89.3pt;height:157pt;mso-position-horizontal-relative:page;mso-position-vertical-relative:paragraph;z-index:15730176" coordorigin="8482,-837" coordsize="1786,3140">
            <v:rect style="position:absolute;left:9129;top:-838;width:860;height:3140" filled="true" fillcolor="#ebcf6a" stroked="false">
              <v:fill type="solid"/>
            </v:rect>
            <v:shape style="position:absolute;left:8481;top:-514;width:1786;height:1798" type="#_x0000_t75" stroked="false">
              <v:imagedata r:id="rId5" o:title=""/>
            </v:shape>
            <w10:wrap type="none"/>
          </v:group>
        </w:pict>
      </w:r>
      <w:r>
        <w:rPr>
          <w:rFonts w:ascii="Calibri"/>
          <w:color w:val="394558"/>
        </w:rPr>
        <w:t>In</w:t>
      </w:r>
      <w:r>
        <w:rPr>
          <w:rFonts w:ascii="Calibri"/>
          <w:color w:val="394558"/>
          <w:spacing w:val="-1"/>
        </w:rPr>
        <w:t> </w:t>
      </w:r>
      <w:r>
        <w:rPr>
          <w:rFonts w:ascii="Calibri"/>
          <w:color w:val="394558"/>
        </w:rPr>
        <w:t>this</w:t>
      </w:r>
      <w:r>
        <w:rPr>
          <w:rFonts w:ascii="Calibri"/>
          <w:color w:val="394558"/>
          <w:spacing w:val="-2"/>
        </w:rPr>
        <w:t> </w:t>
      </w:r>
      <w:r>
        <w:rPr>
          <w:rFonts w:ascii="Calibri"/>
          <w:color w:val="394558"/>
        </w:rPr>
        <w:t>Update:</w:t>
      </w:r>
    </w:p>
    <w:p>
      <w:pPr>
        <w:pStyle w:val="BodyText"/>
        <w:spacing w:before="5"/>
        <w:rPr>
          <w:rFonts w:ascii="Calibri"/>
          <w:b/>
          <w:sz w:val="18"/>
        </w:rPr>
      </w:pPr>
    </w:p>
    <w:tbl>
      <w:tblPr>
        <w:tblW w:w="0" w:type="auto"/>
        <w:jc w:val="left"/>
        <w:tblInd w:w="2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6"/>
        <w:gridCol w:w="2600"/>
      </w:tblGrid>
      <w:tr>
        <w:trPr>
          <w:trHeight w:val="507" w:hRule="atLeast"/>
        </w:trPr>
        <w:tc>
          <w:tcPr>
            <w:tcW w:w="5456" w:type="dxa"/>
            <w:shd w:val="clear" w:color="auto" w:fill="EBCF6A"/>
          </w:tcPr>
          <w:p>
            <w:pPr>
              <w:pStyle w:val="TableParagraph"/>
              <w:spacing w:before="74"/>
              <w:ind w:left="144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394558"/>
                <w:sz w:val="32"/>
              </w:rPr>
              <w:t>Content</w:t>
            </w:r>
          </w:p>
        </w:tc>
        <w:tc>
          <w:tcPr>
            <w:tcW w:w="2600" w:type="dxa"/>
            <w:shd w:val="clear" w:color="auto" w:fill="EBCF6A"/>
          </w:tcPr>
          <w:p>
            <w:pPr>
              <w:pStyle w:val="TableParagraph"/>
              <w:spacing w:before="74"/>
              <w:ind w:left="145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394558"/>
                <w:sz w:val="32"/>
              </w:rPr>
              <w:t>Page</w:t>
            </w:r>
            <w:r>
              <w:rPr>
                <w:rFonts w:ascii="Arial"/>
                <w:b/>
                <w:color w:val="394558"/>
                <w:spacing w:val="-3"/>
                <w:sz w:val="32"/>
              </w:rPr>
              <w:t> </w:t>
            </w:r>
            <w:r>
              <w:rPr>
                <w:rFonts w:ascii="Arial"/>
                <w:b/>
                <w:color w:val="394558"/>
                <w:sz w:val="32"/>
              </w:rPr>
              <w:t>No</w:t>
            </w:r>
          </w:p>
        </w:tc>
      </w:tr>
      <w:tr>
        <w:trPr>
          <w:trHeight w:val="508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Company</w:t>
            </w:r>
            <w:r>
              <w:rPr>
                <w:color w:val="EBCF6A"/>
                <w:spacing w:val="-2"/>
                <w:sz w:val="32"/>
              </w:rPr>
              <w:t> </w:t>
            </w:r>
            <w:r>
              <w:rPr>
                <w:color w:val="EBCF6A"/>
                <w:sz w:val="32"/>
              </w:rPr>
              <w:t>Law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Page- 2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Securities</w:t>
            </w:r>
            <w:r>
              <w:rPr>
                <w:color w:val="EBCF6A"/>
                <w:spacing w:val="-4"/>
                <w:sz w:val="32"/>
              </w:rPr>
              <w:t> </w:t>
            </w:r>
            <w:r>
              <w:rPr>
                <w:color w:val="EBCF6A"/>
                <w:sz w:val="32"/>
              </w:rPr>
              <w:t>Law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Page- 2</w:t>
            </w:r>
            <w:r>
              <w:rPr>
                <w:color w:val="EBCF6A"/>
                <w:spacing w:val="-2"/>
                <w:sz w:val="32"/>
              </w:rPr>
              <w:t> </w:t>
            </w:r>
            <w:r>
              <w:rPr>
                <w:color w:val="EBCF6A"/>
                <w:sz w:val="32"/>
              </w:rPr>
              <w:t>to</w:t>
            </w:r>
            <w:r>
              <w:rPr>
                <w:color w:val="EBCF6A"/>
                <w:spacing w:val="1"/>
                <w:sz w:val="32"/>
              </w:rPr>
              <w:t> </w:t>
            </w:r>
            <w:r>
              <w:rPr>
                <w:color w:val="EBCF6A"/>
                <w:sz w:val="32"/>
              </w:rPr>
              <w:t>3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Posh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Page- 3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Bar Council</w:t>
            </w:r>
            <w:r>
              <w:rPr>
                <w:color w:val="EBCF6A"/>
                <w:spacing w:val="-5"/>
                <w:sz w:val="32"/>
              </w:rPr>
              <w:t> </w:t>
            </w:r>
            <w:r>
              <w:rPr>
                <w:color w:val="EBCF6A"/>
                <w:sz w:val="32"/>
              </w:rPr>
              <w:t>of</w:t>
            </w:r>
            <w:r>
              <w:rPr>
                <w:color w:val="EBCF6A"/>
                <w:spacing w:val="1"/>
                <w:sz w:val="32"/>
              </w:rPr>
              <w:t> </w:t>
            </w:r>
            <w:r>
              <w:rPr>
                <w:color w:val="EBCF6A"/>
                <w:sz w:val="32"/>
              </w:rPr>
              <w:t>India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Page- 4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Insolvency</w:t>
            </w:r>
            <w:r>
              <w:rPr>
                <w:color w:val="EBCF6A"/>
                <w:spacing w:val="-6"/>
                <w:sz w:val="32"/>
              </w:rPr>
              <w:t> </w:t>
            </w:r>
            <w:r>
              <w:rPr>
                <w:color w:val="EBCF6A"/>
                <w:sz w:val="32"/>
              </w:rPr>
              <w:t>Law: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Page- 4</w:t>
            </w:r>
          </w:p>
        </w:tc>
      </w:tr>
      <w:tr>
        <w:trPr>
          <w:trHeight w:val="508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Case</w:t>
            </w:r>
            <w:r>
              <w:rPr>
                <w:color w:val="EBCF6A"/>
                <w:spacing w:val="-4"/>
                <w:sz w:val="32"/>
              </w:rPr>
              <w:t> </w:t>
            </w:r>
            <w:r>
              <w:rPr>
                <w:color w:val="EBCF6A"/>
                <w:sz w:val="32"/>
              </w:rPr>
              <w:t>Laws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Page- 5</w:t>
            </w:r>
            <w:r>
              <w:rPr>
                <w:color w:val="EBCF6A"/>
                <w:spacing w:val="-2"/>
                <w:sz w:val="32"/>
              </w:rPr>
              <w:t> </w:t>
            </w:r>
            <w:r>
              <w:rPr>
                <w:color w:val="EBCF6A"/>
                <w:sz w:val="32"/>
              </w:rPr>
              <w:t>to</w:t>
            </w:r>
            <w:r>
              <w:rPr>
                <w:color w:val="EBCF6A"/>
                <w:spacing w:val="1"/>
                <w:sz w:val="32"/>
              </w:rPr>
              <w:t> </w:t>
            </w:r>
            <w:r>
              <w:rPr>
                <w:color w:val="EBCF6A"/>
                <w:sz w:val="32"/>
              </w:rPr>
              <w:t>6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Due</w:t>
            </w:r>
            <w:r>
              <w:rPr>
                <w:color w:val="EBCF6A"/>
                <w:spacing w:val="-5"/>
                <w:sz w:val="32"/>
              </w:rPr>
              <w:t> </w:t>
            </w:r>
            <w:r>
              <w:rPr>
                <w:color w:val="EBCF6A"/>
                <w:sz w:val="32"/>
              </w:rPr>
              <w:t>Dates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Page- 7</w:t>
            </w:r>
          </w:p>
        </w:tc>
      </w:tr>
    </w:tbl>
    <w:p>
      <w:pPr>
        <w:pStyle w:val="BodyText"/>
        <w:rPr>
          <w:rFonts w:ascii="Calibri"/>
          <w:b/>
          <w:sz w:val="36"/>
        </w:rPr>
      </w:pPr>
    </w:p>
    <w:p>
      <w:pPr>
        <w:pStyle w:val="BodyText"/>
        <w:spacing w:before="3"/>
        <w:rPr>
          <w:rFonts w:ascii="Calibri"/>
          <w:b/>
          <w:sz w:val="32"/>
        </w:rPr>
      </w:pPr>
    </w:p>
    <w:p>
      <w:pPr>
        <w:pStyle w:val="Heading4"/>
      </w:pPr>
      <w:r>
        <w:rPr>
          <w:color w:val="4F576A"/>
          <w:u w:val="thick" w:color="4F576A"/>
        </w:rPr>
        <w:t>Company</w:t>
      </w:r>
      <w:r>
        <w:rPr>
          <w:color w:val="4F576A"/>
          <w:spacing w:val="-4"/>
          <w:u w:val="thick" w:color="4F576A"/>
        </w:rPr>
        <w:t> </w:t>
      </w:r>
      <w:r>
        <w:rPr>
          <w:color w:val="4F576A"/>
          <w:u w:val="thick" w:color="4F576A"/>
        </w:rPr>
        <w:t>Law:</w:t>
      </w:r>
    </w:p>
    <w:p>
      <w:pPr>
        <w:pStyle w:val="BodyText"/>
        <w:tabs>
          <w:tab w:pos="644" w:val="left" w:leader="none"/>
        </w:tabs>
        <w:spacing w:before="81"/>
        <w:ind w:left="104"/>
      </w:pPr>
      <w:r>
        <w:rPr>
          <w:color w:val="4F576A"/>
        </w:rPr>
        <w:t>1.</w:t>
        <w:tab/>
        <w:t>MCA</w:t>
      </w:r>
      <w:r>
        <w:rPr>
          <w:color w:val="4F576A"/>
          <w:spacing w:val="2"/>
        </w:rPr>
        <w:t> </w:t>
      </w:r>
      <w:r>
        <w:rPr>
          <w:color w:val="4F576A"/>
        </w:rPr>
        <w:t>establishes</w:t>
      </w:r>
      <w:r>
        <w:rPr>
          <w:color w:val="4F576A"/>
          <w:spacing w:val="-9"/>
        </w:rPr>
        <w:t> </w:t>
      </w:r>
      <w:r>
        <w:rPr>
          <w:color w:val="4F576A"/>
        </w:rPr>
        <w:t>a</w:t>
      </w:r>
      <w:r>
        <w:rPr>
          <w:color w:val="4F576A"/>
          <w:spacing w:val="-1"/>
        </w:rPr>
        <w:t> </w:t>
      </w:r>
      <w:r>
        <w:rPr>
          <w:color w:val="4F576A"/>
        </w:rPr>
        <w:t>Centre</w:t>
      </w:r>
      <w:r>
        <w:rPr>
          <w:color w:val="4F576A"/>
          <w:spacing w:val="-5"/>
        </w:rPr>
        <w:t> </w:t>
      </w:r>
      <w:r>
        <w:rPr>
          <w:color w:val="4F576A"/>
        </w:rPr>
        <w:t>for</w:t>
      </w:r>
      <w:r>
        <w:rPr>
          <w:color w:val="4F576A"/>
          <w:spacing w:val="-3"/>
        </w:rPr>
        <w:t> </w:t>
      </w:r>
      <w:r>
        <w:rPr>
          <w:color w:val="4F576A"/>
        </w:rPr>
        <w:t>Processing</w:t>
      </w:r>
      <w:r>
        <w:rPr>
          <w:color w:val="4F576A"/>
          <w:spacing w:val="-10"/>
        </w:rPr>
        <w:t> </w:t>
      </w:r>
      <w:r>
        <w:rPr>
          <w:color w:val="4F576A"/>
        </w:rPr>
        <w:t>Accelerated</w:t>
      </w:r>
      <w:r>
        <w:rPr>
          <w:color w:val="4F576A"/>
          <w:spacing w:val="-7"/>
        </w:rPr>
        <w:t> </w:t>
      </w:r>
      <w:r>
        <w:rPr>
          <w:color w:val="4F576A"/>
        </w:rPr>
        <w:t>Corporate</w:t>
      </w:r>
      <w:r>
        <w:rPr>
          <w:color w:val="4F576A"/>
          <w:spacing w:val="-7"/>
        </w:rPr>
        <w:t> </w:t>
      </w:r>
      <w:r>
        <w:rPr>
          <w:color w:val="4F576A"/>
        </w:rPr>
        <w:t>Exit</w:t>
      </w:r>
      <w:r>
        <w:rPr>
          <w:color w:val="4F576A"/>
          <w:spacing w:val="2"/>
        </w:rPr>
        <w:t> </w:t>
      </w:r>
      <w:r>
        <w:rPr>
          <w:color w:val="4F576A"/>
        </w:rPr>
        <w:t>(C-PACE)</w:t>
      </w:r>
    </w:p>
    <w:p>
      <w:pPr>
        <w:pStyle w:val="BodyText"/>
        <w:spacing w:before="1"/>
        <w:rPr>
          <w:sz w:val="42"/>
        </w:rPr>
      </w:pPr>
    </w:p>
    <w:p>
      <w:pPr>
        <w:pStyle w:val="Heading4"/>
      </w:pPr>
      <w:r>
        <w:rPr>
          <w:color w:val="4F576A"/>
          <w:u w:val="thick" w:color="4F576A"/>
        </w:rPr>
        <w:t>Securities</w:t>
      </w:r>
      <w:r>
        <w:rPr>
          <w:color w:val="4F576A"/>
          <w:spacing w:val="-6"/>
          <w:u w:val="thick" w:color="4F576A"/>
        </w:rPr>
        <w:t> </w:t>
      </w:r>
      <w:r>
        <w:rPr>
          <w:color w:val="4F576A"/>
          <w:u w:val="thick" w:color="4F576A"/>
        </w:rPr>
        <w:t>Law: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5" w:val="left" w:leader="none"/>
        </w:tabs>
        <w:spacing w:line="240" w:lineRule="auto" w:before="82" w:after="0"/>
        <w:ind w:left="644" w:right="0" w:hanging="541"/>
        <w:jc w:val="left"/>
        <w:rPr>
          <w:sz w:val="28"/>
        </w:rPr>
      </w:pPr>
      <w:r>
        <w:rPr>
          <w:color w:val="4F576A"/>
          <w:sz w:val="28"/>
        </w:rPr>
        <w:t>SEBI Master</w:t>
      </w:r>
      <w:r>
        <w:rPr>
          <w:color w:val="4F576A"/>
          <w:spacing w:val="-8"/>
          <w:sz w:val="28"/>
        </w:rPr>
        <w:t> </w:t>
      </w:r>
      <w:r>
        <w:rPr>
          <w:color w:val="4F576A"/>
          <w:sz w:val="28"/>
        </w:rPr>
        <w:t>Circular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Foreign</w:t>
      </w:r>
      <w:r>
        <w:rPr>
          <w:color w:val="4F576A"/>
          <w:spacing w:val="-7"/>
          <w:sz w:val="28"/>
        </w:rPr>
        <w:t> </w:t>
      </w:r>
      <w:r>
        <w:rPr>
          <w:color w:val="4F576A"/>
          <w:sz w:val="28"/>
        </w:rPr>
        <w:t>Venture</w:t>
      </w:r>
      <w:r>
        <w:rPr>
          <w:color w:val="4F576A"/>
          <w:spacing w:val="-7"/>
          <w:sz w:val="28"/>
        </w:rPr>
        <w:t> </w:t>
      </w:r>
      <w:r>
        <w:rPr>
          <w:color w:val="4F576A"/>
          <w:sz w:val="28"/>
        </w:rPr>
        <w:t>Capital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Investors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(FVCIs)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5" w:val="left" w:leader="none"/>
        </w:tabs>
        <w:spacing w:line="300" w:lineRule="auto" w:before="81" w:after="0"/>
        <w:ind w:left="644" w:right="120" w:hanging="540"/>
        <w:jc w:val="left"/>
        <w:rPr>
          <w:sz w:val="28"/>
        </w:rPr>
      </w:pPr>
      <w:r>
        <w:rPr>
          <w:color w:val="4F576A"/>
          <w:sz w:val="28"/>
        </w:rPr>
        <w:t>Additional</w:t>
      </w:r>
      <w:r>
        <w:rPr>
          <w:color w:val="4F576A"/>
          <w:spacing w:val="16"/>
          <w:sz w:val="28"/>
        </w:rPr>
        <w:t> </w:t>
      </w:r>
      <w:r>
        <w:rPr>
          <w:color w:val="4F576A"/>
          <w:sz w:val="28"/>
        </w:rPr>
        <w:t>affirmations</w:t>
      </w:r>
      <w:r>
        <w:rPr>
          <w:color w:val="4F576A"/>
          <w:spacing w:val="18"/>
          <w:sz w:val="28"/>
        </w:rPr>
        <w:t> </w:t>
      </w:r>
      <w:r>
        <w:rPr>
          <w:color w:val="4F576A"/>
          <w:sz w:val="28"/>
        </w:rPr>
        <w:t>by</w:t>
      </w:r>
      <w:r>
        <w:rPr>
          <w:color w:val="4F576A"/>
          <w:spacing w:val="15"/>
          <w:sz w:val="28"/>
        </w:rPr>
        <w:t> </w:t>
      </w:r>
      <w:r>
        <w:rPr>
          <w:color w:val="4F576A"/>
          <w:sz w:val="28"/>
        </w:rPr>
        <w:t>Practicing</w:t>
      </w:r>
      <w:r>
        <w:rPr>
          <w:color w:val="4F576A"/>
          <w:spacing w:val="13"/>
          <w:sz w:val="28"/>
        </w:rPr>
        <w:t> </w:t>
      </w:r>
      <w:r>
        <w:rPr>
          <w:color w:val="4F576A"/>
          <w:sz w:val="28"/>
        </w:rPr>
        <w:t>Company</w:t>
      </w:r>
      <w:r>
        <w:rPr>
          <w:color w:val="4F576A"/>
          <w:spacing w:val="13"/>
          <w:sz w:val="28"/>
        </w:rPr>
        <w:t> </w:t>
      </w:r>
      <w:r>
        <w:rPr>
          <w:color w:val="4F576A"/>
          <w:sz w:val="28"/>
        </w:rPr>
        <w:t>Secretaries</w:t>
      </w:r>
      <w:r>
        <w:rPr>
          <w:color w:val="4F576A"/>
          <w:spacing w:val="18"/>
          <w:sz w:val="28"/>
        </w:rPr>
        <w:t> </w:t>
      </w:r>
      <w:r>
        <w:rPr>
          <w:color w:val="4F576A"/>
          <w:sz w:val="28"/>
        </w:rPr>
        <w:t>in</w:t>
      </w:r>
      <w:r>
        <w:rPr>
          <w:color w:val="4F576A"/>
          <w:spacing w:val="15"/>
          <w:sz w:val="28"/>
        </w:rPr>
        <w:t> </w:t>
      </w:r>
      <w:r>
        <w:rPr>
          <w:color w:val="4F576A"/>
          <w:sz w:val="28"/>
        </w:rPr>
        <w:t>Annual</w:t>
      </w:r>
      <w:r>
        <w:rPr>
          <w:color w:val="4F576A"/>
          <w:spacing w:val="16"/>
          <w:sz w:val="28"/>
        </w:rPr>
        <w:t> </w:t>
      </w:r>
      <w:r>
        <w:rPr>
          <w:color w:val="4F576A"/>
          <w:sz w:val="28"/>
        </w:rPr>
        <w:t>Secretarial</w:t>
      </w:r>
      <w:r>
        <w:rPr>
          <w:color w:val="4F576A"/>
          <w:spacing w:val="-75"/>
          <w:sz w:val="28"/>
        </w:rPr>
        <w:t> </w:t>
      </w:r>
      <w:r>
        <w:rPr>
          <w:color w:val="4F576A"/>
          <w:sz w:val="28"/>
        </w:rPr>
        <w:t>Compliance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Report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5" w:val="left" w:leader="none"/>
        </w:tabs>
        <w:spacing w:line="240" w:lineRule="auto" w:before="1" w:after="0"/>
        <w:ind w:left="644" w:right="0" w:hanging="541"/>
        <w:jc w:val="left"/>
        <w:rPr>
          <w:sz w:val="28"/>
        </w:rPr>
      </w:pPr>
      <w:r>
        <w:rPr>
          <w:color w:val="4F576A"/>
          <w:sz w:val="28"/>
        </w:rPr>
        <w:t>SEBI prescribes</w:t>
      </w:r>
      <w:r>
        <w:rPr>
          <w:color w:val="4F576A"/>
          <w:spacing w:val="-7"/>
          <w:sz w:val="28"/>
        </w:rPr>
        <w:t> </w:t>
      </w:r>
      <w:r>
        <w:rPr>
          <w:color w:val="4F576A"/>
          <w:sz w:val="28"/>
        </w:rPr>
        <w:t>time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limits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FPIs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to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disclose</w:t>
      </w:r>
      <w:r>
        <w:rPr>
          <w:color w:val="4F576A"/>
          <w:spacing w:val="-5"/>
          <w:sz w:val="28"/>
        </w:rPr>
        <w:t> </w:t>
      </w:r>
      <w:r>
        <w:rPr>
          <w:color w:val="4F576A"/>
          <w:sz w:val="28"/>
        </w:rPr>
        <w:t>information</w:t>
      </w:r>
      <w:r>
        <w:rPr>
          <w:color w:val="4F576A"/>
          <w:spacing w:val="-7"/>
          <w:sz w:val="28"/>
        </w:rPr>
        <w:t> </w:t>
      </w:r>
      <w:r>
        <w:rPr>
          <w:color w:val="4F576A"/>
          <w:sz w:val="28"/>
        </w:rPr>
        <w:t>to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Board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and</w:t>
      </w:r>
      <w:r>
        <w:rPr>
          <w:color w:val="4F576A"/>
          <w:spacing w:val="-3"/>
          <w:sz w:val="28"/>
        </w:rPr>
        <w:t> </w:t>
      </w:r>
      <w:r>
        <w:rPr>
          <w:color w:val="4F576A"/>
          <w:sz w:val="28"/>
        </w:rPr>
        <w:t>DPs</w:t>
      </w:r>
    </w:p>
    <w:p>
      <w:pPr>
        <w:pStyle w:val="BodyText"/>
        <w:spacing w:before="2"/>
        <w:rPr>
          <w:sz w:val="42"/>
        </w:rPr>
      </w:pPr>
    </w:p>
    <w:p>
      <w:pPr>
        <w:pStyle w:val="Heading4"/>
      </w:pPr>
      <w:r>
        <w:rPr>
          <w:color w:val="4F576A"/>
          <w:u w:val="thick" w:color="4F576A"/>
        </w:rPr>
        <w:t>POSH:</w:t>
      </w:r>
    </w:p>
    <w:p>
      <w:pPr>
        <w:pStyle w:val="BodyText"/>
        <w:tabs>
          <w:tab w:pos="644" w:val="left" w:leader="none"/>
        </w:tabs>
        <w:spacing w:before="82"/>
        <w:ind w:left="104"/>
      </w:pPr>
      <w:r>
        <w:rPr>
          <w:color w:val="4F576A"/>
        </w:rPr>
        <w:t>1.</w:t>
        <w:tab/>
        <w:t>Survey</w:t>
      </w:r>
      <w:r>
        <w:rPr>
          <w:color w:val="4F576A"/>
          <w:spacing w:val="-1"/>
        </w:rPr>
        <w:t> </w:t>
      </w:r>
      <w:r>
        <w:rPr>
          <w:color w:val="4F576A"/>
        </w:rPr>
        <w:t>reveals</w:t>
      </w:r>
      <w:r>
        <w:rPr>
          <w:color w:val="4F576A"/>
          <w:spacing w:val="-4"/>
        </w:rPr>
        <w:t> </w:t>
      </w:r>
      <w:r>
        <w:rPr>
          <w:color w:val="4F576A"/>
        </w:rPr>
        <w:t>only</w:t>
      </w:r>
      <w:r>
        <w:rPr>
          <w:color w:val="4F576A"/>
          <w:spacing w:val="-3"/>
        </w:rPr>
        <w:t> </w:t>
      </w:r>
      <w:r>
        <w:rPr>
          <w:color w:val="4F576A"/>
        </w:rPr>
        <w:t>8%</w:t>
      </w:r>
      <w:r>
        <w:rPr>
          <w:color w:val="4F576A"/>
          <w:spacing w:val="-3"/>
        </w:rPr>
        <w:t> </w:t>
      </w:r>
      <w:r>
        <w:rPr>
          <w:color w:val="4F576A"/>
        </w:rPr>
        <w:t>employees</w:t>
      </w:r>
      <w:r>
        <w:rPr>
          <w:color w:val="4F576A"/>
          <w:spacing w:val="-4"/>
        </w:rPr>
        <w:t> </w:t>
      </w:r>
      <w:r>
        <w:rPr>
          <w:color w:val="4F576A"/>
        </w:rPr>
        <w:t>aware</w:t>
      </w:r>
      <w:r>
        <w:rPr>
          <w:color w:val="4F576A"/>
          <w:spacing w:val="-1"/>
        </w:rPr>
        <w:t> </w:t>
      </w:r>
      <w:r>
        <w:rPr>
          <w:color w:val="4F576A"/>
        </w:rPr>
        <w:t>of</w:t>
      </w:r>
      <w:r>
        <w:rPr>
          <w:color w:val="4F576A"/>
          <w:spacing w:val="-4"/>
        </w:rPr>
        <w:t> </w:t>
      </w:r>
      <w:r>
        <w:rPr>
          <w:color w:val="4F576A"/>
        </w:rPr>
        <w:t>the</w:t>
      </w:r>
      <w:r>
        <w:rPr>
          <w:color w:val="4F576A"/>
          <w:spacing w:val="-5"/>
        </w:rPr>
        <w:t> </w:t>
      </w:r>
      <w:r>
        <w:rPr>
          <w:color w:val="4F576A"/>
        </w:rPr>
        <w:t>PoSH</w:t>
      </w:r>
      <w:r>
        <w:rPr>
          <w:color w:val="4F576A"/>
          <w:spacing w:val="-3"/>
        </w:rPr>
        <w:t> </w:t>
      </w:r>
      <w:r>
        <w:rPr>
          <w:color w:val="4F576A"/>
        </w:rPr>
        <w:t>Act</w:t>
      </w:r>
    </w:p>
    <w:p>
      <w:pPr>
        <w:pStyle w:val="BodyText"/>
        <w:spacing w:before="1"/>
        <w:rPr>
          <w:sz w:val="42"/>
        </w:rPr>
      </w:pPr>
    </w:p>
    <w:p>
      <w:pPr>
        <w:pStyle w:val="Heading4"/>
      </w:pPr>
      <w:r>
        <w:rPr>
          <w:color w:val="4F576A"/>
          <w:u w:val="thick" w:color="4F576A"/>
        </w:rPr>
        <w:t>Bar</w:t>
      </w:r>
      <w:r>
        <w:rPr>
          <w:color w:val="4F576A"/>
          <w:spacing w:val="-3"/>
          <w:u w:val="thick" w:color="4F576A"/>
        </w:rPr>
        <w:t> </w:t>
      </w:r>
      <w:r>
        <w:rPr>
          <w:color w:val="4F576A"/>
          <w:u w:val="thick" w:color="4F576A"/>
        </w:rPr>
        <w:t>Council</w:t>
      </w:r>
      <w:r>
        <w:rPr>
          <w:color w:val="4F576A"/>
          <w:spacing w:val="-7"/>
          <w:u w:val="thick" w:color="4F576A"/>
        </w:rPr>
        <w:t> </w:t>
      </w:r>
      <w:r>
        <w:rPr>
          <w:color w:val="4F576A"/>
          <w:u w:val="thick" w:color="4F576A"/>
        </w:rPr>
        <w:t>of</w:t>
      </w:r>
      <w:r>
        <w:rPr>
          <w:color w:val="4F576A"/>
          <w:spacing w:val="-3"/>
          <w:u w:val="thick" w:color="4F576A"/>
        </w:rPr>
        <w:t> </w:t>
      </w:r>
      <w:r>
        <w:rPr>
          <w:color w:val="4F576A"/>
          <w:u w:val="thick" w:color="4F576A"/>
        </w:rPr>
        <w:t>India</w:t>
      </w:r>
    </w:p>
    <w:p>
      <w:pPr>
        <w:pStyle w:val="BodyText"/>
        <w:tabs>
          <w:tab w:pos="644" w:val="left" w:leader="none"/>
        </w:tabs>
        <w:spacing w:before="81"/>
        <w:ind w:left="104"/>
      </w:pPr>
      <w:r>
        <w:rPr>
          <w:color w:val="4F576A"/>
        </w:rPr>
        <w:t>1.</w:t>
        <w:tab/>
        <w:t>Bar</w:t>
      </w:r>
      <w:r>
        <w:rPr>
          <w:color w:val="4F576A"/>
          <w:spacing w:val="-2"/>
        </w:rPr>
        <w:t> </w:t>
      </w:r>
      <w:r>
        <w:rPr>
          <w:color w:val="4F576A"/>
        </w:rPr>
        <w:t>Council</w:t>
      </w:r>
      <w:r>
        <w:rPr>
          <w:color w:val="4F576A"/>
          <w:spacing w:val="-6"/>
        </w:rPr>
        <w:t> </w:t>
      </w:r>
      <w:r>
        <w:rPr>
          <w:color w:val="4F576A"/>
        </w:rPr>
        <w:t>Allows</w:t>
      </w:r>
      <w:r>
        <w:rPr>
          <w:color w:val="4F576A"/>
          <w:spacing w:val="2"/>
        </w:rPr>
        <w:t> </w:t>
      </w:r>
      <w:r>
        <w:rPr>
          <w:color w:val="4F576A"/>
        </w:rPr>
        <w:t>Foreign</w:t>
      </w:r>
      <w:r>
        <w:rPr>
          <w:color w:val="4F576A"/>
          <w:spacing w:val="-7"/>
        </w:rPr>
        <w:t> </w:t>
      </w:r>
      <w:r>
        <w:rPr>
          <w:color w:val="4F576A"/>
        </w:rPr>
        <w:t>Lawyers, Law</w:t>
      </w:r>
      <w:r>
        <w:rPr>
          <w:color w:val="4F576A"/>
          <w:spacing w:val="-3"/>
        </w:rPr>
        <w:t> </w:t>
      </w:r>
      <w:r>
        <w:rPr>
          <w:color w:val="4F576A"/>
        </w:rPr>
        <w:t>Firms</w:t>
      </w:r>
      <w:r>
        <w:rPr>
          <w:color w:val="4F576A"/>
          <w:spacing w:val="-3"/>
        </w:rPr>
        <w:t> </w:t>
      </w:r>
      <w:r>
        <w:rPr>
          <w:color w:val="4F576A"/>
        </w:rPr>
        <w:t>To</w:t>
      </w:r>
      <w:r>
        <w:rPr>
          <w:color w:val="4F576A"/>
          <w:spacing w:val="-2"/>
        </w:rPr>
        <w:t> </w:t>
      </w:r>
      <w:r>
        <w:rPr>
          <w:color w:val="4F576A"/>
        </w:rPr>
        <w:t>Practice</w:t>
      </w:r>
      <w:r>
        <w:rPr>
          <w:color w:val="4F576A"/>
          <w:spacing w:val="-7"/>
        </w:rPr>
        <w:t> </w:t>
      </w:r>
      <w:r>
        <w:rPr>
          <w:color w:val="4F576A"/>
        </w:rPr>
        <w:t>in</w:t>
      </w:r>
      <w:r>
        <w:rPr>
          <w:color w:val="4F576A"/>
          <w:spacing w:val="-2"/>
        </w:rPr>
        <w:t> </w:t>
      </w:r>
      <w:r>
        <w:rPr>
          <w:color w:val="4F576A"/>
        </w:rPr>
        <w:t>India</w:t>
      </w:r>
    </w:p>
    <w:p>
      <w:pPr>
        <w:pStyle w:val="BodyText"/>
        <w:spacing w:before="2"/>
        <w:rPr>
          <w:sz w:val="42"/>
        </w:rPr>
      </w:pPr>
    </w:p>
    <w:p>
      <w:pPr>
        <w:pStyle w:val="Heading4"/>
      </w:pPr>
      <w:r>
        <w:rPr>
          <w:color w:val="4F576A"/>
          <w:u w:val="thick" w:color="4F576A"/>
        </w:rPr>
        <w:t>Insolvency</w:t>
      </w:r>
      <w:r>
        <w:rPr>
          <w:color w:val="4F576A"/>
          <w:spacing w:val="-9"/>
          <w:u w:val="thick" w:color="4F576A"/>
        </w:rPr>
        <w:t> </w:t>
      </w:r>
      <w:r>
        <w:rPr>
          <w:color w:val="4F576A"/>
          <w:u w:val="thick" w:color="4F576A"/>
        </w:rPr>
        <w:t>Law:</w:t>
      </w:r>
    </w:p>
    <w:p>
      <w:pPr>
        <w:pStyle w:val="BodyText"/>
        <w:spacing w:before="81"/>
        <w:ind w:left="104"/>
      </w:pPr>
      <w:r>
        <w:rPr>
          <w:color w:val="4F576A"/>
        </w:rPr>
        <w:t>IBBI</w:t>
      </w:r>
      <w:r>
        <w:rPr>
          <w:color w:val="4F576A"/>
          <w:spacing w:val="-3"/>
        </w:rPr>
        <w:t> </w:t>
      </w:r>
      <w:r>
        <w:rPr>
          <w:color w:val="4F576A"/>
        </w:rPr>
        <w:t>revises</w:t>
      </w:r>
      <w:r>
        <w:rPr>
          <w:color w:val="4F576A"/>
          <w:spacing w:val="-2"/>
        </w:rPr>
        <w:t> </w:t>
      </w:r>
      <w:r>
        <w:rPr>
          <w:color w:val="4F576A"/>
        </w:rPr>
        <w:t>format</w:t>
      </w:r>
      <w:r>
        <w:rPr>
          <w:color w:val="4F576A"/>
          <w:spacing w:val="-4"/>
        </w:rPr>
        <w:t> </w:t>
      </w:r>
      <w:r>
        <w:rPr>
          <w:color w:val="4F576A"/>
        </w:rPr>
        <w:t>for</w:t>
      </w:r>
      <w:r>
        <w:rPr>
          <w:color w:val="4F576A"/>
          <w:spacing w:val="-6"/>
        </w:rPr>
        <w:t> </w:t>
      </w:r>
      <w:r>
        <w:rPr>
          <w:color w:val="4F576A"/>
        </w:rPr>
        <w:t>serving copy</w:t>
      </w:r>
      <w:r>
        <w:rPr>
          <w:color w:val="4F576A"/>
          <w:spacing w:val="-5"/>
        </w:rPr>
        <w:t> </w:t>
      </w:r>
      <w:r>
        <w:rPr>
          <w:color w:val="4F576A"/>
        </w:rPr>
        <w:t>of</w:t>
      </w:r>
      <w:r>
        <w:rPr>
          <w:color w:val="4F576A"/>
          <w:spacing w:val="-3"/>
        </w:rPr>
        <w:t> </w:t>
      </w:r>
      <w:r>
        <w:rPr>
          <w:color w:val="4F576A"/>
        </w:rPr>
        <w:t>application</w:t>
      </w:r>
      <w:r>
        <w:rPr>
          <w:color w:val="4F576A"/>
          <w:spacing w:val="-9"/>
        </w:rPr>
        <w:t> </w:t>
      </w:r>
      <w:r>
        <w:rPr>
          <w:color w:val="4F576A"/>
        </w:rPr>
        <w:t>to</w:t>
      </w:r>
      <w:r>
        <w:rPr>
          <w:color w:val="4F576A"/>
          <w:spacing w:val="-2"/>
        </w:rPr>
        <w:t> </w:t>
      </w:r>
      <w:r>
        <w:rPr>
          <w:color w:val="4F576A"/>
        </w:rPr>
        <w:t>Board.</w:t>
      </w:r>
    </w:p>
    <w:p>
      <w:pPr>
        <w:pStyle w:val="BodyText"/>
        <w:spacing w:before="1"/>
        <w:rPr>
          <w:sz w:val="42"/>
        </w:rPr>
      </w:pPr>
    </w:p>
    <w:p>
      <w:pPr>
        <w:pStyle w:val="Heading4"/>
        <w:spacing w:before="1"/>
      </w:pPr>
      <w:r>
        <w:rPr>
          <w:color w:val="4F576A"/>
          <w:u w:val="thick" w:color="4F576A"/>
        </w:rPr>
        <w:t>Case</w:t>
      </w:r>
      <w:r>
        <w:rPr>
          <w:color w:val="4F576A"/>
          <w:spacing w:val="-2"/>
          <w:u w:val="thick" w:color="4F576A"/>
        </w:rPr>
        <w:t> </w:t>
      </w:r>
      <w:r>
        <w:rPr>
          <w:color w:val="4F576A"/>
          <w:u w:val="thick" w:color="4F576A"/>
        </w:rPr>
        <w:t>Laws:</w:t>
      </w:r>
    </w:p>
    <w:p>
      <w:pPr>
        <w:pStyle w:val="BodyText"/>
        <w:spacing w:before="81"/>
        <w:ind w:left="104"/>
      </w:pPr>
      <w:r>
        <w:rPr>
          <w:color w:val="4F576A"/>
          <w:u w:val="thick" w:color="4F576A"/>
        </w:rPr>
        <w:t>Company</w:t>
      </w:r>
      <w:r>
        <w:rPr>
          <w:color w:val="4F576A"/>
          <w:spacing w:val="-7"/>
          <w:u w:val="thick" w:color="4F576A"/>
        </w:rPr>
        <w:t> </w:t>
      </w:r>
      <w:r>
        <w:rPr>
          <w:color w:val="4F576A"/>
          <w:u w:val="thick" w:color="4F576A"/>
        </w:rPr>
        <w:t>law:</w:t>
      </w:r>
    </w:p>
    <w:p>
      <w:pPr>
        <w:pStyle w:val="ListParagraph"/>
        <w:numPr>
          <w:ilvl w:val="0"/>
          <w:numId w:val="2"/>
        </w:numPr>
        <w:tabs>
          <w:tab w:pos="415" w:val="left" w:leader="none"/>
        </w:tabs>
        <w:spacing w:line="240" w:lineRule="auto" w:before="81" w:after="0"/>
        <w:ind w:left="414" w:right="0" w:hanging="311"/>
        <w:jc w:val="left"/>
        <w:rPr>
          <w:sz w:val="28"/>
        </w:rPr>
      </w:pPr>
      <w:r>
        <w:rPr>
          <w:color w:val="4F576A"/>
          <w:sz w:val="28"/>
        </w:rPr>
        <w:t>Regulator</w:t>
      </w:r>
      <w:r>
        <w:rPr>
          <w:color w:val="4F576A"/>
          <w:spacing w:val="-5"/>
          <w:sz w:val="28"/>
        </w:rPr>
        <w:t> </w:t>
      </w:r>
      <w:r>
        <w:rPr>
          <w:color w:val="4F576A"/>
          <w:sz w:val="28"/>
        </w:rPr>
        <w:t>disapproves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of</w:t>
      </w:r>
      <w:r>
        <w:rPr>
          <w:color w:val="4F576A"/>
          <w:spacing w:val="-3"/>
          <w:sz w:val="28"/>
        </w:rPr>
        <w:t> </w:t>
      </w:r>
      <w:r>
        <w:rPr>
          <w:color w:val="4F576A"/>
          <w:sz w:val="28"/>
        </w:rPr>
        <w:t>crowdfunding</w:t>
      </w:r>
      <w:r>
        <w:rPr>
          <w:color w:val="4F576A"/>
          <w:spacing w:val="-8"/>
          <w:sz w:val="28"/>
        </w:rPr>
        <w:t> </w:t>
      </w:r>
      <w:r>
        <w:rPr>
          <w:color w:val="4F576A"/>
          <w:sz w:val="28"/>
        </w:rPr>
        <w:t>by</w:t>
      </w:r>
      <w:r>
        <w:rPr>
          <w:color w:val="4F576A"/>
          <w:spacing w:val="-3"/>
          <w:sz w:val="28"/>
        </w:rPr>
        <w:t> </w:t>
      </w:r>
      <w:r>
        <w:rPr>
          <w:color w:val="4F576A"/>
          <w:sz w:val="28"/>
        </w:rPr>
        <w:t>startups</w:t>
      </w:r>
    </w:p>
    <w:p>
      <w:pPr>
        <w:pStyle w:val="ListParagraph"/>
        <w:numPr>
          <w:ilvl w:val="0"/>
          <w:numId w:val="2"/>
        </w:numPr>
        <w:tabs>
          <w:tab w:pos="415" w:val="left" w:leader="none"/>
        </w:tabs>
        <w:spacing w:line="300" w:lineRule="auto" w:before="82" w:after="0"/>
        <w:ind w:left="104" w:right="1571" w:firstLine="0"/>
        <w:jc w:val="left"/>
        <w:rPr>
          <w:sz w:val="28"/>
        </w:rPr>
      </w:pPr>
      <w:r>
        <w:rPr>
          <w:color w:val="4F576A"/>
          <w:sz w:val="28"/>
        </w:rPr>
        <w:t>Penalty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imposed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-3"/>
          <w:sz w:val="28"/>
        </w:rPr>
        <w:t> </w:t>
      </w:r>
      <w:r>
        <w:rPr>
          <w:color w:val="4F576A"/>
          <w:sz w:val="28"/>
        </w:rPr>
        <w:t>not</w:t>
      </w:r>
      <w:r>
        <w:rPr>
          <w:color w:val="4F576A"/>
          <w:spacing w:val="-5"/>
          <w:sz w:val="28"/>
        </w:rPr>
        <w:t> </w:t>
      </w:r>
      <w:r>
        <w:rPr>
          <w:color w:val="4F576A"/>
          <w:sz w:val="28"/>
        </w:rPr>
        <w:t>numbering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Board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meeting</w:t>
      </w:r>
      <w:r>
        <w:rPr>
          <w:color w:val="4F576A"/>
          <w:spacing w:val="-5"/>
          <w:sz w:val="28"/>
        </w:rPr>
        <w:t> </w:t>
      </w:r>
      <w:r>
        <w:rPr>
          <w:color w:val="4F576A"/>
          <w:sz w:val="28"/>
        </w:rPr>
        <w:t>&amp;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Pages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in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Minutes.</w:t>
      </w:r>
      <w:r>
        <w:rPr>
          <w:color w:val="4F576A"/>
          <w:spacing w:val="-75"/>
          <w:sz w:val="28"/>
        </w:rPr>
        <w:t> </w:t>
      </w:r>
      <w:r>
        <w:rPr>
          <w:color w:val="4F576A"/>
          <w:sz w:val="28"/>
          <w:u w:val="thick" w:color="4F576A"/>
        </w:rPr>
        <w:t>Insolvency</w:t>
      </w:r>
      <w:r>
        <w:rPr>
          <w:color w:val="4F576A"/>
          <w:spacing w:val="-7"/>
          <w:sz w:val="28"/>
          <w:u w:val="thick" w:color="4F576A"/>
        </w:rPr>
        <w:t> </w:t>
      </w:r>
      <w:r>
        <w:rPr>
          <w:color w:val="4F576A"/>
          <w:sz w:val="28"/>
          <w:u w:val="thick" w:color="4F576A"/>
        </w:rPr>
        <w:t>Law:</w:t>
      </w:r>
    </w:p>
    <w:p>
      <w:pPr>
        <w:pStyle w:val="ListParagraph"/>
        <w:numPr>
          <w:ilvl w:val="0"/>
          <w:numId w:val="2"/>
        </w:numPr>
        <w:tabs>
          <w:tab w:pos="494" w:val="left" w:leader="none"/>
        </w:tabs>
        <w:spacing w:line="300" w:lineRule="auto" w:before="1" w:after="0"/>
        <w:ind w:left="104" w:right="119" w:firstLine="0"/>
        <w:jc w:val="left"/>
        <w:rPr>
          <w:sz w:val="28"/>
        </w:rPr>
      </w:pPr>
      <w:r>
        <w:rPr>
          <w:color w:val="4F576A"/>
          <w:sz w:val="28"/>
        </w:rPr>
        <w:t>SC</w:t>
      </w:r>
      <w:r>
        <w:rPr>
          <w:color w:val="4F576A"/>
          <w:spacing w:val="73"/>
          <w:sz w:val="28"/>
        </w:rPr>
        <w:t> </w:t>
      </w:r>
      <w:r>
        <w:rPr>
          <w:color w:val="4F576A"/>
          <w:sz w:val="28"/>
        </w:rPr>
        <w:t>clarifies,</w:t>
      </w:r>
      <w:r>
        <w:rPr>
          <w:color w:val="4F576A"/>
          <w:spacing w:val="76"/>
          <w:sz w:val="28"/>
        </w:rPr>
        <w:t> </w:t>
      </w:r>
      <w:r>
        <w:rPr>
          <w:color w:val="4F576A"/>
          <w:sz w:val="28"/>
        </w:rPr>
        <w:t>Extinguishment</w:t>
      </w:r>
      <w:r>
        <w:rPr>
          <w:color w:val="4F576A"/>
          <w:spacing w:val="74"/>
          <w:sz w:val="28"/>
        </w:rPr>
        <w:t> </w:t>
      </w:r>
      <w:r>
        <w:rPr>
          <w:color w:val="4F576A"/>
          <w:sz w:val="28"/>
        </w:rPr>
        <w:t>of</w:t>
      </w:r>
      <w:r>
        <w:rPr>
          <w:color w:val="4F576A"/>
          <w:spacing w:val="74"/>
          <w:sz w:val="28"/>
        </w:rPr>
        <w:t> </w:t>
      </w:r>
      <w:r>
        <w:rPr>
          <w:color w:val="4F576A"/>
          <w:sz w:val="28"/>
        </w:rPr>
        <w:t>Debt</w:t>
      </w:r>
      <w:r>
        <w:rPr>
          <w:color w:val="4F576A"/>
          <w:spacing w:val="74"/>
          <w:sz w:val="28"/>
        </w:rPr>
        <w:t> </w:t>
      </w:r>
      <w:r>
        <w:rPr>
          <w:color w:val="4F576A"/>
          <w:sz w:val="28"/>
        </w:rPr>
        <w:t>under</w:t>
      </w:r>
      <w:r>
        <w:rPr>
          <w:color w:val="4F576A"/>
          <w:spacing w:val="69"/>
          <w:sz w:val="28"/>
        </w:rPr>
        <w:t> </w:t>
      </w:r>
      <w:r>
        <w:rPr>
          <w:color w:val="4F576A"/>
          <w:sz w:val="28"/>
        </w:rPr>
        <w:t>IBC</w:t>
      </w:r>
      <w:r>
        <w:rPr>
          <w:color w:val="4F576A"/>
          <w:spacing w:val="74"/>
          <w:sz w:val="28"/>
        </w:rPr>
        <w:t> </w:t>
      </w:r>
      <w:r>
        <w:rPr>
          <w:color w:val="4F576A"/>
          <w:sz w:val="28"/>
        </w:rPr>
        <w:t>will  not</w:t>
      </w:r>
      <w:r>
        <w:rPr>
          <w:color w:val="4F576A"/>
          <w:spacing w:val="72"/>
          <w:sz w:val="28"/>
        </w:rPr>
        <w:t> </w:t>
      </w:r>
      <w:r>
        <w:rPr>
          <w:color w:val="4F576A"/>
          <w:sz w:val="28"/>
        </w:rPr>
        <w:t>lead</w:t>
      </w:r>
      <w:r>
        <w:rPr>
          <w:color w:val="4F576A"/>
          <w:spacing w:val="72"/>
          <w:sz w:val="28"/>
        </w:rPr>
        <w:t> </w:t>
      </w:r>
      <w:r>
        <w:rPr>
          <w:color w:val="4F576A"/>
          <w:sz w:val="28"/>
        </w:rPr>
        <w:t>to</w:t>
      </w:r>
      <w:r>
        <w:rPr>
          <w:color w:val="4F576A"/>
          <w:spacing w:val="72"/>
          <w:sz w:val="28"/>
        </w:rPr>
        <w:t> </w:t>
      </w:r>
      <w:r>
        <w:rPr>
          <w:color w:val="4F576A"/>
          <w:sz w:val="28"/>
        </w:rPr>
        <w:t>discharge</w:t>
      </w:r>
      <w:r>
        <w:rPr>
          <w:color w:val="4F576A"/>
          <w:spacing w:val="72"/>
          <w:sz w:val="28"/>
        </w:rPr>
        <w:t> </w:t>
      </w:r>
      <w:r>
        <w:rPr>
          <w:color w:val="4F576A"/>
          <w:sz w:val="28"/>
        </w:rPr>
        <w:t>of</w:t>
      </w:r>
      <w:r>
        <w:rPr>
          <w:color w:val="4F576A"/>
          <w:spacing w:val="-75"/>
          <w:sz w:val="28"/>
        </w:rPr>
        <w:t> </w:t>
      </w:r>
      <w:r>
        <w:rPr>
          <w:color w:val="4F576A"/>
          <w:sz w:val="28"/>
        </w:rPr>
        <w:t>Criminal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Charges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under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Negotiable</w:t>
      </w:r>
      <w:r>
        <w:rPr>
          <w:color w:val="4F576A"/>
          <w:spacing w:val="-8"/>
          <w:sz w:val="28"/>
        </w:rPr>
        <w:t> </w:t>
      </w:r>
      <w:r>
        <w:rPr>
          <w:color w:val="4F576A"/>
          <w:sz w:val="28"/>
        </w:rPr>
        <w:t>Instrument</w:t>
      </w:r>
      <w:r>
        <w:rPr>
          <w:color w:val="4F576A"/>
          <w:spacing w:val="-9"/>
          <w:sz w:val="28"/>
        </w:rPr>
        <w:t> </w:t>
      </w:r>
      <w:r>
        <w:rPr>
          <w:color w:val="4F576A"/>
          <w:sz w:val="28"/>
        </w:rPr>
        <w:t>Act.</w:t>
      </w:r>
    </w:p>
    <w:p>
      <w:pPr>
        <w:pStyle w:val="BodyText"/>
        <w:spacing w:before="2"/>
        <w:ind w:left="104"/>
      </w:pPr>
      <w:r>
        <w:rPr>
          <w:color w:val="4F576A"/>
          <w:u w:val="thick" w:color="4F576A"/>
        </w:rPr>
        <w:t>POSH:</w:t>
      </w:r>
    </w:p>
    <w:p>
      <w:pPr>
        <w:pStyle w:val="ListParagraph"/>
        <w:numPr>
          <w:ilvl w:val="0"/>
          <w:numId w:val="2"/>
        </w:numPr>
        <w:tabs>
          <w:tab w:pos="446" w:val="left" w:leader="none"/>
          <w:tab w:pos="5405" w:val="left" w:leader="none"/>
        </w:tabs>
        <w:spacing w:line="300" w:lineRule="auto" w:before="81" w:after="0"/>
        <w:ind w:left="104" w:right="120" w:firstLine="0"/>
        <w:jc w:val="left"/>
        <w:rPr>
          <w:sz w:val="28"/>
        </w:rPr>
      </w:pPr>
      <w:r>
        <w:rPr>
          <w:color w:val="4F576A"/>
          <w:sz w:val="28"/>
        </w:rPr>
        <w:t>Bombay</w:t>
      </w:r>
      <w:r>
        <w:rPr>
          <w:color w:val="4F576A"/>
          <w:spacing w:val="25"/>
          <w:sz w:val="28"/>
        </w:rPr>
        <w:t> </w:t>
      </w:r>
      <w:r>
        <w:rPr>
          <w:color w:val="4F576A"/>
          <w:sz w:val="28"/>
        </w:rPr>
        <w:t>HC</w:t>
      </w:r>
      <w:r>
        <w:rPr>
          <w:color w:val="4F576A"/>
          <w:spacing w:val="27"/>
          <w:sz w:val="28"/>
        </w:rPr>
        <w:t> </w:t>
      </w:r>
      <w:r>
        <w:rPr>
          <w:color w:val="4F576A"/>
          <w:sz w:val="28"/>
        </w:rPr>
        <w:t>quashed</w:t>
      </w:r>
      <w:r>
        <w:rPr>
          <w:color w:val="4F576A"/>
          <w:spacing w:val="28"/>
          <w:sz w:val="28"/>
        </w:rPr>
        <w:t> </w:t>
      </w:r>
      <w:r>
        <w:rPr>
          <w:color w:val="4F576A"/>
          <w:sz w:val="28"/>
        </w:rPr>
        <w:t>POSH</w:t>
      </w:r>
      <w:r>
        <w:rPr>
          <w:color w:val="4F576A"/>
          <w:spacing w:val="27"/>
          <w:sz w:val="28"/>
        </w:rPr>
        <w:t> </w:t>
      </w:r>
      <w:r>
        <w:rPr>
          <w:color w:val="4F576A"/>
          <w:sz w:val="28"/>
        </w:rPr>
        <w:t>FIR</w:t>
      </w:r>
      <w:r>
        <w:rPr>
          <w:color w:val="4F576A"/>
          <w:spacing w:val="24"/>
          <w:sz w:val="28"/>
        </w:rPr>
        <w:t> </w:t>
      </w:r>
      <w:r>
        <w:rPr>
          <w:color w:val="4F576A"/>
          <w:sz w:val="28"/>
        </w:rPr>
        <w:t>and</w:t>
        <w:tab/>
        <w:t>directs</w:t>
      </w:r>
      <w:r>
        <w:rPr>
          <w:color w:val="4F576A"/>
          <w:spacing w:val="25"/>
          <w:sz w:val="28"/>
        </w:rPr>
        <w:t> </w:t>
      </w:r>
      <w:r>
        <w:rPr>
          <w:color w:val="4F576A"/>
          <w:sz w:val="28"/>
        </w:rPr>
        <w:t>ex-executive</w:t>
      </w:r>
      <w:r>
        <w:rPr>
          <w:color w:val="4F576A"/>
          <w:spacing w:val="28"/>
          <w:sz w:val="28"/>
        </w:rPr>
        <w:t> </w:t>
      </w:r>
      <w:r>
        <w:rPr>
          <w:color w:val="4F576A"/>
          <w:sz w:val="28"/>
        </w:rPr>
        <w:t>to</w:t>
      </w:r>
      <w:r>
        <w:rPr>
          <w:color w:val="4F576A"/>
          <w:spacing w:val="23"/>
          <w:sz w:val="28"/>
        </w:rPr>
        <w:t> </w:t>
      </w:r>
      <w:r>
        <w:rPr>
          <w:color w:val="4F576A"/>
          <w:sz w:val="28"/>
        </w:rPr>
        <w:t>pay</w:t>
      </w:r>
      <w:r>
        <w:rPr>
          <w:color w:val="4F576A"/>
          <w:spacing w:val="22"/>
          <w:sz w:val="28"/>
        </w:rPr>
        <w:t> </w:t>
      </w:r>
      <w:r>
        <w:rPr>
          <w:color w:val="4F576A"/>
          <w:sz w:val="28"/>
        </w:rPr>
        <w:t>charities</w:t>
      </w:r>
      <w:r>
        <w:rPr>
          <w:color w:val="4F576A"/>
          <w:spacing w:val="25"/>
          <w:sz w:val="28"/>
        </w:rPr>
        <w:t> </w:t>
      </w:r>
      <w:r>
        <w:rPr>
          <w:color w:val="4F576A"/>
          <w:sz w:val="28"/>
        </w:rPr>
        <w:t>Rs</w:t>
      </w:r>
      <w:r>
        <w:rPr>
          <w:color w:val="4F576A"/>
          <w:spacing w:val="25"/>
          <w:sz w:val="28"/>
        </w:rPr>
        <w:t> </w:t>
      </w:r>
      <w:r>
        <w:rPr>
          <w:color w:val="4F576A"/>
          <w:sz w:val="28"/>
        </w:rPr>
        <w:t>1</w:t>
      </w:r>
      <w:r>
        <w:rPr>
          <w:color w:val="4F576A"/>
          <w:spacing w:val="-74"/>
          <w:sz w:val="28"/>
        </w:rPr>
        <w:t> </w:t>
      </w:r>
      <w:r>
        <w:rPr>
          <w:color w:val="4F576A"/>
          <w:sz w:val="28"/>
        </w:rPr>
        <w:t>lakh.</w:t>
      </w:r>
    </w:p>
    <w:p>
      <w:pPr>
        <w:pStyle w:val="Heading4"/>
        <w:spacing w:before="1"/>
      </w:pPr>
      <w:r>
        <w:rPr/>
        <w:pict>
          <v:group style="position:absolute;margin-left:0pt;margin-top:44.741657pt;width:539.950pt;height:20.4pt;mso-position-horizontal-relative:page;mso-position-vertical-relative:paragraph;z-index:15730688" coordorigin="0,895" coordsize="10799,408">
            <v:rect style="position:absolute;left:0;top:894;width:10799;height:408" filled="true" fillcolor="#36394f" stroked="false">
              <v:fill type="solid"/>
            </v:rect>
            <v:shape style="position:absolute;left:117;top:919;width:2006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MARCH</w:t>
                    </w:r>
                    <w:r>
                      <w:rPr>
                        <w:rFonts w:ascii="Arial"/>
                        <w:b/>
                        <w:color w:val="EBCF6A"/>
                        <w:spacing w:val="5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6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503;top:919;width:3131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F576A"/>
          <w:u w:val="thick" w:color="4F576A"/>
        </w:rPr>
        <w:t>Due</w:t>
      </w:r>
      <w:r>
        <w:rPr>
          <w:color w:val="4F576A"/>
          <w:spacing w:val="-4"/>
          <w:u w:val="thick" w:color="4F576A"/>
        </w:rPr>
        <w:t> </w:t>
      </w:r>
      <w:r>
        <w:rPr>
          <w:color w:val="4F576A"/>
          <w:u w:val="thick" w:color="4F576A"/>
        </w:rPr>
        <w:t>Dates</w:t>
      </w:r>
    </w:p>
    <w:p>
      <w:pPr>
        <w:spacing w:after="0"/>
        <w:sectPr>
          <w:type w:val="continuous"/>
          <w:pgSz w:w="10800" w:h="19200"/>
          <w:pgMar w:top="0" w:bottom="0" w:left="20" w:right="0"/>
        </w:sectPr>
      </w:pPr>
    </w:p>
    <w:p>
      <w:pPr>
        <w:tabs>
          <w:tab w:pos="4897" w:val="left" w:leader="none"/>
        </w:tabs>
        <w:spacing w:line="240" w:lineRule="auto"/>
        <w:ind w:left="450" w:right="0" w:firstLine="0"/>
        <w:rPr>
          <w:rFonts w:ascii="Arial"/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100352" filled="true" fillcolor="#fdfcf8" stroked="false">
            <v:fill type="solid"/>
            <w10:wrap type="none"/>
          </v:rect>
        </w:pict>
      </w:r>
      <w:r>
        <w:rPr>
          <w:rFonts w:ascii="Arial"/>
          <w:position w:val="22"/>
          <w:sz w:val="20"/>
        </w:rPr>
        <w:drawing>
          <wp:inline distT="0" distB="0" distL="0" distR="0">
            <wp:extent cx="2553150" cy="1491233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3150" cy="149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22"/>
          <w:sz w:val="20"/>
        </w:rPr>
      </w:r>
      <w:r>
        <w:rPr>
          <w:rFonts w:ascii="Arial"/>
          <w:position w:val="22"/>
          <w:sz w:val="20"/>
        </w:rPr>
        <w:tab/>
      </w:r>
      <w:r>
        <w:rPr>
          <w:rFonts w:ascii="Arial"/>
          <w:sz w:val="20"/>
        </w:rPr>
        <w:pict>
          <v:group style="width:275.2pt;height:158.8pt;mso-position-horizontal-relative:char;mso-position-vertical-relative:line" coordorigin="0,0" coordsize="5504,3176">
            <v:rect style="position:absolute;left:4214;top:0;width:860;height:2669" filled="true" fillcolor="#ebcf6a" stroked="false">
              <v:fill type="solid"/>
            </v:rect>
            <v:shape style="position:absolute;left:3564;top:299;width:1786;height:1798" type="#_x0000_t75" stroked="false">
              <v:imagedata r:id="rId5" o:title=""/>
            </v:shape>
            <v:shape style="position:absolute;left:0;top:2668;width:5504;height:508" type="#_x0000_t202" filled="true" fillcolor="#394558" stroked="false">
              <v:textbox inset="0,0,0,0">
                <w:txbxContent>
                  <w:p>
                    <w:pPr>
                      <w:spacing w:before="14"/>
                      <w:ind w:left="1287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bookmarkStart w:name="Slide 2" w:id="2"/>
                    <w:bookmarkEnd w:id="2"/>
                    <w:r>
                      <w:rPr/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COMPANY</w:t>
                    </w:r>
                    <w:r>
                      <w:rPr>
                        <w:rFonts w:ascii="Arial"/>
                        <w:b/>
                        <w:color w:val="EBCF6A"/>
                        <w:spacing w:val="-2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LAW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5"/>
        </w:rPr>
      </w:pPr>
    </w:p>
    <w:p>
      <w:pPr>
        <w:pStyle w:val="ListParagraph"/>
        <w:numPr>
          <w:ilvl w:val="1"/>
          <w:numId w:val="2"/>
        </w:numPr>
        <w:tabs>
          <w:tab w:pos="598" w:val="left" w:leader="none"/>
        </w:tabs>
        <w:spacing w:line="300" w:lineRule="auto" w:before="89" w:after="0"/>
        <w:ind w:left="220" w:right="269" w:firstLine="0"/>
        <w:jc w:val="left"/>
        <w:rPr>
          <w:rFonts w:ascii="Arial"/>
          <w:b/>
          <w:sz w:val="32"/>
        </w:rPr>
      </w:pPr>
      <w:r>
        <w:rPr/>
        <w:pict>
          <v:rect style="position:absolute;margin-left:456.600006pt;margin-top:-22.902178pt;width:42.96pt;height:2.280pt;mso-position-horizontal-relative:page;mso-position-vertical-relative:paragraph;z-index:15732736" filled="true" fillcolor="#ebcf6a" stroked="false">
            <v:fill type="solid"/>
            <w10:wrap type="none"/>
          </v:rect>
        </w:pict>
      </w:r>
      <w:r>
        <w:rPr>
          <w:rFonts w:ascii="Arial"/>
          <w:b/>
          <w:sz w:val="32"/>
          <w:u w:val="thick"/>
        </w:rPr>
        <w:t>MCA establishes</w:t>
      </w:r>
      <w:r>
        <w:rPr>
          <w:rFonts w:ascii="Arial"/>
          <w:b/>
          <w:spacing w:val="18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a</w:t>
      </w:r>
      <w:r>
        <w:rPr>
          <w:rFonts w:ascii="Arial"/>
          <w:b/>
          <w:spacing w:val="19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Centre</w:t>
      </w:r>
      <w:r>
        <w:rPr>
          <w:rFonts w:ascii="Arial"/>
          <w:b/>
          <w:spacing w:val="22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for</w:t>
      </w:r>
      <w:r>
        <w:rPr>
          <w:rFonts w:ascii="Arial"/>
          <w:b/>
          <w:spacing w:val="18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Processing</w:t>
      </w:r>
      <w:r>
        <w:rPr>
          <w:rFonts w:ascii="Arial"/>
          <w:b/>
          <w:spacing w:val="24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Accelerated</w:t>
      </w:r>
      <w:r>
        <w:rPr>
          <w:rFonts w:ascii="Arial"/>
          <w:b/>
          <w:spacing w:val="19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Corporate</w:t>
      </w:r>
      <w:r>
        <w:rPr>
          <w:rFonts w:ascii="Arial"/>
          <w:b/>
          <w:spacing w:val="-86"/>
          <w:sz w:val="32"/>
        </w:rPr>
        <w:t> </w:t>
      </w:r>
      <w:r>
        <w:rPr>
          <w:rFonts w:ascii="Arial"/>
          <w:b/>
          <w:sz w:val="32"/>
          <w:u w:val="thick"/>
        </w:rPr>
        <w:t>Exit</w:t>
      </w:r>
      <w:r>
        <w:rPr>
          <w:rFonts w:ascii="Arial"/>
          <w:b/>
          <w:spacing w:val="1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(C-PACE)</w:t>
      </w:r>
    </w:p>
    <w:p>
      <w:pPr>
        <w:pStyle w:val="BodyText"/>
        <w:spacing w:before="8"/>
        <w:rPr>
          <w:rFonts w:ascii="Arial"/>
          <w:b/>
          <w:sz w:val="34"/>
        </w:rPr>
      </w:pPr>
    </w:p>
    <w:p>
      <w:pPr>
        <w:pStyle w:val="ListParagraph"/>
        <w:numPr>
          <w:ilvl w:val="0"/>
          <w:numId w:val="3"/>
        </w:numPr>
        <w:tabs>
          <w:tab w:pos="672" w:val="left" w:leader="none"/>
        </w:tabs>
        <w:spacing w:line="300" w:lineRule="auto" w:before="0" w:after="0"/>
        <w:ind w:left="671" w:right="267" w:hanging="452"/>
        <w:jc w:val="both"/>
        <w:rPr>
          <w:sz w:val="28"/>
        </w:rPr>
      </w:pPr>
      <w:r>
        <w:rPr>
          <w:color w:val="333333"/>
          <w:sz w:val="28"/>
        </w:rPr>
        <w:t>C-PACE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is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expected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to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expedite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voluntary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winding-up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of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bankrupt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companies</w:t>
      </w:r>
      <w:r>
        <w:rPr>
          <w:color w:val="333333"/>
          <w:spacing w:val="-8"/>
          <w:sz w:val="28"/>
        </w:rPr>
        <w:t> </w:t>
      </w:r>
      <w:r>
        <w:rPr>
          <w:color w:val="333333"/>
          <w:sz w:val="28"/>
        </w:rPr>
        <w:t>to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less</w:t>
      </w:r>
      <w:r>
        <w:rPr>
          <w:color w:val="333333"/>
          <w:spacing w:val="-1"/>
          <w:sz w:val="28"/>
        </w:rPr>
        <w:t> </w:t>
      </w:r>
      <w:r>
        <w:rPr>
          <w:color w:val="333333"/>
          <w:sz w:val="28"/>
        </w:rPr>
        <w:t>than</w:t>
      </w:r>
      <w:r>
        <w:rPr>
          <w:color w:val="333333"/>
          <w:spacing w:val="-6"/>
          <w:sz w:val="28"/>
        </w:rPr>
        <w:t> </w:t>
      </w:r>
      <w:r>
        <w:rPr>
          <w:color w:val="333333"/>
          <w:sz w:val="28"/>
        </w:rPr>
        <w:t>six</w:t>
      </w:r>
      <w:r>
        <w:rPr>
          <w:color w:val="333333"/>
          <w:spacing w:val="-1"/>
          <w:sz w:val="28"/>
        </w:rPr>
        <w:t> </w:t>
      </w:r>
      <w:r>
        <w:rPr>
          <w:color w:val="333333"/>
          <w:sz w:val="28"/>
        </w:rPr>
        <w:t>months</w:t>
      </w:r>
      <w:r>
        <w:rPr>
          <w:color w:val="333333"/>
          <w:spacing w:val="-7"/>
          <w:sz w:val="28"/>
        </w:rPr>
        <w:t> </w:t>
      </w:r>
      <w:r>
        <w:rPr>
          <w:color w:val="333333"/>
          <w:sz w:val="28"/>
        </w:rPr>
        <w:t>from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mandatory</w:t>
      </w:r>
      <w:r>
        <w:rPr>
          <w:color w:val="333333"/>
          <w:spacing w:val="-6"/>
          <w:sz w:val="28"/>
        </w:rPr>
        <w:t> </w:t>
      </w:r>
      <w:r>
        <w:rPr>
          <w:color w:val="333333"/>
          <w:sz w:val="28"/>
        </w:rPr>
        <w:t>two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years</w:t>
      </w:r>
      <w:r>
        <w:rPr>
          <w:color w:val="333333"/>
          <w:spacing w:val="-1"/>
          <w:sz w:val="28"/>
        </w:rPr>
        <w:t> </w:t>
      </w:r>
      <w:r>
        <w:rPr>
          <w:color w:val="333333"/>
          <w:sz w:val="28"/>
        </w:rPr>
        <w:t>at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present.</w:t>
      </w:r>
    </w:p>
    <w:p>
      <w:pPr>
        <w:pStyle w:val="ListParagraph"/>
        <w:numPr>
          <w:ilvl w:val="0"/>
          <w:numId w:val="3"/>
        </w:numPr>
        <w:tabs>
          <w:tab w:pos="672" w:val="left" w:leader="none"/>
        </w:tabs>
        <w:spacing w:line="300" w:lineRule="auto" w:before="2" w:after="0"/>
        <w:ind w:left="671" w:right="265" w:hanging="452"/>
        <w:jc w:val="both"/>
        <w:rPr>
          <w:sz w:val="28"/>
        </w:rPr>
      </w:pPr>
      <w:r>
        <w:rPr>
          <w:color w:val="333333"/>
          <w:sz w:val="28"/>
        </w:rPr>
        <w:t>In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Union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Budget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2023-23,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FM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had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proposed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to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establish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Centre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for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Processing Accelerated Corporate Exit (C-PACE) for speedy winding-up of</w:t>
      </w:r>
      <w:r>
        <w:rPr>
          <w:color w:val="333333"/>
          <w:spacing w:val="1"/>
          <w:sz w:val="28"/>
        </w:rPr>
        <w:t> </w:t>
      </w:r>
      <w:r>
        <w:rPr>
          <w:color w:val="333333"/>
          <w:spacing w:val="-1"/>
          <w:sz w:val="28"/>
        </w:rPr>
        <w:t>companies</w:t>
      </w:r>
      <w:r>
        <w:rPr>
          <w:color w:val="333333"/>
          <w:spacing w:val="-8"/>
          <w:sz w:val="28"/>
        </w:rPr>
        <w:t> </w:t>
      </w:r>
      <w:r>
        <w:rPr>
          <w:color w:val="333333"/>
          <w:spacing w:val="-1"/>
          <w:sz w:val="28"/>
        </w:rPr>
        <w:t>and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it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is going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to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get</w:t>
      </w:r>
      <w:r>
        <w:rPr>
          <w:color w:val="333333"/>
          <w:spacing w:val="-2"/>
          <w:sz w:val="28"/>
        </w:rPr>
        <w:t> </w:t>
      </w:r>
      <w:r>
        <w:rPr>
          <w:color w:val="333333"/>
          <w:sz w:val="28"/>
        </w:rPr>
        <w:t>implemented</w:t>
      </w:r>
      <w:r>
        <w:rPr>
          <w:color w:val="333333"/>
          <w:spacing w:val="-8"/>
          <w:sz w:val="28"/>
        </w:rPr>
        <w:t> </w:t>
      </w:r>
      <w:r>
        <w:rPr>
          <w:color w:val="333333"/>
          <w:sz w:val="28"/>
        </w:rPr>
        <w:t>effective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from</w:t>
      </w:r>
      <w:r>
        <w:rPr>
          <w:color w:val="333333"/>
          <w:spacing w:val="-22"/>
          <w:sz w:val="28"/>
        </w:rPr>
        <w:t> </w:t>
      </w:r>
      <w:r>
        <w:rPr>
          <w:color w:val="333333"/>
          <w:sz w:val="28"/>
        </w:rPr>
        <w:t>April</w:t>
      </w:r>
      <w:r>
        <w:rPr>
          <w:color w:val="333333"/>
          <w:spacing w:val="-1"/>
          <w:sz w:val="28"/>
        </w:rPr>
        <w:t> </w:t>
      </w:r>
      <w:r>
        <w:rPr>
          <w:color w:val="333333"/>
          <w:sz w:val="28"/>
        </w:rPr>
        <w:t>1,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2023</w:t>
      </w:r>
    </w:p>
    <w:p>
      <w:pPr>
        <w:pStyle w:val="ListParagraph"/>
        <w:numPr>
          <w:ilvl w:val="0"/>
          <w:numId w:val="3"/>
        </w:numPr>
        <w:tabs>
          <w:tab w:pos="672" w:val="left" w:leader="none"/>
        </w:tabs>
        <w:spacing w:line="240" w:lineRule="auto" w:before="2" w:after="0"/>
        <w:ind w:left="671" w:right="0" w:hanging="452"/>
        <w:jc w:val="both"/>
        <w:rPr>
          <w:sz w:val="28"/>
        </w:rPr>
      </w:pPr>
      <w:hyperlink r:id="rId7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4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Notification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pStyle w:val="Heading1"/>
        <w:tabs>
          <w:tab w:pos="6079" w:val="left" w:leader="none"/>
          <w:tab w:pos="10446" w:val="left" w:leader="none"/>
        </w:tabs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83819</wp:posOffset>
            </wp:positionH>
            <wp:positionV relativeFrom="paragraph">
              <wp:posOffset>-727586</wp:posOffset>
            </wp:positionV>
            <wp:extent cx="2851404" cy="1546859"/>
            <wp:effectExtent l="0" t="0" r="0" b="0"/>
            <wp:wrapNone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404" cy="154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BCF6A"/>
          <w:w w:val="100"/>
          <w:shd w:fill="394558" w:color="auto" w:val="clear"/>
        </w:rPr>
        <w:t> </w:t>
      </w:r>
      <w:r>
        <w:rPr>
          <w:color w:val="EBCF6A"/>
          <w:shd w:fill="394558" w:color="auto" w:val="clear"/>
        </w:rPr>
        <w:tab/>
      </w:r>
      <w:r>
        <w:rPr>
          <w:color w:val="EBCF6A"/>
          <w:shd w:fill="394558" w:color="auto" w:val="clear"/>
        </w:rPr>
        <w:t>SECURITIES</w:t>
      </w:r>
      <w:r>
        <w:rPr>
          <w:color w:val="EBCF6A"/>
          <w:spacing w:val="35"/>
          <w:shd w:fill="394558" w:color="auto" w:val="clear"/>
        </w:rPr>
        <w:t> </w:t>
      </w:r>
      <w:r>
        <w:rPr>
          <w:color w:val="EBCF6A"/>
          <w:shd w:fill="394558" w:color="auto" w:val="clear"/>
        </w:rPr>
        <w:t>LAW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8"/>
        </w:rPr>
      </w:pPr>
    </w:p>
    <w:p>
      <w:pPr>
        <w:pStyle w:val="Heading3"/>
        <w:numPr>
          <w:ilvl w:val="0"/>
          <w:numId w:val="4"/>
        </w:numPr>
        <w:tabs>
          <w:tab w:pos="647" w:val="left" w:leader="none"/>
          <w:tab w:pos="648" w:val="left" w:leader="none"/>
          <w:tab w:pos="1626" w:val="left" w:leader="none"/>
          <w:tab w:pos="2894" w:val="left" w:leader="none"/>
          <w:tab w:pos="4339" w:val="left" w:leader="none"/>
          <w:tab w:pos="4999" w:val="left" w:leader="none"/>
          <w:tab w:pos="6406" w:val="left" w:leader="none"/>
          <w:tab w:pos="7813" w:val="left" w:leader="none"/>
          <w:tab w:pos="9116" w:val="left" w:leader="none"/>
        </w:tabs>
        <w:spacing w:line="249" w:lineRule="auto" w:before="89" w:after="0"/>
        <w:ind w:left="148" w:right="242" w:firstLine="0"/>
        <w:jc w:val="left"/>
        <w:rPr>
          <w:u w:val="none"/>
        </w:rPr>
      </w:pPr>
      <w:r>
        <w:rPr>
          <w:u w:val="thick"/>
        </w:rPr>
        <w:t>SEBI</w:t>
        <w:tab/>
        <w:t>Master</w:t>
        <w:tab/>
        <w:t>Circular</w:t>
        <w:tab/>
        <w:t>for</w:t>
        <w:tab/>
        <w:t>Foreign</w:t>
        <w:tab/>
        <w:t>Venture</w:t>
        <w:tab/>
        <w:t>Capital</w:t>
        <w:tab/>
      </w:r>
      <w:r>
        <w:rPr>
          <w:spacing w:val="-1"/>
          <w:u w:val="thick"/>
        </w:rPr>
        <w:t>Investors</w:t>
      </w:r>
      <w:r>
        <w:rPr>
          <w:spacing w:val="-86"/>
          <w:u w:val="none"/>
        </w:rPr>
        <w:t> </w:t>
      </w:r>
      <w:r>
        <w:rPr>
          <w:u w:val="thick"/>
        </w:rPr>
        <w:t>(FVCIs)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5"/>
        </w:numPr>
        <w:tabs>
          <w:tab w:pos="599" w:val="left" w:leader="none"/>
          <w:tab w:pos="600" w:val="left" w:leader="none"/>
        </w:tabs>
        <w:spacing w:line="300" w:lineRule="auto" w:before="233" w:after="0"/>
        <w:ind w:left="599" w:right="365" w:hanging="452"/>
        <w:jc w:val="left"/>
        <w:rPr>
          <w:color w:val="333333"/>
          <w:sz w:val="28"/>
        </w:rPr>
      </w:pPr>
      <w:r>
        <w:rPr>
          <w:color w:val="333333"/>
          <w:sz w:val="28"/>
        </w:rPr>
        <w:t>Firm</w:t>
      </w:r>
      <w:r>
        <w:rPr>
          <w:color w:val="333333"/>
          <w:spacing w:val="67"/>
          <w:sz w:val="28"/>
        </w:rPr>
        <w:t> </w:t>
      </w:r>
      <w:r>
        <w:rPr>
          <w:color w:val="333333"/>
          <w:sz w:val="28"/>
        </w:rPr>
        <w:t>commitment</w:t>
      </w:r>
      <w:r>
        <w:rPr>
          <w:color w:val="333333"/>
          <w:spacing w:val="68"/>
          <w:sz w:val="28"/>
        </w:rPr>
        <w:t> </w:t>
      </w:r>
      <w:r>
        <w:rPr>
          <w:color w:val="333333"/>
          <w:sz w:val="28"/>
        </w:rPr>
        <w:t>from</w:t>
      </w:r>
      <w:r>
        <w:rPr>
          <w:color w:val="333333"/>
          <w:spacing w:val="64"/>
          <w:sz w:val="28"/>
        </w:rPr>
        <w:t> </w:t>
      </w:r>
      <w:r>
        <w:rPr>
          <w:color w:val="333333"/>
          <w:sz w:val="28"/>
        </w:rPr>
        <w:t>their</w:t>
      </w:r>
      <w:r>
        <w:rPr>
          <w:color w:val="333333"/>
          <w:spacing w:val="69"/>
          <w:sz w:val="28"/>
        </w:rPr>
        <w:t> </w:t>
      </w:r>
      <w:r>
        <w:rPr>
          <w:color w:val="333333"/>
          <w:sz w:val="28"/>
        </w:rPr>
        <w:t>investors</w:t>
      </w:r>
      <w:r>
        <w:rPr>
          <w:color w:val="333333"/>
          <w:spacing w:val="67"/>
          <w:sz w:val="28"/>
        </w:rPr>
        <w:t> </w:t>
      </w:r>
      <w:r>
        <w:rPr>
          <w:color w:val="333333"/>
          <w:sz w:val="28"/>
        </w:rPr>
        <w:t>for</w:t>
      </w:r>
      <w:r>
        <w:rPr>
          <w:color w:val="333333"/>
          <w:spacing w:val="67"/>
          <w:sz w:val="28"/>
        </w:rPr>
        <w:t> </w:t>
      </w:r>
      <w:r>
        <w:rPr>
          <w:color w:val="333333"/>
          <w:sz w:val="28"/>
        </w:rPr>
        <w:t>a</w:t>
      </w:r>
      <w:r>
        <w:rPr>
          <w:color w:val="333333"/>
          <w:spacing w:val="68"/>
          <w:sz w:val="28"/>
        </w:rPr>
        <w:t> </w:t>
      </w:r>
      <w:r>
        <w:rPr>
          <w:color w:val="333333"/>
          <w:sz w:val="28"/>
        </w:rPr>
        <w:t>contribution</w:t>
      </w:r>
      <w:r>
        <w:rPr>
          <w:color w:val="333333"/>
          <w:spacing w:val="67"/>
          <w:sz w:val="28"/>
        </w:rPr>
        <w:t> </w:t>
      </w:r>
      <w:r>
        <w:rPr>
          <w:color w:val="333333"/>
          <w:sz w:val="28"/>
        </w:rPr>
        <w:t>of</w:t>
      </w:r>
      <w:r>
        <w:rPr>
          <w:color w:val="333333"/>
          <w:spacing w:val="69"/>
          <w:sz w:val="28"/>
        </w:rPr>
        <w:t> </w:t>
      </w:r>
      <w:r>
        <w:rPr>
          <w:color w:val="333333"/>
          <w:sz w:val="28"/>
        </w:rPr>
        <w:t>at</w:t>
      </w:r>
      <w:r>
        <w:rPr>
          <w:color w:val="333333"/>
          <w:spacing w:val="70"/>
          <w:sz w:val="28"/>
        </w:rPr>
        <w:t> </w:t>
      </w:r>
      <w:r>
        <w:rPr>
          <w:color w:val="333333"/>
          <w:sz w:val="28"/>
        </w:rPr>
        <w:t>least</w:t>
      </w:r>
      <w:r>
        <w:rPr>
          <w:color w:val="333333"/>
          <w:spacing w:val="69"/>
          <w:sz w:val="28"/>
        </w:rPr>
        <w:t> </w:t>
      </w:r>
      <w:r>
        <w:rPr>
          <w:color w:val="333333"/>
          <w:sz w:val="28"/>
        </w:rPr>
        <w:t>USD</w:t>
      </w:r>
      <w:r>
        <w:rPr>
          <w:color w:val="333333"/>
          <w:spacing w:val="67"/>
          <w:sz w:val="28"/>
        </w:rPr>
        <w:t> </w:t>
      </w:r>
      <w:r>
        <w:rPr>
          <w:color w:val="333333"/>
          <w:sz w:val="28"/>
        </w:rPr>
        <w:t>1</w:t>
      </w:r>
      <w:r>
        <w:rPr>
          <w:color w:val="333333"/>
          <w:spacing w:val="-75"/>
          <w:sz w:val="28"/>
        </w:rPr>
        <w:t> </w:t>
      </w:r>
      <w:r>
        <w:rPr>
          <w:color w:val="333333"/>
          <w:sz w:val="28"/>
        </w:rPr>
        <w:t>million.</w:t>
      </w:r>
    </w:p>
    <w:p>
      <w:pPr>
        <w:pStyle w:val="ListParagraph"/>
        <w:numPr>
          <w:ilvl w:val="0"/>
          <w:numId w:val="5"/>
        </w:numPr>
        <w:tabs>
          <w:tab w:pos="599" w:val="left" w:leader="none"/>
          <w:tab w:pos="600" w:val="left" w:leader="none"/>
        </w:tabs>
        <w:spacing w:line="300" w:lineRule="auto" w:before="1" w:after="0"/>
        <w:ind w:left="599" w:right="364" w:hanging="452"/>
        <w:jc w:val="left"/>
        <w:rPr>
          <w:color w:val="333333"/>
          <w:sz w:val="28"/>
        </w:rPr>
      </w:pPr>
      <w:r>
        <w:rPr>
          <w:color w:val="333333"/>
          <w:sz w:val="28"/>
        </w:rPr>
        <w:t>The</w:t>
      </w:r>
      <w:r>
        <w:rPr>
          <w:color w:val="333333"/>
          <w:spacing w:val="13"/>
          <w:sz w:val="28"/>
        </w:rPr>
        <w:t> </w:t>
      </w:r>
      <w:r>
        <w:rPr>
          <w:color w:val="333333"/>
          <w:sz w:val="28"/>
        </w:rPr>
        <w:t>quarterly</w:t>
      </w:r>
      <w:r>
        <w:rPr>
          <w:color w:val="333333"/>
          <w:spacing w:val="14"/>
          <w:sz w:val="28"/>
        </w:rPr>
        <w:t> </w:t>
      </w:r>
      <w:r>
        <w:rPr>
          <w:color w:val="333333"/>
          <w:sz w:val="28"/>
        </w:rPr>
        <w:t>report</w:t>
      </w:r>
      <w:r>
        <w:rPr>
          <w:color w:val="333333"/>
          <w:spacing w:val="15"/>
          <w:sz w:val="28"/>
        </w:rPr>
        <w:t> </w:t>
      </w:r>
      <w:r>
        <w:rPr>
          <w:color w:val="333333"/>
          <w:sz w:val="28"/>
        </w:rPr>
        <w:t>on</w:t>
      </w:r>
      <w:r>
        <w:rPr>
          <w:color w:val="333333"/>
          <w:spacing w:val="15"/>
          <w:sz w:val="28"/>
        </w:rPr>
        <w:t> </w:t>
      </w:r>
      <w:r>
        <w:rPr>
          <w:color w:val="333333"/>
          <w:sz w:val="28"/>
        </w:rPr>
        <w:t>venture</w:t>
      </w:r>
      <w:r>
        <w:rPr>
          <w:color w:val="333333"/>
          <w:spacing w:val="15"/>
          <w:sz w:val="28"/>
        </w:rPr>
        <w:t> </w:t>
      </w:r>
      <w:r>
        <w:rPr>
          <w:color w:val="333333"/>
          <w:sz w:val="28"/>
        </w:rPr>
        <w:t>capital</w:t>
      </w:r>
      <w:r>
        <w:rPr>
          <w:color w:val="333333"/>
          <w:spacing w:val="14"/>
          <w:sz w:val="28"/>
        </w:rPr>
        <w:t> </w:t>
      </w:r>
      <w:r>
        <w:rPr>
          <w:color w:val="333333"/>
          <w:sz w:val="28"/>
        </w:rPr>
        <w:t>activity</w:t>
      </w:r>
      <w:r>
        <w:rPr>
          <w:color w:val="333333"/>
          <w:spacing w:val="17"/>
          <w:sz w:val="28"/>
        </w:rPr>
        <w:t> </w:t>
      </w:r>
      <w:r>
        <w:rPr>
          <w:color w:val="333333"/>
          <w:sz w:val="28"/>
        </w:rPr>
        <w:t>within</w:t>
      </w:r>
      <w:r>
        <w:rPr>
          <w:color w:val="333333"/>
          <w:spacing w:val="14"/>
          <w:sz w:val="28"/>
        </w:rPr>
        <w:t> </w:t>
      </w:r>
      <w:r>
        <w:rPr>
          <w:color w:val="333333"/>
          <w:sz w:val="28"/>
        </w:rPr>
        <w:t>seven</w:t>
      </w:r>
      <w:r>
        <w:rPr>
          <w:color w:val="333333"/>
          <w:spacing w:val="14"/>
          <w:sz w:val="28"/>
        </w:rPr>
        <w:t> </w:t>
      </w:r>
      <w:r>
        <w:rPr>
          <w:color w:val="333333"/>
          <w:sz w:val="28"/>
        </w:rPr>
        <w:t>days</w:t>
      </w:r>
      <w:r>
        <w:rPr>
          <w:color w:val="333333"/>
          <w:spacing w:val="16"/>
          <w:sz w:val="28"/>
        </w:rPr>
        <w:t> </w:t>
      </w:r>
      <w:r>
        <w:rPr>
          <w:color w:val="333333"/>
          <w:sz w:val="28"/>
        </w:rPr>
        <w:t>after</w:t>
      </w:r>
      <w:r>
        <w:rPr>
          <w:color w:val="333333"/>
          <w:spacing w:val="11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12"/>
          <w:sz w:val="28"/>
        </w:rPr>
        <w:t> </w:t>
      </w:r>
      <w:r>
        <w:rPr>
          <w:color w:val="333333"/>
          <w:sz w:val="28"/>
        </w:rPr>
        <w:t>end</w:t>
      </w:r>
      <w:r>
        <w:rPr>
          <w:color w:val="333333"/>
          <w:spacing w:val="-75"/>
          <w:sz w:val="28"/>
        </w:rPr>
        <w:t> </w:t>
      </w:r>
      <w:r>
        <w:rPr>
          <w:color w:val="333333"/>
          <w:sz w:val="28"/>
        </w:rPr>
        <w:t>of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each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calendar</w:t>
      </w:r>
      <w:r>
        <w:rPr>
          <w:color w:val="333333"/>
          <w:spacing w:val="-8"/>
          <w:sz w:val="28"/>
        </w:rPr>
        <w:t> </w:t>
      </w:r>
      <w:r>
        <w:rPr>
          <w:color w:val="333333"/>
          <w:sz w:val="28"/>
        </w:rPr>
        <w:t>quarter</w:t>
      </w:r>
      <w:r>
        <w:rPr>
          <w:color w:val="333333"/>
          <w:spacing w:val="-8"/>
          <w:sz w:val="28"/>
        </w:rPr>
        <w:t> </w:t>
      </w:r>
      <w:r>
        <w:rPr>
          <w:color w:val="333333"/>
          <w:sz w:val="28"/>
        </w:rPr>
        <w:t>in</w:t>
      </w:r>
      <w:r>
        <w:rPr>
          <w:color w:val="333333"/>
          <w:spacing w:val="-2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-5"/>
          <w:sz w:val="28"/>
        </w:rPr>
        <w:t> </w:t>
      </w:r>
      <w:r>
        <w:rPr>
          <w:color w:val="333333"/>
          <w:sz w:val="28"/>
        </w:rPr>
        <w:t>format</w:t>
      </w:r>
      <w:r>
        <w:rPr>
          <w:color w:val="333333"/>
          <w:spacing w:val="-5"/>
          <w:sz w:val="28"/>
        </w:rPr>
        <w:t> </w:t>
      </w:r>
      <w:r>
        <w:rPr>
          <w:color w:val="333333"/>
          <w:sz w:val="28"/>
        </w:rPr>
        <w:t>prescribed</w:t>
      </w:r>
      <w:r>
        <w:rPr>
          <w:color w:val="333333"/>
          <w:spacing w:val="-8"/>
          <w:sz w:val="28"/>
        </w:rPr>
        <w:t> </w:t>
      </w:r>
      <w:r>
        <w:rPr>
          <w:color w:val="333333"/>
          <w:sz w:val="28"/>
        </w:rPr>
        <w:t>by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SEBI.</w:t>
      </w:r>
    </w:p>
    <w:p>
      <w:pPr>
        <w:pStyle w:val="ListParagraph"/>
        <w:numPr>
          <w:ilvl w:val="0"/>
          <w:numId w:val="5"/>
        </w:numPr>
        <w:tabs>
          <w:tab w:pos="599" w:val="left" w:leader="none"/>
          <w:tab w:pos="600" w:val="left" w:leader="none"/>
        </w:tabs>
        <w:spacing w:line="300" w:lineRule="auto" w:before="1" w:after="0"/>
        <w:ind w:left="599" w:right="366" w:hanging="452"/>
        <w:jc w:val="left"/>
        <w:rPr>
          <w:color w:val="333333"/>
          <w:sz w:val="28"/>
        </w:rPr>
      </w:pPr>
      <w:r>
        <w:rPr>
          <w:color w:val="333333"/>
          <w:sz w:val="28"/>
        </w:rPr>
        <w:t>The</w:t>
      </w:r>
      <w:r>
        <w:rPr>
          <w:color w:val="333333"/>
          <w:spacing w:val="55"/>
          <w:sz w:val="28"/>
        </w:rPr>
        <w:t> </w:t>
      </w:r>
      <w:r>
        <w:rPr>
          <w:color w:val="333333"/>
          <w:sz w:val="28"/>
        </w:rPr>
        <w:t>report</w:t>
      </w:r>
      <w:r>
        <w:rPr>
          <w:color w:val="333333"/>
          <w:spacing w:val="59"/>
          <w:sz w:val="28"/>
        </w:rPr>
        <w:t> </w:t>
      </w:r>
      <w:r>
        <w:rPr>
          <w:color w:val="333333"/>
          <w:sz w:val="28"/>
        </w:rPr>
        <w:t>must</w:t>
      </w:r>
      <w:r>
        <w:rPr>
          <w:color w:val="333333"/>
          <w:spacing w:val="56"/>
          <w:sz w:val="28"/>
        </w:rPr>
        <w:t> </w:t>
      </w:r>
      <w:r>
        <w:rPr>
          <w:color w:val="333333"/>
          <w:sz w:val="28"/>
        </w:rPr>
        <w:t>be</w:t>
      </w:r>
      <w:r>
        <w:rPr>
          <w:color w:val="333333"/>
          <w:spacing w:val="59"/>
          <w:sz w:val="28"/>
        </w:rPr>
        <w:t> </w:t>
      </w:r>
      <w:r>
        <w:rPr>
          <w:color w:val="333333"/>
          <w:sz w:val="28"/>
        </w:rPr>
        <w:t>posted</w:t>
      </w:r>
      <w:r>
        <w:rPr>
          <w:color w:val="333333"/>
          <w:spacing w:val="58"/>
          <w:sz w:val="28"/>
        </w:rPr>
        <w:t> </w:t>
      </w:r>
      <w:r>
        <w:rPr>
          <w:color w:val="333333"/>
          <w:sz w:val="28"/>
        </w:rPr>
        <w:t>online</w:t>
      </w:r>
      <w:r>
        <w:rPr>
          <w:color w:val="333333"/>
          <w:spacing w:val="55"/>
          <w:sz w:val="28"/>
        </w:rPr>
        <w:t> </w:t>
      </w:r>
      <w:r>
        <w:rPr>
          <w:color w:val="333333"/>
          <w:sz w:val="28"/>
        </w:rPr>
        <w:t>on</w:t>
      </w:r>
      <w:r>
        <w:rPr>
          <w:color w:val="333333"/>
          <w:spacing w:val="58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56"/>
          <w:sz w:val="28"/>
        </w:rPr>
        <w:t> </w:t>
      </w:r>
      <w:r>
        <w:rPr>
          <w:color w:val="333333"/>
          <w:sz w:val="28"/>
        </w:rPr>
        <w:t>portal</w:t>
      </w:r>
      <w:r>
        <w:rPr>
          <w:color w:val="333333"/>
          <w:spacing w:val="58"/>
          <w:sz w:val="28"/>
        </w:rPr>
        <w:t> </w:t>
      </w:r>
      <w:r>
        <w:rPr>
          <w:color w:val="333333"/>
          <w:sz w:val="28"/>
        </w:rPr>
        <w:t>created</w:t>
      </w:r>
      <w:r>
        <w:rPr>
          <w:color w:val="333333"/>
          <w:spacing w:val="58"/>
          <w:sz w:val="28"/>
        </w:rPr>
        <w:t> </w:t>
      </w:r>
      <w:r>
        <w:rPr>
          <w:color w:val="333333"/>
          <w:sz w:val="28"/>
        </w:rPr>
        <w:t>by</w:t>
      </w:r>
      <w:r>
        <w:rPr>
          <w:color w:val="333333"/>
          <w:spacing w:val="58"/>
          <w:sz w:val="28"/>
        </w:rPr>
        <w:t> </w:t>
      </w:r>
      <w:r>
        <w:rPr>
          <w:color w:val="333333"/>
          <w:sz w:val="28"/>
        </w:rPr>
        <w:t>SEBI</w:t>
      </w:r>
      <w:r>
        <w:rPr>
          <w:color w:val="333333"/>
          <w:spacing w:val="57"/>
          <w:sz w:val="28"/>
        </w:rPr>
        <w:t> </w:t>
      </w:r>
      <w:r>
        <w:rPr>
          <w:color w:val="333333"/>
          <w:sz w:val="28"/>
        </w:rPr>
        <w:t>for</w:t>
      </w:r>
      <w:r>
        <w:rPr>
          <w:color w:val="333333"/>
          <w:spacing w:val="56"/>
          <w:sz w:val="28"/>
        </w:rPr>
        <w:t> </w:t>
      </w:r>
      <w:r>
        <w:rPr>
          <w:color w:val="333333"/>
          <w:sz w:val="28"/>
        </w:rPr>
        <w:t>filings</w:t>
      </w:r>
      <w:r>
        <w:rPr>
          <w:color w:val="333333"/>
          <w:spacing w:val="-75"/>
          <w:sz w:val="28"/>
        </w:rPr>
        <w:t> </w:t>
      </w:r>
      <w:r>
        <w:rPr>
          <w:color w:val="333333"/>
          <w:sz w:val="28"/>
        </w:rPr>
        <w:t>connected</w:t>
      </w:r>
      <w:r>
        <w:rPr>
          <w:color w:val="333333"/>
          <w:spacing w:val="-9"/>
          <w:sz w:val="28"/>
        </w:rPr>
        <w:t> </w:t>
      </w:r>
      <w:r>
        <w:rPr>
          <w:color w:val="333333"/>
          <w:sz w:val="28"/>
        </w:rPr>
        <w:t>to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FVCIs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in</w:t>
      </w:r>
      <w:r>
        <w:rPr>
          <w:color w:val="333333"/>
          <w:spacing w:val="-2"/>
          <w:sz w:val="28"/>
        </w:rPr>
        <w:t> </w:t>
      </w:r>
      <w:r>
        <w:rPr>
          <w:color w:val="333333"/>
          <w:sz w:val="28"/>
        </w:rPr>
        <w:t>order</w:t>
      </w:r>
      <w:r>
        <w:rPr>
          <w:color w:val="333333"/>
          <w:spacing w:val="-6"/>
          <w:sz w:val="28"/>
        </w:rPr>
        <w:t> </w:t>
      </w:r>
      <w:r>
        <w:rPr>
          <w:color w:val="333333"/>
          <w:sz w:val="28"/>
        </w:rPr>
        <w:t>to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simplify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operations.</w:t>
      </w:r>
    </w:p>
    <w:p>
      <w:pPr>
        <w:pStyle w:val="ListParagraph"/>
        <w:numPr>
          <w:ilvl w:val="0"/>
          <w:numId w:val="5"/>
        </w:numPr>
        <w:tabs>
          <w:tab w:pos="599" w:val="left" w:leader="none"/>
          <w:tab w:pos="600" w:val="left" w:leader="none"/>
        </w:tabs>
        <w:spacing w:line="240" w:lineRule="auto" w:before="2" w:after="0"/>
        <w:ind w:left="599" w:right="0" w:hanging="452"/>
        <w:jc w:val="left"/>
        <w:rPr>
          <w:color w:val="333333"/>
          <w:sz w:val="28"/>
        </w:rPr>
      </w:pPr>
      <w:r>
        <w:rPr>
          <w:color w:val="333333"/>
          <w:sz w:val="28"/>
        </w:rPr>
        <w:t>Online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system</w:t>
      </w:r>
      <w:r>
        <w:rPr>
          <w:color w:val="333333"/>
          <w:spacing w:val="-2"/>
          <w:sz w:val="28"/>
        </w:rPr>
        <w:t> </w:t>
      </w:r>
      <w:r>
        <w:rPr>
          <w:color w:val="333333"/>
          <w:sz w:val="28"/>
        </w:rPr>
        <w:t>to</w:t>
      </w:r>
      <w:r>
        <w:rPr>
          <w:color w:val="333333"/>
          <w:spacing w:val="-2"/>
          <w:sz w:val="28"/>
        </w:rPr>
        <w:t> </w:t>
      </w:r>
      <w:r>
        <w:rPr>
          <w:color w:val="333333"/>
          <w:sz w:val="28"/>
        </w:rPr>
        <w:t>be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used</w:t>
      </w:r>
      <w:r>
        <w:rPr>
          <w:color w:val="333333"/>
          <w:spacing w:val="-2"/>
          <w:sz w:val="28"/>
        </w:rPr>
        <w:t> </w:t>
      </w:r>
      <w:r>
        <w:rPr>
          <w:color w:val="333333"/>
          <w:sz w:val="28"/>
        </w:rPr>
        <w:t>for</w:t>
      </w:r>
      <w:r>
        <w:rPr>
          <w:color w:val="333333"/>
          <w:spacing w:val="-2"/>
          <w:sz w:val="28"/>
        </w:rPr>
        <w:t> </w:t>
      </w:r>
      <w:r>
        <w:rPr>
          <w:color w:val="333333"/>
          <w:sz w:val="28"/>
        </w:rPr>
        <w:t>application</w:t>
      </w:r>
      <w:r>
        <w:rPr>
          <w:color w:val="333333"/>
          <w:spacing w:val="-10"/>
          <w:sz w:val="28"/>
        </w:rPr>
        <w:t> </w:t>
      </w:r>
      <w:r>
        <w:rPr>
          <w:color w:val="333333"/>
          <w:sz w:val="28"/>
        </w:rPr>
        <w:t>for</w:t>
      </w:r>
      <w:r>
        <w:rPr>
          <w:color w:val="333333"/>
          <w:spacing w:val="-2"/>
          <w:sz w:val="28"/>
        </w:rPr>
        <w:t> </w:t>
      </w:r>
      <w:r>
        <w:rPr>
          <w:color w:val="333333"/>
          <w:sz w:val="28"/>
        </w:rPr>
        <w:t>registration,</w:t>
      </w:r>
      <w:r>
        <w:rPr>
          <w:color w:val="333333"/>
          <w:spacing w:val="-8"/>
          <w:sz w:val="28"/>
        </w:rPr>
        <w:t> </w:t>
      </w:r>
      <w:r>
        <w:rPr>
          <w:color w:val="333333"/>
          <w:sz w:val="28"/>
        </w:rPr>
        <w:t>reporting</w:t>
      </w:r>
      <w:r>
        <w:rPr>
          <w:color w:val="333333"/>
          <w:spacing w:val="-7"/>
          <w:sz w:val="28"/>
        </w:rPr>
        <w:t> </w:t>
      </w:r>
      <w:r>
        <w:rPr>
          <w:color w:val="333333"/>
          <w:sz w:val="28"/>
        </w:rPr>
        <w:t>and</w:t>
      </w:r>
      <w:r>
        <w:rPr>
          <w:color w:val="333333"/>
          <w:spacing w:val="-2"/>
          <w:sz w:val="28"/>
        </w:rPr>
        <w:t> </w:t>
      </w:r>
      <w:r>
        <w:rPr>
          <w:color w:val="333333"/>
          <w:sz w:val="28"/>
        </w:rPr>
        <w:t>filing</w:t>
      </w:r>
    </w:p>
    <w:p>
      <w:pPr>
        <w:pStyle w:val="ListParagraph"/>
        <w:numPr>
          <w:ilvl w:val="0"/>
          <w:numId w:val="5"/>
        </w:numPr>
        <w:tabs>
          <w:tab w:pos="599" w:val="left" w:leader="none"/>
          <w:tab w:pos="600" w:val="left" w:leader="none"/>
        </w:tabs>
        <w:spacing w:line="240" w:lineRule="auto" w:before="51" w:after="0"/>
        <w:ind w:left="599" w:right="0" w:hanging="452"/>
        <w:jc w:val="left"/>
        <w:rPr>
          <w:color w:val="1E3953"/>
          <w:sz w:val="28"/>
        </w:rPr>
      </w:pPr>
      <w:hyperlink r:id="rId9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Master</w:t>
        </w:r>
        <w:r>
          <w:rPr>
            <w:color w:val="56C1B8"/>
            <w:spacing w:val="-8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Circular</w:t>
        </w:r>
      </w:hyperlink>
    </w:p>
    <w:p>
      <w:pPr>
        <w:pStyle w:val="BodyText"/>
        <w:rPr>
          <w:sz w:val="20"/>
        </w:rPr>
      </w:pPr>
    </w:p>
    <w:p>
      <w:pPr>
        <w:pStyle w:val="Heading3"/>
        <w:numPr>
          <w:ilvl w:val="0"/>
          <w:numId w:val="4"/>
        </w:numPr>
        <w:tabs>
          <w:tab w:pos="610" w:val="left" w:leader="none"/>
        </w:tabs>
        <w:spacing w:line="249" w:lineRule="auto" w:before="219" w:after="0"/>
        <w:ind w:left="148" w:right="239" w:firstLine="0"/>
        <w:jc w:val="left"/>
        <w:rPr>
          <w:u w:val="none"/>
        </w:rPr>
      </w:pPr>
      <w:r>
        <w:rPr>
          <w:u w:val="thick"/>
        </w:rPr>
        <w:t>Additional</w:t>
      </w:r>
      <w:r>
        <w:rPr>
          <w:spacing w:val="14"/>
          <w:u w:val="thick"/>
        </w:rPr>
        <w:t> </w:t>
      </w:r>
      <w:r>
        <w:rPr>
          <w:u w:val="thick"/>
        </w:rPr>
        <w:t>affirmations</w:t>
      </w:r>
      <w:r>
        <w:rPr>
          <w:spacing w:val="12"/>
          <w:u w:val="thick"/>
        </w:rPr>
        <w:t> </w:t>
      </w:r>
      <w:r>
        <w:rPr>
          <w:u w:val="thick"/>
        </w:rPr>
        <w:t>by</w:t>
      </w:r>
      <w:r>
        <w:rPr>
          <w:spacing w:val="10"/>
          <w:u w:val="thick"/>
        </w:rPr>
        <w:t> </w:t>
      </w:r>
      <w:r>
        <w:rPr>
          <w:u w:val="thick"/>
        </w:rPr>
        <w:t>Practicing</w:t>
      </w:r>
      <w:r>
        <w:rPr>
          <w:spacing w:val="10"/>
          <w:u w:val="thick"/>
        </w:rPr>
        <w:t> </w:t>
      </w:r>
      <w:r>
        <w:rPr>
          <w:u w:val="thick"/>
        </w:rPr>
        <w:t>Company</w:t>
      </w:r>
      <w:r>
        <w:rPr>
          <w:spacing w:val="9"/>
          <w:u w:val="thick"/>
        </w:rPr>
        <w:t> </w:t>
      </w:r>
      <w:r>
        <w:rPr>
          <w:u w:val="thick"/>
        </w:rPr>
        <w:t>Secretaries</w:t>
      </w:r>
      <w:r>
        <w:rPr>
          <w:spacing w:val="12"/>
          <w:u w:val="thick"/>
        </w:rPr>
        <w:t> </w:t>
      </w:r>
      <w:r>
        <w:rPr>
          <w:u w:val="thick"/>
        </w:rPr>
        <w:t>in</w:t>
      </w:r>
      <w:r>
        <w:rPr>
          <w:spacing w:val="-86"/>
          <w:u w:val="none"/>
        </w:rPr>
        <w:t> </w:t>
      </w:r>
      <w:r>
        <w:rPr>
          <w:u w:val="thick"/>
        </w:rPr>
        <w:t>Annual</w:t>
      </w:r>
      <w:r>
        <w:rPr>
          <w:spacing w:val="12"/>
          <w:u w:val="thick"/>
        </w:rPr>
        <w:t> </w:t>
      </w:r>
      <w:r>
        <w:rPr>
          <w:u w:val="thick"/>
        </w:rPr>
        <w:t>Secretarial</w:t>
      </w:r>
      <w:r>
        <w:rPr>
          <w:spacing w:val="2"/>
          <w:u w:val="thick"/>
        </w:rPr>
        <w:t> </w:t>
      </w:r>
      <w:r>
        <w:rPr>
          <w:u w:val="thick"/>
        </w:rPr>
        <w:t>Compliance</w:t>
      </w:r>
      <w:r>
        <w:rPr>
          <w:spacing w:val="7"/>
          <w:u w:val="thick"/>
        </w:rPr>
        <w:t> </w:t>
      </w:r>
      <w:r>
        <w:rPr>
          <w:u w:val="thick"/>
        </w:rPr>
        <w:t>Report</w:t>
      </w:r>
    </w:p>
    <w:p>
      <w:pPr>
        <w:pStyle w:val="BodyText"/>
        <w:spacing w:before="2"/>
        <w:rPr>
          <w:rFonts w:ascii="Arial"/>
          <w:b/>
          <w:sz w:val="40"/>
        </w:rPr>
      </w:pPr>
    </w:p>
    <w:p>
      <w:pPr>
        <w:pStyle w:val="ListParagraph"/>
        <w:numPr>
          <w:ilvl w:val="0"/>
          <w:numId w:val="5"/>
        </w:numPr>
        <w:tabs>
          <w:tab w:pos="600" w:val="left" w:leader="none"/>
        </w:tabs>
        <w:spacing w:line="300" w:lineRule="auto" w:before="0" w:after="0"/>
        <w:ind w:left="599" w:right="365" w:hanging="452"/>
        <w:jc w:val="both"/>
        <w:rPr>
          <w:color w:val="333333"/>
          <w:sz w:val="28"/>
        </w:rPr>
      </w:pPr>
      <w:r>
        <w:rPr>
          <w:color w:val="333333"/>
          <w:sz w:val="28"/>
        </w:rPr>
        <w:t>Additional columns have been inserted to be effective from the financial year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ending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March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31,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2023,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onwards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such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as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Compliance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with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secretarial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standards, performance evaluation, related party transactions, maintenance of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websites,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preservation</w:t>
      </w:r>
      <w:r>
        <w:rPr>
          <w:color w:val="333333"/>
          <w:spacing w:val="-8"/>
          <w:sz w:val="28"/>
        </w:rPr>
        <w:t> </w:t>
      </w:r>
      <w:r>
        <w:rPr>
          <w:color w:val="333333"/>
          <w:sz w:val="28"/>
        </w:rPr>
        <w:t>of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documents</w:t>
      </w:r>
      <w:r>
        <w:rPr>
          <w:color w:val="333333"/>
          <w:spacing w:val="-7"/>
          <w:sz w:val="28"/>
        </w:rPr>
        <w:t> </w:t>
      </w:r>
      <w:r>
        <w:rPr>
          <w:color w:val="333333"/>
          <w:sz w:val="28"/>
        </w:rPr>
        <w:t>and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others</w:t>
      </w:r>
    </w:p>
    <w:p>
      <w:pPr>
        <w:pStyle w:val="ListParagraph"/>
        <w:numPr>
          <w:ilvl w:val="0"/>
          <w:numId w:val="5"/>
        </w:numPr>
        <w:tabs>
          <w:tab w:pos="600" w:val="left" w:leader="none"/>
        </w:tabs>
        <w:spacing w:line="294" w:lineRule="exact" w:before="0" w:after="0"/>
        <w:ind w:left="599" w:right="0" w:hanging="452"/>
        <w:jc w:val="both"/>
        <w:rPr>
          <w:color w:val="1E3953"/>
          <w:sz w:val="28"/>
        </w:rPr>
      </w:pPr>
      <w:r>
        <w:rPr/>
        <w:pict>
          <v:shape style="position:absolute;margin-left:11.448pt;margin-top:31.569572pt;width:517.7pt;height:17pt;mso-position-horizontal-relative:page;mso-position-vertical-relative:paragraph;z-index:-16100864" type="#_x0000_t202" filled="false" stroked="false">
            <v:textbox inset="0,0,0,0">
              <w:txbxContent>
                <w:p>
                  <w:pPr>
                    <w:tabs>
                      <w:tab w:pos="7296" w:val="left" w:leader="none"/>
                    </w:tabs>
                    <w:spacing w:line="340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51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4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29.308495pt;width:539.950pt;height:20.4pt;mso-position-horizontal-relative:page;mso-position-vertical-relative:paragraph;z-index:15733248" coordorigin="0,586" coordsize="10799,408">
            <v:rect style="position:absolute;left:0;top:586;width:10799;height:408" filled="true" fillcolor="#36394f" stroked="false">
              <v:fill type="solid"/>
            </v:rect>
            <v:shape style="position:absolute;left:117;top:610;width:2006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MARCH</w:t>
                    </w:r>
                    <w:r>
                      <w:rPr>
                        <w:rFonts w:ascii="Arial"/>
                        <w:b/>
                        <w:color w:val="EBCF6A"/>
                        <w:spacing w:val="5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6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503;top:610;width:3131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10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19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Annexure</w:t>
        </w:r>
      </w:hyperlink>
    </w:p>
    <w:p>
      <w:pPr>
        <w:spacing w:after="0" w:line="294" w:lineRule="exact"/>
        <w:jc w:val="both"/>
        <w:rPr>
          <w:sz w:val="28"/>
        </w:rPr>
        <w:sectPr>
          <w:pgSz w:w="10800" w:h="19200"/>
          <w:pgMar w:top="20" w:bottom="0" w:left="20" w:right="0"/>
        </w:sectPr>
      </w:pPr>
    </w:p>
    <w:p>
      <w:pPr>
        <w:tabs>
          <w:tab w:pos="5178" w:val="left" w:leader="none"/>
        </w:tabs>
        <w:spacing w:line="240" w:lineRule="auto"/>
        <w:ind w:left="743" w:right="0" w:firstLine="0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97280" filled="true" fillcolor="#fdfcf8" stroked="false">
            <v:fill type="solid"/>
            <w10:wrap type="none"/>
          </v:rect>
        </w:pict>
      </w:r>
      <w:r>
        <w:rPr>
          <w:position w:val="11"/>
          <w:sz w:val="20"/>
        </w:rPr>
        <w:drawing>
          <wp:inline distT="0" distB="0" distL="0" distR="0">
            <wp:extent cx="2587676" cy="1536858"/>
            <wp:effectExtent l="0" t="0" r="0" b="0"/>
            <wp:docPr id="5" name="image4.jpeg" descr="A picture containing tex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7676" cy="153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</w:r>
      <w:r>
        <w:rPr>
          <w:position w:val="11"/>
          <w:sz w:val="20"/>
        </w:rPr>
        <w:tab/>
      </w:r>
      <w:r>
        <w:rPr>
          <w:sz w:val="20"/>
        </w:rPr>
        <w:pict>
          <v:group style="width:275.3pt;height:161.25pt;mso-position-horizontal-relative:char;mso-position-vertical-relative:line" coordorigin="0,0" coordsize="5506,3225">
            <v:rect style="position:absolute;left:3924;top:0;width:860;height:2738" filled="true" fillcolor="#ebcf6a" stroked="false">
              <v:fill type="solid"/>
            </v:rect>
            <v:shape style="position:absolute;left:3283;top:323;width:1786;height:1798" type="#_x0000_t75" stroked="false">
              <v:imagedata r:id="rId5" o:title=""/>
            </v:shape>
            <v:shape style="position:absolute;left:0;top:2737;width:5506;height:488" type="#_x0000_t202" filled="true" fillcolor="#394558" stroked="false">
              <v:textbox inset="0,0,0,0">
                <w:txbxContent>
                  <w:p>
                    <w:pPr>
                      <w:spacing w:before="13"/>
                      <w:ind w:left="1139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bookmarkStart w:name="Slide 3" w:id="3"/>
                    <w:bookmarkEnd w:id="3"/>
                    <w:r>
                      <w:rPr/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SECURITIES</w:t>
                    </w:r>
                    <w:r>
                      <w:rPr>
                        <w:rFonts w:ascii="Arial"/>
                        <w:b/>
                        <w:color w:val="EBCF6A"/>
                        <w:spacing w:val="56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LAW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rPr>
          <w:sz w:val="23"/>
        </w:rPr>
      </w:pPr>
    </w:p>
    <w:p>
      <w:pPr>
        <w:pStyle w:val="Heading3"/>
        <w:numPr>
          <w:ilvl w:val="0"/>
          <w:numId w:val="4"/>
        </w:numPr>
        <w:tabs>
          <w:tab w:pos="665" w:val="left" w:leader="none"/>
        </w:tabs>
        <w:spacing w:line="300" w:lineRule="auto" w:before="89" w:after="0"/>
        <w:ind w:left="273" w:right="373" w:firstLine="0"/>
        <w:jc w:val="left"/>
        <w:rPr>
          <w:u w:val="none"/>
        </w:rPr>
      </w:pPr>
      <w:r>
        <w:rPr>
          <w:u w:val="thick"/>
        </w:rPr>
        <w:t>SEBI</w:t>
      </w:r>
      <w:r>
        <w:rPr>
          <w:spacing w:val="34"/>
          <w:u w:val="thick"/>
        </w:rPr>
        <w:t> </w:t>
      </w:r>
      <w:r>
        <w:rPr>
          <w:u w:val="thick"/>
        </w:rPr>
        <w:t>prescribes</w:t>
      </w:r>
      <w:r>
        <w:rPr>
          <w:spacing w:val="35"/>
          <w:u w:val="thick"/>
        </w:rPr>
        <w:t> </w:t>
      </w:r>
      <w:r>
        <w:rPr>
          <w:u w:val="thick"/>
        </w:rPr>
        <w:t>time</w:t>
      </w:r>
      <w:r>
        <w:rPr>
          <w:spacing w:val="37"/>
          <w:u w:val="thick"/>
        </w:rPr>
        <w:t> </w:t>
      </w:r>
      <w:r>
        <w:rPr>
          <w:u w:val="thick"/>
        </w:rPr>
        <w:t>limits</w:t>
      </w:r>
      <w:r>
        <w:rPr>
          <w:spacing w:val="39"/>
          <w:u w:val="thick"/>
        </w:rPr>
        <w:t> </w:t>
      </w:r>
      <w:r>
        <w:rPr>
          <w:u w:val="thick"/>
        </w:rPr>
        <w:t>for</w:t>
      </w:r>
      <w:r>
        <w:rPr>
          <w:spacing w:val="34"/>
          <w:u w:val="thick"/>
        </w:rPr>
        <w:t> </w:t>
      </w:r>
      <w:r>
        <w:rPr>
          <w:u w:val="thick"/>
        </w:rPr>
        <w:t>FPIs</w:t>
      </w:r>
      <w:r>
        <w:rPr>
          <w:spacing w:val="35"/>
          <w:u w:val="thick"/>
        </w:rPr>
        <w:t> </w:t>
      </w:r>
      <w:r>
        <w:rPr>
          <w:u w:val="thick"/>
        </w:rPr>
        <w:t>to</w:t>
      </w:r>
      <w:r>
        <w:rPr>
          <w:spacing w:val="34"/>
          <w:u w:val="thick"/>
        </w:rPr>
        <w:t> </w:t>
      </w:r>
      <w:r>
        <w:rPr>
          <w:u w:val="thick"/>
        </w:rPr>
        <w:t>disclose</w:t>
      </w:r>
      <w:r>
        <w:rPr>
          <w:spacing w:val="35"/>
          <w:u w:val="thick"/>
        </w:rPr>
        <w:t> </w:t>
      </w:r>
      <w:r>
        <w:rPr>
          <w:u w:val="thick"/>
        </w:rPr>
        <w:t>information</w:t>
      </w:r>
      <w:r>
        <w:rPr>
          <w:spacing w:val="36"/>
          <w:u w:val="thick"/>
        </w:rPr>
        <w:t> </w:t>
      </w:r>
      <w:r>
        <w:rPr>
          <w:u w:val="thick"/>
        </w:rPr>
        <w:t>to</w:t>
      </w:r>
      <w:r>
        <w:rPr>
          <w:spacing w:val="-86"/>
          <w:u w:val="none"/>
        </w:rPr>
        <w:t> </w:t>
      </w:r>
      <w:r>
        <w:rPr>
          <w:u w:val="thick"/>
        </w:rPr>
        <w:t>Board</w:t>
      </w:r>
      <w:r>
        <w:rPr>
          <w:spacing w:val="1"/>
          <w:u w:val="thick"/>
        </w:rPr>
        <w:t> </w:t>
      </w:r>
      <w:r>
        <w:rPr>
          <w:u w:val="thick"/>
        </w:rPr>
        <w:t>and</w:t>
      </w:r>
      <w:r>
        <w:rPr>
          <w:spacing w:val="1"/>
          <w:u w:val="thick"/>
        </w:rPr>
        <w:t> </w:t>
      </w:r>
      <w:r>
        <w:rPr>
          <w:u w:val="thick"/>
        </w:rPr>
        <w:t>DPs</w:t>
      </w:r>
    </w:p>
    <w:p>
      <w:pPr>
        <w:pStyle w:val="BodyText"/>
        <w:spacing w:before="10"/>
        <w:rPr>
          <w:rFonts w:ascii="Arial"/>
          <w:b/>
        </w:rPr>
      </w:pPr>
    </w:p>
    <w:p>
      <w:pPr>
        <w:pStyle w:val="ListParagraph"/>
        <w:numPr>
          <w:ilvl w:val="0"/>
          <w:numId w:val="6"/>
        </w:numPr>
        <w:tabs>
          <w:tab w:pos="725" w:val="left" w:leader="none"/>
        </w:tabs>
        <w:spacing w:line="300" w:lineRule="auto" w:before="0" w:after="0"/>
        <w:ind w:left="724" w:right="369" w:hanging="452"/>
        <w:jc w:val="both"/>
        <w:rPr>
          <w:color w:val="333333"/>
          <w:sz w:val="28"/>
        </w:rPr>
      </w:pPr>
      <w:r>
        <w:rPr>
          <w:color w:val="333333"/>
          <w:sz w:val="28"/>
        </w:rPr>
        <w:t>If there is any material change in the direct or indirect in FPIs structure or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ownership or control, FPIs are required to inform the Board and designated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depository</w:t>
      </w:r>
      <w:r>
        <w:rPr>
          <w:color w:val="333333"/>
          <w:spacing w:val="-10"/>
          <w:sz w:val="28"/>
        </w:rPr>
        <w:t> </w:t>
      </w:r>
      <w:r>
        <w:rPr>
          <w:color w:val="333333"/>
          <w:sz w:val="28"/>
        </w:rPr>
        <w:t>participants</w:t>
      </w:r>
      <w:r>
        <w:rPr>
          <w:color w:val="333333"/>
          <w:spacing w:val="-6"/>
          <w:sz w:val="28"/>
        </w:rPr>
        <w:t> </w:t>
      </w:r>
      <w:r>
        <w:rPr>
          <w:color w:val="333333"/>
          <w:sz w:val="28"/>
        </w:rPr>
        <w:t>(DPs)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within</w:t>
      </w:r>
      <w:r>
        <w:rPr>
          <w:color w:val="333333"/>
          <w:spacing w:val="-1"/>
          <w:sz w:val="28"/>
        </w:rPr>
        <w:t> </w:t>
      </w:r>
      <w:r>
        <w:rPr>
          <w:color w:val="333333"/>
          <w:sz w:val="28"/>
        </w:rPr>
        <w:t>7</w:t>
      </w:r>
      <w:r>
        <w:rPr>
          <w:color w:val="333333"/>
          <w:spacing w:val="-2"/>
          <w:sz w:val="28"/>
        </w:rPr>
        <w:t> </w:t>
      </w:r>
      <w:r>
        <w:rPr>
          <w:color w:val="333333"/>
          <w:sz w:val="28"/>
        </w:rPr>
        <w:t>working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days.</w:t>
      </w:r>
    </w:p>
    <w:p>
      <w:pPr>
        <w:pStyle w:val="ListParagraph"/>
        <w:numPr>
          <w:ilvl w:val="0"/>
          <w:numId w:val="6"/>
        </w:numPr>
        <w:tabs>
          <w:tab w:pos="725" w:val="left" w:leader="none"/>
        </w:tabs>
        <w:spacing w:line="300" w:lineRule="auto" w:before="2" w:after="0"/>
        <w:ind w:left="724" w:right="371" w:hanging="452"/>
        <w:jc w:val="both"/>
        <w:rPr>
          <w:color w:val="333333"/>
          <w:sz w:val="28"/>
        </w:rPr>
      </w:pPr>
      <w:r>
        <w:rPr>
          <w:color w:val="333333"/>
          <w:sz w:val="28"/>
        </w:rPr>
        <w:t>FPIs must maintain accurate details of their investor group with DPs at all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times.</w:t>
      </w:r>
    </w:p>
    <w:p>
      <w:pPr>
        <w:pStyle w:val="ListParagraph"/>
        <w:numPr>
          <w:ilvl w:val="0"/>
          <w:numId w:val="6"/>
        </w:numPr>
        <w:tabs>
          <w:tab w:pos="725" w:val="left" w:leader="none"/>
        </w:tabs>
        <w:spacing w:line="300" w:lineRule="auto" w:before="2" w:after="0"/>
        <w:ind w:left="724" w:right="370" w:hanging="452"/>
        <w:jc w:val="both"/>
        <w:rPr>
          <w:color w:val="333333"/>
          <w:sz w:val="28"/>
        </w:rPr>
      </w:pPr>
      <w:r>
        <w:rPr>
          <w:color w:val="333333"/>
          <w:sz w:val="28"/>
        </w:rPr>
        <w:t>DPs are obligated to inform to the Board, depositories and stock exchanges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within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2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working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days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if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any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penalty,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pending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litigation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or</w:t>
      </w:r>
      <w:r>
        <w:rPr>
          <w:color w:val="333333"/>
          <w:spacing w:val="77"/>
          <w:sz w:val="28"/>
        </w:rPr>
        <w:t> </w:t>
      </w:r>
      <w:r>
        <w:rPr>
          <w:color w:val="333333"/>
          <w:sz w:val="28"/>
        </w:rPr>
        <w:t>proceedings,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findings</w:t>
      </w:r>
      <w:r>
        <w:rPr>
          <w:color w:val="333333"/>
          <w:spacing w:val="-8"/>
          <w:sz w:val="28"/>
        </w:rPr>
        <w:t> </w:t>
      </w:r>
      <w:r>
        <w:rPr>
          <w:color w:val="333333"/>
          <w:sz w:val="28"/>
        </w:rPr>
        <w:t>of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inspections</w:t>
      </w:r>
      <w:r>
        <w:rPr>
          <w:color w:val="333333"/>
          <w:spacing w:val="-6"/>
          <w:sz w:val="28"/>
        </w:rPr>
        <w:t> </w:t>
      </w:r>
      <w:r>
        <w:rPr>
          <w:color w:val="333333"/>
          <w:sz w:val="28"/>
        </w:rPr>
        <w:t>or</w:t>
      </w:r>
      <w:r>
        <w:rPr>
          <w:color w:val="333333"/>
          <w:spacing w:val="-1"/>
          <w:sz w:val="28"/>
        </w:rPr>
        <w:t> </w:t>
      </w:r>
      <w:r>
        <w:rPr>
          <w:color w:val="333333"/>
          <w:sz w:val="28"/>
        </w:rPr>
        <w:t>investigations</w:t>
      </w:r>
      <w:r>
        <w:rPr>
          <w:color w:val="333333"/>
          <w:spacing w:val="-6"/>
          <w:sz w:val="28"/>
        </w:rPr>
        <w:t> </w:t>
      </w:r>
      <w:r>
        <w:rPr>
          <w:color w:val="333333"/>
          <w:sz w:val="28"/>
        </w:rPr>
        <w:t>have</w:t>
      </w:r>
      <w:r>
        <w:rPr>
          <w:color w:val="333333"/>
          <w:spacing w:val="-2"/>
          <w:sz w:val="28"/>
        </w:rPr>
        <w:t> </w:t>
      </w:r>
      <w:r>
        <w:rPr>
          <w:color w:val="333333"/>
          <w:sz w:val="28"/>
        </w:rPr>
        <w:t>been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initiated</w:t>
      </w:r>
      <w:r>
        <w:rPr>
          <w:color w:val="333333"/>
          <w:spacing w:val="-7"/>
          <w:sz w:val="28"/>
        </w:rPr>
        <w:t> </w:t>
      </w:r>
      <w:r>
        <w:rPr>
          <w:color w:val="333333"/>
          <w:sz w:val="28"/>
        </w:rPr>
        <w:t>against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them.</w:t>
      </w:r>
    </w:p>
    <w:p>
      <w:pPr>
        <w:pStyle w:val="ListParagraph"/>
        <w:numPr>
          <w:ilvl w:val="0"/>
          <w:numId w:val="6"/>
        </w:numPr>
        <w:tabs>
          <w:tab w:pos="725" w:val="left" w:leader="none"/>
        </w:tabs>
        <w:spacing w:line="300" w:lineRule="auto" w:before="2" w:after="0"/>
        <w:ind w:left="724" w:right="368" w:hanging="452"/>
        <w:jc w:val="both"/>
        <w:rPr>
          <w:color w:val="333333"/>
          <w:sz w:val="28"/>
        </w:rPr>
      </w:pPr>
      <w:r>
        <w:rPr>
          <w:color w:val="333333"/>
          <w:sz w:val="28"/>
        </w:rPr>
        <w:t>Any information or particulars previously submitted to the Board by DPs are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found to be materially false or misleading, it must inform the Board within 2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working</w:t>
      </w:r>
      <w:r>
        <w:rPr>
          <w:color w:val="333333"/>
          <w:spacing w:val="-5"/>
          <w:sz w:val="28"/>
        </w:rPr>
        <w:t> </w:t>
      </w:r>
      <w:r>
        <w:rPr>
          <w:color w:val="333333"/>
          <w:sz w:val="28"/>
        </w:rPr>
        <w:t>days.</w:t>
      </w:r>
    </w:p>
    <w:p>
      <w:pPr>
        <w:pStyle w:val="ListParagraph"/>
        <w:numPr>
          <w:ilvl w:val="0"/>
          <w:numId w:val="6"/>
        </w:numPr>
        <w:tabs>
          <w:tab w:pos="725" w:val="left" w:leader="none"/>
        </w:tabs>
        <w:spacing w:line="291" w:lineRule="exact" w:before="0" w:after="0"/>
        <w:ind w:left="724" w:right="0" w:hanging="452"/>
        <w:jc w:val="both"/>
        <w:rPr>
          <w:color w:val="1E3953"/>
          <w:sz w:val="28"/>
        </w:rPr>
      </w:pPr>
      <w:hyperlink r:id="rId12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4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Notification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</w:pPr>
    </w:p>
    <w:p>
      <w:pPr>
        <w:tabs>
          <w:tab w:pos="7567" w:val="left" w:leader="none"/>
          <w:tab w:pos="10717" w:val="left" w:leader="none"/>
        </w:tabs>
        <w:spacing w:before="89"/>
        <w:ind w:left="5212" w:right="0" w:firstLine="0"/>
        <w:jc w:val="left"/>
        <w:rPr>
          <w:rFonts w:ascii="Arial"/>
          <w:b/>
          <w:sz w:val="36"/>
        </w:rPr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204215</wp:posOffset>
            </wp:positionH>
            <wp:positionV relativeFrom="paragraph">
              <wp:posOffset>-695022</wp:posOffset>
            </wp:positionV>
            <wp:extent cx="2813304" cy="1371600"/>
            <wp:effectExtent l="0" t="0" r="0" b="0"/>
            <wp:wrapNone/>
            <wp:docPr id="7" name="image5.jpeg" descr="A picture containing company name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30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EBCF6A"/>
          <w:w w:val="100"/>
          <w:sz w:val="36"/>
          <w:shd w:fill="36394F" w:color="auto" w:val="clear"/>
        </w:rPr>
        <w:t> </w:t>
      </w:r>
      <w:r>
        <w:rPr>
          <w:rFonts w:ascii="Arial"/>
          <w:b/>
          <w:color w:val="EBCF6A"/>
          <w:sz w:val="36"/>
          <w:shd w:fill="36394F" w:color="auto" w:val="clear"/>
        </w:rPr>
        <w:tab/>
      </w:r>
      <w:r>
        <w:rPr>
          <w:rFonts w:ascii="Arial"/>
          <w:b/>
          <w:color w:val="EBCF6A"/>
          <w:sz w:val="36"/>
          <w:shd w:fill="36394F" w:color="auto" w:val="clear"/>
        </w:rPr>
        <w:t>POSH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6"/>
        </w:rPr>
      </w:pPr>
    </w:p>
    <w:p>
      <w:pPr>
        <w:pStyle w:val="Heading3"/>
        <w:ind w:left="204"/>
        <w:rPr>
          <w:u w:val="none"/>
        </w:rPr>
      </w:pPr>
      <w:r>
        <w:rPr>
          <w:color w:val="333333"/>
          <w:u w:val="thick" w:color="333333"/>
        </w:rPr>
        <w:t>1.</w:t>
      </w:r>
      <w:r>
        <w:rPr>
          <w:color w:val="333333"/>
          <w:spacing w:val="-3"/>
          <w:u w:val="thick" w:color="333333"/>
        </w:rPr>
        <w:t> </w:t>
      </w:r>
      <w:r>
        <w:rPr>
          <w:u w:val="thick" w:color="333333"/>
        </w:rPr>
        <w:t>Survey reveals</w:t>
      </w:r>
      <w:r>
        <w:rPr>
          <w:spacing w:val="5"/>
          <w:u w:val="thick" w:color="333333"/>
        </w:rPr>
        <w:t> </w:t>
      </w:r>
      <w:r>
        <w:rPr>
          <w:u w:val="thick" w:color="333333"/>
        </w:rPr>
        <w:t>only 8%</w:t>
      </w:r>
      <w:r>
        <w:rPr>
          <w:spacing w:val="-4"/>
          <w:u w:val="thick" w:color="333333"/>
        </w:rPr>
        <w:t> </w:t>
      </w:r>
      <w:r>
        <w:rPr>
          <w:u w:val="thick" w:color="333333"/>
        </w:rPr>
        <w:t>employees</w:t>
      </w:r>
      <w:r>
        <w:rPr>
          <w:spacing w:val="7"/>
          <w:u w:val="thick" w:color="333333"/>
        </w:rPr>
        <w:t> </w:t>
      </w:r>
      <w:r>
        <w:rPr>
          <w:u w:val="thick" w:color="333333"/>
        </w:rPr>
        <w:t>aware</w:t>
      </w:r>
      <w:r>
        <w:rPr>
          <w:spacing w:val="-10"/>
          <w:u w:val="thick" w:color="333333"/>
        </w:rPr>
        <w:t> </w:t>
      </w:r>
      <w:r>
        <w:rPr>
          <w:u w:val="thick" w:color="333333"/>
        </w:rPr>
        <w:t>of the</w:t>
      </w:r>
      <w:r>
        <w:rPr>
          <w:spacing w:val="-3"/>
          <w:u w:val="thick" w:color="333333"/>
        </w:rPr>
        <w:t> </w:t>
      </w:r>
      <w:r>
        <w:rPr>
          <w:u w:val="thick" w:color="333333"/>
        </w:rPr>
        <w:t>PoSH</w:t>
      </w:r>
      <w:r>
        <w:rPr>
          <w:spacing w:val="-16"/>
          <w:u w:val="thick" w:color="333333"/>
        </w:rPr>
        <w:t> </w:t>
      </w:r>
      <w:r>
        <w:rPr>
          <w:u w:val="thick" w:color="333333"/>
        </w:rPr>
        <w:t>Act.</w:t>
      </w:r>
    </w:p>
    <w:p>
      <w:pPr>
        <w:pStyle w:val="BodyText"/>
        <w:spacing w:before="2"/>
        <w:rPr>
          <w:rFonts w:ascii="Arial"/>
          <w:b/>
          <w:sz w:val="45"/>
        </w:rPr>
      </w:pPr>
    </w:p>
    <w:p>
      <w:pPr>
        <w:pStyle w:val="ListParagraph"/>
        <w:numPr>
          <w:ilvl w:val="0"/>
          <w:numId w:val="5"/>
        </w:numPr>
        <w:tabs>
          <w:tab w:pos="657" w:val="left" w:leader="none"/>
        </w:tabs>
        <w:spacing w:line="300" w:lineRule="auto" w:before="0" w:after="0"/>
        <w:ind w:left="656" w:right="255" w:hanging="452"/>
        <w:jc w:val="both"/>
        <w:rPr>
          <w:color w:val="333333"/>
          <w:sz w:val="28"/>
        </w:rPr>
      </w:pPr>
      <w:r>
        <w:rPr>
          <w:color w:val="333333"/>
          <w:sz w:val="28"/>
        </w:rPr>
        <w:t>Survey conducted by Stratefix Consulting, in collaboration with the National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Human</w:t>
      </w:r>
      <w:r>
        <w:rPr>
          <w:color w:val="333333"/>
          <w:spacing w:val="-5"/>
          <w:sz w:val="28"/>
        </w:rPr>
        <w:t> </w:t>
      </w:r>
      <w:r>
        <w:rPr>
          <w:color w:val="333333"/>
          <w:sz w:val="28"/>
        </w:rPr>
        <w:t>Resource</w:t>
      </w:r>
      <w:r>
        <w:rPr>
          <w:color w:val="333333"/>
          <w:spacing w:val="-8"/>
          <w:sz w:val="28"/>
        </w:rPr>
        <w:t> </w:t>
      </w:r>
      <w:r>
        <w:rPr>
          <w:color w:val="333333"/>
          <w:sz w:val="28"/>
        </w:rPr>
        <w:t>Development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(NHRD).</w:t>
      </w:r>
    </w:p>
    <w:p>
      <w:pPr>
        <w:pStyle w:val="ListParagraph"/>
        <w:numPr>
          <w:ilvl w:val="0"/>
          <w:numId w:val="5"/>
        </w:numPr>
        <w:tabs>
          <w:tab w:pos="657" w:val="left" w:leader="none"/>
        </w:tabs>
        <w:spacing w:line="300" w:lineRule="auto" w:before="1" w:after="0"/>
        <w:ind w:left="656" w:right="255" w:hanging="452"/>
        <w:jc w:val="both"/>
        <w:rPr>
          <w:color w:val="333333"/>
          <w:sz w:val="28"/>
        </w:rPr>
      </w:pPr>
      <w:r>
        <w:rPr>
          <w:color w:val="333333"/>
          <w:sz w:val="28"/>
        </w:rPr>
        <w:t>A total of 400 working professionals, comprising all genders and different age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groups,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participated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in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this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survey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where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it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revealed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that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only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8%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of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respondents</w:t>
      </w:r>
      <w:r>
        <w:rPr>
          <w:color w:val="333333"/>
          <w:spacing w:val="-8"/>
          <w:sz w:val="28"/>
        </w:rPr>
        <w:t> </w:t>
      </w:r>
      <w:r>
        <w:rPr>
          <w:color w:val="333333"/>
          <w:sz w:val="28"/>
        </w:rPr>
        <w:t>were</w:t>
      </w:r>
      <w:r>
        <w:rPr>
          <w:color w:val="333333"/>
          <w:spacing w:val="-1"/>
          <w:sz w:val="28"/>
        </w:rPr>
        <w:t> </w:t>
      </w:r>
      <w:r>
        <w:rPr>
          <w:color w:val="333333"/>
          <w:sz w:val="28"/>
        </w:rPr>
        <w:t>aware</w:t>
      </w:r>
      <w:r>
        <w:rPr>
          <w:color w:val="333333"/>
          <w:spacing w:val="-2"/>
          <w:sz w:val="28"/>
        </w:rPr>
        <w:t> </w:t>
      </w:r>
      <w:r>
        <w:rPr>
          <w:color w:val="333333"/>
          <w:sz w:val="28"/>
        </w:rPr>
        <w:t>of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PoSH</w:t>
      </w:r>
      <w:r>
        <w:rPr>
          <w:color w:val="333333"/>
          <w:spacing w:val="-1"/>
          <w:sz w:val="28"/>
        </w:rPr>
        <w:t> </w:t>
      </w:r>
      <w:r>
        <w:rPr>
          <w:color w:val="333333"/>
          <w:sz w:val="28"/>
        </w:rPr>
        <w:t>policy</w:t>
      </w:r>
      <w:r>
        <w:rPr>
          <w:color w:val="333333"/>
          <w:spacing w:val="-5"/>
          <w:sz w:val="28"/>
        </w:rPr>
        <w:t> </w:t>
      </w:r>
      <w:r>
        <w:rPr>
          <w:color w:val="333333"/>
          <w:sz w:val="28"/>
        </w:rPr>
        <w:t>prior</w:t>
      </w:r>
      <w:r>
        <w:rPr>
          <w:color w:val="333333"/>
          <w:spacing w:val="-6"/>
          <w:sz w:val="28"/>
        </w:rPr>
        <w:t> </w:t>
      </w:r>
      <w:r>
        <w:rPr>
          <w:color w:val="333333"/>
          <w:sz w:val="28"/>
        </w:rPr>
        <w:t>to</w:t>
      </w:r>
      <w:r>
        <w:rPr>
          <w:color w:val="333333"/>
          <w:spacing w:val="78"/>
          <w:sz w:val="28"/>
        </w:rPr>
        <w:t> </w:t>
      </w:r>
      <w:r>
        <w:rPr>
          <w:color w:val="333333"/>
          <w:sz w:val="28"/>
        </w:rPr>
        <w:t>2021.</w:t>
      </w:r>
    </w:p>
    <w:p>
      <w:pPr>
        <w:pStyle w:val="Heading4"/>
        <w:numPr>
          <w:ilvl w:val="0"/>
          <w:numId w:val="5"/>
        </w:numPr>
        <w:tabs>
          <w:tab w:pos="657" w:val="left" w:leader="none"/>
        </w:tabs>
        <w:spacing w:line="300" w:lineRule="auto" w:before="3" w:after="0"/>
        <w:ind w:left="656" w:right="252" w:hanging="452"/>
        <w:jc w:val="both"/>
        <w:rPr>
          <w:rFonts w:ascii="Arial MT" w:hAnsi="Arial MT"/>
          <w:b w:val="0"/>
          <w:color w:val="333333"/>
        </w:rPr>
      </w:pPr>
      <w:r>
        <w:rPr>
          <w:rFonts w:ascii="Arial MT" w:hAnsi="Arial MT"/>
          <w:b w:val="0"/>
          <w:color w:val="333333"/>
        </w:rPr>
        <w:t>It was found </w:t>
      </w:r>
      <w:r>
        <w:rPr>
          <w:color w:val="333333"/>
        </w:rPr>
        <w:t>that 37% largely women have experienced sexual harassment</w:t>
      </w:r>
      <w:r>
        <w:rPr>
          <w:color w:val="333333"/>
          <w:spacing w:val="1"/>
        </w:rPr>
        <w:t> </w:t>
      </w:r>
      <w:r>
        <w:rPr>
          <w:color w:val="333333"/>
        </w:rPr>
        <w:t>at work and 11% said that they would leave the organisation rather than</w:t>
      </w:r>
      <w:r>
        <w:rPr>
          <w:color w:val="333333"/>
          <w:spacing w:val="1"/>
        </w:rPr>
        <w:t> </w:t>
      </w:r>
      <w:r>
        <w:rPr>
          <w:color w:val="333333"/>
        </w:rPr>
        <w:t>choose</w:t>
      </w:r>
      <w:r>
        <w:rPr>
          <w:color w:val="333333"/>
          <w:spacing w:val="-5"/>
        </w:rPr>
        <w:t> </w:t>
      </w:r>
      <w:r>
        <w:rPr>
          <w:color w:val="333333"/>
        </w:rPr>
        <w:t>to</w:t>
      </w:r>
      <w:r>
        <w:rPr>
          <w:color w:val="333333"/>
          <w:spacing w:val="-5"/>
        </w:rPr>
        <w:t> </w:t>
      </w:r>
      <w:r>
        <w:rPr>
          <w:color w:val="333333"/>
        </w:rPr>
        <w:t>report</w:t>
      </w:r>
      <w:r>
        <w:rPr>
          <w:color w:val="333333"/>
          <w:spacing w:val="-3"/>
        </w:rPr>
        <w:t> </w:t>
      </w:r>
      <w:r>
        <w:rPr>
          <w:color w:val="333333"/>
        </w:rPr>
        <w:t>the</w:t>
      </w:r>
      <w:r>
        <w:rPr>
          <w:color w:val="333333"/>
          <w:spacing w:val="-4"/>
        </w:rPr>
        <w:t> </w:t>
      </w:r>
      <w:r>
        <w:rPr>
          <w:color w:val="333333"/>
        </w:rPr>
        <w:t>harassment</w:t>
      </w:r>
      <w:r>
        <w:rPr>
          <w:rFonts w:ascii="Arial MT" w:hAnsi="Arial MT"/>
          <w:b w:val="0"/>
          <w:color w:val="333333"/>
        </w:rPr>
        <w:t>.</w:t>
      </w:r>
    </w:p>
    <w:p>
      <w:pPr>
        <w:pStyle w:val="ListParagraph"/>
        <w:numPr>
          <w:ilvl w:val="0"/>
          <w:numId w:val="5"/>
        </w:numPr>
        <w:tabs>
          <w:tab w:pos="657" w:val="left" w:leader="none"/>
        </w:tabs>
        <w:spacing w:line="300" w:lineRule="auto" w:before="2" w:after="0"/>
        <w:ind w:left="656" w:right="259" w:hanging="452"/>
        <w:jc w:val="both"/>
        <w:rPr>
          <w:color w:val="333333"/>
          <w:sz w:val="28"/>
        </w:rPr>
      </w:pPr>
      <w:r>
        <w:rPr>
          <w:color w:val="333333"/>
          <w:sz w:val="28"/>
        </w:rPr>
        <w:t>It was also reported, 950 cases of virtual harassment versus 487 incidents of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physical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harassment</w:t>
      </w:r>
      <w:r>
        <w:rPr>
          <w:color w:val="333333"/>
          <w:spacing w:val="-7"/>
          <w:sz w:val="28"/>
        </w:rPr>
        <w:t> </w:t>
      </w:r>
      <w:r>
        <w:rPr>
          <w:color w:val="333333"/>
          <w:sz w:val="28"/>
        </w:rPr>
        <w:t>at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workplaces.</w:t>
      </w:r>
    </w:p>
    <w:p>
      <w:pPr>
        <w:pStyle w:val="ListParagraph"/>
        <w:numPr>
          <w:ilvl w:val="0"/>
          <w:numId w:val="5"/>
        </w:numPr>
        <w:tabs>
          <w:tab w:pos="657" w:val="left" w:leader="none"/>
        </w:tabs>
        <w:spacing w:line="300" w:lineRule="auto" w:before="2" w:after="0"/>
        <w:ind w:left="656" w:right="255" w:hanging="452"/>
        <w:jc w:val="both"/>
        <w:rPr>
          <w:color w:val="333333"/>
          <w:sz w:val="28"/>
        </w:rPr>
      </w:pPr>
      <w:r>
        <w:rPr/>
        <w:pict>
          <v:shape style="position:absolute;margin-left:11.448pt;margin-top:57.900734pt;width:517.7pt;height:17pt;mso-position-horizontal-relative:page;mso-position-vertical-relative:paragraph;z-index:-16097792" type="#_x0000_t202" filled="false" stroked="false">
            <v:textbox inset="0,0,0,0">
              <w:txbxContent>
                <w:p>
                  <w:pPr>
                    <w:tabs>
                      <w:tab w:pos="7296" w:val="left" w:leader="none"/>
                    </w:tabs>
                    <w:spacing w:line="340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51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4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55.639656pt;width:539.950pt;height:20.4pt;mso-position-horizontal-relative:page;mso-position-vertical-relative:paragraph;z-index:15735808" coordorigin="0,1113" coordsize="10799,408">
            <v:rect style="position:absolute;left:0;top:1112;width:10799;height:408" filled="true" fillcolor="#36394f" stroked="false">
              <v:fill type="solid"/>
            </v:rect>
            <v:shape style="position:absolute;left:117;top:1137;width:2030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MARCH</w:t>
                    </w:r>
                    <w:r>
                      <w:rPr>
                        <w:rFonts w:ascii="Arial"/>
                        <w:b/>
                        <w:color w:val="EBCF6A"/>
                        <w:spacing w:val="53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22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487;top:1137;width:3131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333333"/>
          <w:sz w:val="28"/>
        </w:rPr>
        <w:t>22%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of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respondents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were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not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aware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of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what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constitutes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virtual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sexual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harassment</w:t>
      </w:r>
    </w:p>
    <w:p>
      <w:pPr>
        <w:spacing w:after="0" w:line="300" w:lineRule="auto"/>
        <w:jc w:val="both"/>
        <w:rPr>
          <w:sz w:val="28"/>
        </w:rPr>
        <w:sectPr>
          <w:pgSz w:w="10800" w:h="19200"/>
          <w:pgMar w:top="0" w:bottom="0" w:left="20" w:right="0"/>
        </w:sectPr>
      </w:pPr>
    </w:p>
    <w:p>
      <w:pPr>
        <w:tabs>
          <w:tab w:pos="5272" w:val="left" w:leader="none"/>
        </w:tabs>
        <w:spacing w:line="240" w:lineRule="auto"/>
        <w:ind w:left="337" w:right="0" w:firstLine="0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94720" filled="true" fillcolor="#fdfcf8" stroked="false">
            <v:fill type="solid"/>
            <w10:wrap type="none"/>
          </v:rect>
        </w:pict>
      </w:r>
      <w:r>
        <w:rPr>
          <w:sz w:val="20"/>
        </w:rPr>
        <w:drawing>
          <wp:inline distT="0" distB="0" distL="0" distR="0">
            <wp:extent cx="2987338" cy="2130552"/>
            <wp:effectExtent l="0" t="0" r="0" b="0"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338" cy="213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25"/>
          <w:sz w:val="20"/>
        </w:rPr>
        <w:pict>
          <v:group style="width:262.2pt;height:176.3pt;mso-position-horizontal-relative:char;mso-position-vertical-relative:line" coordorigin="0,0" coordsize="5244,3526">
            <v:rect style="position:absolute;left:3751;top:0;width:857;height:3064" filled="true" fillcolor="#ebcf6a" stroked="false">
              <v:fill type="solid"/>
            </v:rect>
            <v:shape style="position:absolute;left:3189;top:300;width:1786;height:1798" type="#_x0000_t75" stroked="false">
              <v:imagedata r:id="rId5" o:title=""/>
            </v:shape>
            <v:shape style="position:absolute;left:0;top:3063;width:5244;height:463" type="#_x0000_t202" filled="true" fillcolor="#36394f" stroked="false">
              <v:textbox inset="0,0,0,0">
                <w:txbxContent>
                  <w:p>
                    <w:pPr>
                      <w:spacing w:before="10"/>
                      <w:ind w:left="650" w:right="426" w:firstLine="0"/>
                      <w:jc w:val="center"/>
                      <w:rPr>
                        <w:rFonts w:ascii="Arial"/>
                        <w:b/>
                        <w:sz w:val="36"/>
                      </w:rPr>
                    </w:pPr>
                    <w:bookmarkStart w:name="Slide 4" w:id="4"/>
                    <w:bookmarkEnd w:id="4"/>
                    <w:r>
                      <w:rPr/>
                    </w:r>
                    <w:r>
                      <w:rPr>
                        <w:rFonts w:ascii="Arial"/>
                        <w:b/>
                        <w:color w:val="EBCF6A"/>
                        <w:spacing w:val="-1"/>
                        <w:sz w:val="36"/>
                      </w:rPr>
                      <w:t>BAR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6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"/>
                        <w:sz w:val="36"/>
                      </w:rPr>
                      <w:t>COUNCIL</w:t>
                    </w:r>
                    <w:r>
                      <w:rPr>
                        <w:rFonts w:ascii="Arial"/>
                        <w:b/>
                        <w:color w:val="EBCF6A"/>
                        <w:spacing w:val="-23"/>
                        <w:sz w:val="36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"/>
                        <w:sz w:val="36"/>
                      </w:rPr>
                      <w:t>OF</w:t>
                    </w:r>
                    <w:r>
                      <w:rPr>
                        <w:rFonts w:ascii="Arial"/>
                        <w:b/>
                        <w:color w:val="EBCF6A"/>
                        <w:spacing w:val="-20"/>
                        <w:sz w:val="36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"/>
                        <w:sz w:val="36"/>
                      </w:rPr>
                      <w:t>INDIA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position w:val="25"/>
          <w:sz w:val="20"/>
        </w:rPr>
      </w:r>
    </w:p>
    <w:p>
      <w:pPr>
        <w:pStyle w:val="BodyText"/>
        <w:spacing w:before="9"/>
      </w:pPr>
    </w:p>
    <w:p>
      <w:pPr>
        <w:pStyle w:val="Heading3"/>
        <w:spacing w:line="300" w:lineRule="auto"/>
        <w:ind w:left="240" w:right="363"/>
        <w:rPr>
          <w:u w:val="none"/>
        </w:rPr>
      </w:pPr>
      <w:r>
        <w:rPr>
          <w:color w:val="202020"/>
          <w:u w:val="thick" w:color="202020"/>
        </w:rPr>
        <w:t>1</w:t>
      </w:r>
      <w:r>
        <w:rPr>
          <w:u w:val="thick" w:color="202020"/>
        </w:rPr>
        <w:t>.</w:t>
      </w:r>
      <w:r>
        <w:rPr>
          <w:spacing w:val="28"/>
          <w:u w:val="thick" w:color="202020"/>
        </w:rPr>
        <w:t> </w:t>
      </w:r>
      <w:r>
        <w:rPr>
          <w:u w:val="thick" w:color="202020"/>
        </w:rPr>
        <w:t>Bar</w:t>
      </w:r>
      <w:r>
        <w:rPr>
          <w:spacing w:val="30"/>
          <w:u w:val="thick" w:color="202020"/>
        </w:rPr>
        <w:t> </w:t>
      </w:r>
      <w:r>
        <w:rPr>
          <w:u w:val="thick" w:color="202020"/>
        </w:rPr>
        <w:t>Council</w:t>
      </w:r>
      <w:r>
        <w:rPr>
          <w:spacing w:val="32"/>
          <w:u w:val="thick" w:color="202020"/>
        </w:rPr>
        <w:t> </w:t>
      </w:r>
      <w:r>
        <w:rPr>
          <w:u w:val="thick" w:color="202020"/>
        </w:rPr>
        <w:t>Allows</w:t>
      </w:r>
      <w:r>
        <w:rPr>
          <w:spacing w:val="29"/>
          <w:u w:val="thick" w:color="202020"/>
        </w:rPr>
        <w:t> </w:t>
      </w:r>
      <w:r>
        <w:rPr>
          <w:u w:val="thick" w:color="202020"/>
        </w:rPr>
        <w:t>Foreign</w:t>
      </w:r>
      <w:r>
        <w:rPr>
          <w:spacing w:val="31"/>
          <w:u w:val="thick" w:color="202020"/>
        </w:rPr>
        <w:t> </w:t>
      </w:r>
      <w:r>
        <w:rPr>
          <w:u w:val="thick" w:color="202020"/>
        </w:rPr>
        <w:t>Lawyers,</w:t>
      </w:r>
      <w:r>
        <w:rPr>
          <w:spacing w:val="29"/>
          <w:u w:val="thick" w:color="202020"/>
        </w:rPr>
        <w:t> </w:t>
      </w:r>
      <w:r>
        <w:rPr>
          <w:u w:val="thick" w:color="202020"/>
        </w:rPr>
        <w:t>Law</w:t>
      </w:r>
      <w:r>
        <w:rPr>
          <w:spacing w:val="37"/>
          <w:u w:val="thick" w:color="202020"/>
        </w:rPr>
        <w:t> </w:t>
      </w:r>
      <w:r>
        <w:rPr>
          <w:u w:val="thick" w:color="202020"/>
        </w:rPr>
        <w:t>Firms</w:t>
      </w:r>
      <w:r>
        <w:rPr>
          <w:spacing w:val="31"/>
          <w:u w:val="thick" w:color="202020"/>
        </w:rPr>
        <w:t> </w:t>
      </w:r>
      <w:r>
        <w:rPr>
          <w:u w:val="thick" w:color="202020"/>
        </w:rPr>
        <w:t>To</w:t>
      </w:r>
      <w:r>
        <w:rPr>
          <w:spacing w:val="28"/>
          <w:u w:val="thick" w:color="202020"/>
        </w:rPr>
        <w:t> </w:t>
      </w:r>
      <w:r>
        <w:rPr>
          <w:u w:val="thick" w:color="202020"/>
        </w:rPr>
        <w:t>Practice</w:t>
      </w:r>
      <w:r>
        <w:rPr>
          <w:spacing w:val="30"/>
          <w:u w:val="thick" w:color="202020"/>
        </w:rPr>
        <w:t> </w:t>
      </w:r>
      <w:r>
        <w:rPr>
          <w:u w:val="thick" w:color="202020"/>
        </w:rPr>
        <w:t>in</w:t>
      </w:r>
      <w:r>
        <w:rPr>
          <w:spacing w:val="-86"/>
          <w:u w:val="none"/>
        </w:rPr>
        <w:t> </w:t>
      </w:r>
      <w:r>
        <w:rPr>
          <w:u w:val="thick"/>
        </w:rPr>
        <w:t>India</w:t>
      </w:r>
    </w:p>
    <w:p>
      <w:pPr>
        <w:pStyle w:val="BodyText"/>
        <w:spacing w:before="3"/>
        <w:rPr>
          <w:rFonts w:ascii="Arial"/>
          <w:b/>
          <w:sz w:val="29"/>
        </w:rPr>
      </w:pPr>
    </w:p>
    <w:p>
      <w:pPr>
        <w:pStyle w:val="ListParagraph"/>
        <w:numPr>
          <w:ilvl w:val="0"/>
          <w:numId w:val="5"/>
        </w:numPr>
        <w:tabs>
          <w:tab w:pos="692" w:val="left" w:leader="none"/>
        </w:tabs>
        <w:spacing w:line="300" w:lineRule="auto" w:before="91" w:after="0"/>
        <w:ind w:left="691" w:right="366" w:hanging="452"/>
        <w:jc w:val="both"/>
        <w:rPr>
          <w:color w:val="333333"/>
          <w:sz w:val="28"/>
        </w:rPr>
      </w:pPr>
      <w:r>
        <w:rPr>
          <w:color w:val="333333"/>
          <w:sz w:val="28"/>
        </w:rPr>
        <w:t>The three broad areas which have been opened up for them include foreign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law,</w:t>
      </w:r>
      <w:r>
        <w:rPr>
          <w:color w:val="333333"/>
          <w:spacing w:val="-1"/>
          <w:sz w:val="28"/>
        </w:rPr>
        <w:t> </w:t>
      </w:r>
      <w:r>
        <w:rPr>
          <w:color w:val="333333"/>
          <w:sz w:val="28"/>
        </w:rPr>
        <w:t>arbitration</w:t>
      </w:r>
      <w:r>
        <w:rPr>
          <w:color w:val="333333"/>
          <w:spacing w:val="-9"/>
          <w:sz w:val="28"/>
        </w:rPr>
        <w:t> </w:t>
      </w:r>
      <w:r>
        <w:rPr>
          <w:color w:val="333333"/>
          <w:sz w:val="28"/>
        </w:rPr>
        <w:t>matters</w:t>
      </w:r>
      <w:r>
        <w:rPr>
          <w:color w:val="333333"/>
          <w:spacing w:val="-7"/>
          <w:sz w:val="28"/>
        </w:rPr>
        <w:t> </w:t>
      </w:r>
      <w:r>
        <w:rPr>
          <w:color w:val="333333"/>
          <w:sz w:val="28"/>
        </w:rPr>
        <w:t>and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international</w:t>
      </w:r>
      <w:r>
        <w:rPr>
          <w:color w:val="333333"/>
          <w:spacing w:val="-7"/>
          <w:sz w:val="28"/>
        </w:rPr>
        <w:t> </w:t>
      </w:r>
      <w:r>
        <w:rPr>
          <w:color w:val="333333"/>
          <w:sz w:val="28"/>
        </w:rPr>
        <w:t>legal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issues.</w:t>
      </w:r>
    </w:p>
    <w:p>
      <w:pPr>
        <w:pStyle w:val="ListParagraph"/>
        <w:numPr>
          <w:ilvl w:val="0"/>
          <w:numId w:val="5"/>
        </w:numPr>
        <w:tabs>
          <w:tab w:pos="692" w:val="left" w:leader="none"/>
        </w:tabs>
        <w:spacing w:line="240" w:lineRule="auto" w:before="2" w:after="0"/>
        <w:ind w:left="691" w:right="0" w:hanging="452"/>
        <w:jc w:val="both"/>
        <w:rPr>
          <w:color w:val="333333"/>
          <w:sz w:val="28"/>
        </w:rPr>
      </w:pPr>
      <w:r>
        <w:rPr>
          <w:color w:val="333333"/>
          <w:sz w:val="28"/>
        </w:rPr>
        <w:t>As</w:t>
      </w:r>
      <w:r>
        <w:rPr>
          <w:color w:val="333333"/>
          <w:spacing w:val="14"/>
          <w:sz w:val="28"/>
        </w:rPr>
        <w:t> </w:t>
      </w:r>
      <w:r>
        <w:rPr>
          <w:color w:val="333333"/>
          <w:sz w:val="28"/>
        </w:rPr>
        <w:t>per</w:t>
      </w:r>
      <w:r>
        <w:rPr>
          <w:color w:val="333333"/>
          <w:spacing w:val="10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14"/>
          <w:sz w:val="28"/>
        </w:rPr>
        <w:t> </w:t>
      </w:r>
      <w:r>
        <w:rPr>
          <w:color w:val="333333"/>
          <w:sz w:val="28"/>
        </w:rPr>
        <w:t>rules,</w:t>
      </w:r>
      <w:r>
        <w:rPr>
          <w:color w:val="333333"/>
          <w:spacing w:val="11"/>
          <w:sz w:val="28"/>
        </w:rPr>
        <w:t> </w:t>
      </w:r>
      <w:r>
        <w:rPr>
          <w:color w:val="333333"/>
          <w:sz w:val="28"/>
        </w:rPr>
        <w:t>foreign</w:t>
      </w:r>
      <w:r>
        <w:rPr>
          <w:color w:val="333333"/>
          <w:spacing w:val="12"/>
          <w:sz w:val="28"/>
        </w:rPr>
        <w:t> </w:t>
      </w:r>
      <w:r>
        <w:rPr>
          <w:color w:val="333333"/>
          <w:sz w:val="28"/>
        </w:rPr>
        <w:t>lawyers</w:t>
      </w:r>
      <w:r>
        <w:rPr>
          <w:color w:val="333333"/>
          <w:spacing w:val="12"/>
          <w:sz w:val="28"/>
        </w:rPr>
        <w:t> </w:t>
      </w:r>
      <w:r>
        <w:rPr>
          <w:color w:val="333333"/>
          <w:sz w:val="28"/>
        </w:rPr>
        <w:t>and</w:t>
      </w:r>
      <w:r>
        <w:rPr>
          <w:color w:val="333333"/>
          <w:spacing w:val="12"/>
          <w:sz w:val="28"/>
        </w:rPr>
        <w:t> </w:t>
      </w:r>
      <w:r>
        <w:rPr>
          <w:color w:val="333333"/>
          <w:sz w:val="28"/>
        </w:rPr>
        <w:t>law</w:t>
      </w:r>
      <w:r>
        <w:rPr>
          <w:color w:val="333333"/>
          <w:spacing w:val="12"/>
          <w:sz w:val="28"/>
        </w:rPr>
        <w:t> </w:t>
      </w:r>
      <w:r>
        <w:rPr>
          <w:color w:val="333333"/>
          <w:sz w:val="28"/>
        </w:rPr>
        <w:t>firms</w:t>
      </w:r>
      <w:r>
        <w:rPr>
          <w:color w:val="333333"/>
          <w:spacing w:val="14"/>
          <w:sz w:val="28"/>
        </w:rPr>
        <w:t> </w:t>
      </w:r>
      <w:r>
        <w:rPr>
          <w:color w:val="333333"/>
          <w:sz w:val="28"/>
        </w:rPr>
        <w:t>will</w:t>
      </w:r>
      <w:r>
        <w:rPr>
          <w:color w:val="333333"/>
          <w:spacing w:val="15"/>
          <w:sz w:val="28"/>
        </w:rPr>
        <w:t> </w:t>
      </w:r>
      <w:r>
        <w:rPr>
          <w:color w:val="333333"/>
          <w:sz w:val="28"/>
        </w:rPr>
        <w:t>be</w:t>
      </w:r>
      <w:r>
        <w:rPr>
          <w:color w:val="333333"/>
          <w:spacing w:val="13"/>
          <w:sz w:val="28"/>
        </w:rPr>
        <w:t> </w:t>
      </w:r>
      <w:r>
        <w:rPr>
          <w:color w:val="333333"/>
          <w:sz w:val="28"/>
        </w:rPr>
        <w:t>entitled</w:t>
      </w:r>
      <w:r>
        <w:rPr>
          <w:color w:val="333333"/>
          <w:spacing w:val="11"/>
          <w:sz w:val="28"/>
        </w:rPr>
        <w:t> </w:t>
      </w:r>
      <w:r>
        <w:rPr>
          <w:color w:val="333333"/>
          <w:sz w:val="28"/>
        </w:rPr>
        <w:t>to</w:t>
      </w:r>
      <w:r>
        <w:rPr>
          <w:color w:val="333333"/>
          <w:spacing w:val="12"/>
          <w:sz w:val="28"/>
        </w:rPr>
        <w:t> </w:t>
      </w:r>
      <w:r>
        <w:rPr>
          <w:color w:val="333333"/>
          <w:sz w:val="28"/>
        </w:rPr>
        <w:t>practice</w:t>
      </w:r>
      <w:r>
        <w:rPr>
          <w:color w:val="333333"/>
          <w:spacing w:val="13"/>
          <w:sz w:val="28"/>
        </w:rPr>
        <w:t> </w:t>
      </w:r>
      <w:r>
        <w:rPr>
          <w:color w:val="333333"/>
          <w:sz w:val="28"/>
        </w:rPr>
        <w:t>only</w:t>
      </w:r>
    </w:p>
    <w:p>
      <w:pPr>
        <w:pStyle w:val="BodyText"/>
        <w:spacing w:before="81"/>
        <w:ind w:left="691"/>
        <w:jc w:val="both"/>
      </w:pPr>
      <w:r>
        <w:rPr>
          <w:color w:val="333333"/>
        </w:rPr>
        <w:t>in</w:t>
      </w:r>
      <w:r>
        <w:rPr>
          <w:color w:val="333333"/>
          <w:spacing w:val="-1"/>
        </w:rPr>
        <w:t> </w:t>
      </w:r>
      <w:r>
        <w:rPr>
          <w:color w:val="333333"/>
        </w:rPr>
        <w:t>non-litigious</w:t>
      </w:r>
      <w:r>
        <w:rPr>
          <w:color w:val="333333"/>
          <w:spacing w:val="-6"/>
        </w:rPr>
        <w:t> </w:t>
      </w:r>
      <w:r>
        <w:rPr>
          <w:color w:val="333333"/>
        </w:rPr>
        <w:t>matters.</w:t>
      </w:r>
    </w:p>
    <w:p>
      <w:pPr>
        <w:pStyle w:val="ListParagraph"/>
        <w:numPr>
          <w:ilvl w:val="0"/>
          <w:numId w:val="5"/>
        </w:numPr>
        <w:tabs>
          <w:tab w:pos="692" w:val="left" w:leader="none"/>
        </w:tabs>
        <w:spacing w:line="300" w:lineRule="auto" w:before="82" w:after="0"/>
        <w:ind w:left="691" w:right="362" w:hanging="452"/>
        <w:jc w:val="both"/>
        <w:rPr>
          <w:color w:val="333333"/>
          <w:sz w:val="28"/>
        </w:rPr>
      </w:pPr>
      <w:r>
        <w:rPr>
          <w:color w:val="333333"/>
          <w:sz w:val="28"/>
        </w:rPr>
        <w:t>According to the BCI, a statutory body, opening up of law practice in India to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foreign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lawyers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in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cases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would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go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a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long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way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in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helping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legal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profession/domain</w:t>
      </w:r>
      <w:r>
        <w:rPr>
          <w:color w:val="333333"/>
          <w:spacing w:val="-8"/>
          <w:sz w:val="28"/>
        </w:rPr>
        <w:t> </w:t>
      </w:r>
      <w:r>
        <w:rPr>
          <w:color w:val="333333"/>
          <w:sz w:val="28"/>
        </w:rPr>
        <w:t>grow</w:t>
      </w:r>
      <w:r>
        <w:rPr>
          <w:color w:val="333333"/>
          <w:spacing w:val="-2"/>
          <w:sz w:val="28"/>
        </w:rPr>
        <w:t> </w:t>
      </w:r>
      <w:r>
        <w:rPr>
          <w:color w:val="333333"/>
          <w:sz w:val="28"/>
        </w:rPr>
        <w:t>in</w:t>
      </w:r>
      <w:r>
        <w:rPr>
          <w:color w:val="333333"/>
          <w:spacing w:val="-2"/>
          <w:sz w:val="28"/>
        </w:rPr>
        <w:t> </w:t>
      </w:r>
      <w:r>
        <w:rPr>
          <w:color w:val="333333"/>
          <w:sz w:val="28"/>
        </w:rPr>
        <w:t>India</w:t>
      </w:r>
      <w:r>
        <w:rPr>
          <w:color w:val="333333"/>
          <w:spacing w:val="-6"/>
          <w:sz w:val="28"/>
        </w:rPr>
        <w:t> </w:t>
      </w:r>
      <w:r>
        <w:rPr>
          <w:color w:val="333333"/>
          <w:sz w:val="28"/>
        </w:rPr>
        <w:t>to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benefit</w:t>
      </w:r>
      <w:r>
        <w:rPr>
          <w:color w:val="333333"/>
          <w:spacing w:val="-6"/>
          <w:sz w:val="28"/>
        </w:rPr>
        <w:t> </w:t>
      </w:r>
      <w:r>
        <w:rPr>
          <w:color w:val="333333"/>
          <w:sz w:val="28"/>
        </w:rPr>
        <w:t>of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lawyers</w:t>
      </w:r>
      <w:r>
        <w:rPr>
          <w:color w:val="333333"/>
          <w:spacing w:val="2"/>
          <w:sz w:val="28"/>
        </w:rPr>
        <w:t> </w:t>
      </w:r>
      <w:r>
        <w:rPr>
          <w:color w:val="333333"/>
          <w:sz w:val="28"/>
        </w:rPr>
        <w:t>in</w:t>
      </w:r>
      <w:r>
        <w:rPr>
          <w:color w:val="333333"/>
          <w:spacing w:val="-1"/>
          <w:sz w:val="28"/>
        </w:rPr>
        <w:t> </w:t>
      </w:r>
      <w:r>
        <w:rPr>
          <w:color w:val="333333"/>
          <w:sz w:val="28"/>
        </w:rPr>
        <w:t>India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too.</w:t>
      </w:r>
    </w:p>
    <w:p>
      <w:pPr>
        <w:pStyle w:val="ListParagraph"/>
        <w:numPr>
          <w:ilvl w:val="0"/>
          <w:numId w:val="5"/>
        </w:numPr>
        <w:tabs>
          <w:tab w:pos="692" w:val="left" w:leader="none"/>
        </w:tabs>
        <w:spacing w:line="300" w:lineRule="auto" w:before="2" w:after="0"/>
        <w:ind w:left="691" w:right="366" w:hanging="452"/>
        <w:jc w:val="both"/>
        <w:rPr>
          <w:color w:val="333333"/>
          <w:sz w:val="28"/>
        </w:rPr>
      </w:pPr>
      <w:r>
        <w:rPr>
          <w:color w:val="333333"/>
          <w:sz w:val="28"/>
        </w:rPr>
        <w:t>The registration fee for a foreign lawyer is US$25,000, and for a law firm it is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US$50,000, without registration with BCI foreign lawyers or firms would not be</w:t>
      </w:r>
      <w:r>
        <w:rPr>
          <w:color w:val="333333"/>
          <w:spacing w:val="-75"/>
          <w:sz w:val="28"/>
        </w:rPr>
        <w:t> </w:t>
      </w:r>
      <w:r>
        <w:rPr>
          <w:color w:val="333333"/>
          <w:sz w:val="28"/>
        </w:rPr>
        <w:t>able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to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practice</w:t>
      </w:r>
      <w:r>
        <w:rPr>
          <w:color w:val="333333"/>
          <w:spacing w:val="-8"/>
          <w:sz w:val="28"/>
        </w:rPr>
        <w:t> </w:t>
      </w:r>
      <w:r>
        <w:rPr>
          <w:color w:val="333333"/>
          <w:sz w:val="28"/>
        </w:rPr>
        <w:t>in</w:t>
      </w:r>
      <w:r>
        <w:rPr>
          <w:color w:val="333333"/>
          <w:spacing w:val="-2"/>
          <w:sz w:val="28"/>
        </w:rPr>
        <w:t> </w:t>
      </w:r>
      <w:r>
        <w:rPr>
          <w:color w:val="333333"/>
          <w:sz w:val="28"/>
        </w:rPr>
        <w:t>India.</w:t>
      </w:r>
    </w:p>
    <w:p>
      <w:pPr>
        <w:pStyle w:val="ListParagraph"/>
        <w:numPr>
          <w:ilvl w:val="0"/>
          <w:numId w:val="5"/>
        </w:numPr>
        <w:tabs>
          <w:tab w:pos="692" w:val="left" w:leader="none"/>
        </w:tabs>
        <w:spacing w:line="293" w:lineRule="exact" w:before="0" w:after="0"/>
        <w:ind w:left="691" w:right="0" w:hanging="452"/>
        <w:jc w:val="both"/>
        <w:rPr>
          <w:color w:val="404040"/>
          <w:sz w:val="28"/>
        </w:rPr>
      </w:pPr>
      <w:hyperlink r:id="rId15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4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Notification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p>
      <w:pPr>
        <w:pStyle w:val="Heading2"/>
        <w:tabs>
          <w:tab w:pos="6401" w:val="left" w:leader="none"/>
          <w:tab w:pos="10715" w:val="left" w:leader="none"/>
        </w:tabs>
        <w:spacing w:before="88"/>
        <w:ind w:left="5005"/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199644</wp:posOffset>
            </wp:positionH>
            <wp:positionV relativeFrom="paragraph">
              <wp:posOffset>-719660</wp:posOffset>
            </wp:positionV>
            <wp:extent cx="2859024" cy="1571244"/>
            <wp:effectExtent l="0" t="0" r="0" b="0"/>
            <wp:wrapNone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024" cy="1571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BCF6A"/>
          <w:w w:val="100"/>
          <w:shd w:fill="36394F" w:color="auto" w:val="clear"/>
        </w:rPr>
        <w:t> </w:t>
      </w:r>
      <w:r>
        <w:rPr>
          <w:color w:val="EBCF6A"/>
          <w:shd w:fill="36394F" w:color="auto" w:val="clear"/>
        </w:rPr>
        <w:tab/>
      </w:r>
      <w:r>
        <w:rPr>
          <w:color w:val="EBCF6A"/>
          <w:spacing w:val="-8"/>
          <w:shd w:fill="36394F" w:color="auto" w:val="clear"/>
        </w:rPr>
        <w:t>INSOLVENCY</w:t>
      </w:r>
      <w:r>
        <w:rPr>
          <w:color w:val="EBCF6A"/>
          <w:spacing w:val="-29"/>
          <w:shd w:fill="36394F" w:color="auto" w:val="clear"/>
        </w:rPr>
        <w:t> </w:t>
      </w:r>
      <w:r>
        <w:rPr>
          <w:color w:val="EBCF6A"/>
          <w:spacing w:val="-7"/>
          <w:shd w:fill="36394F" w:color="auto" w:val="clear"/>
        </w:rPr>
        <w:t>LAW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9"/>
        </w:rPr>
      </w:pPr>
    </w:p>
    <w:p>
      <w:pPr>
        <w:pStyle w:val="Heading3"/>
        <w:ind w:left="184"/>
        <w:rPr>
          <w:u w:val="none"/>
        </w:rPr>
      </w:pPr>
      <w:r>
        <w:rPr>
          <w:u w:val="thick"/>
        </w:rPr>
        <w:t>1.</w:t>
      </w:r>
      <w:r>
        <w:rPr>
          <w:spacing w:val="-2"/>
          <w:u w:val="thick"/>
        </w:rPr>
        <w:t> </w:t>
      </w:r>
      <w:r>
        <w:rPr>
          <w:u w:val="thick"/>
        </w:rPr>
        <w:t>IBBI</w:t>
      </w:r>
      <w:r>
        <w:rPr>
          <w:spacing w:val="-2"/>
          <w:u w:val="thick"/>
        </w:rPr>
        <w:t> </w:t>
      </w:r>
      <w:r>
        <w:rPr>
          <w:u w:val="thick"/>
        </w:rPr>
        <w:t>revises</w:t>
      </w:r>
      <w:r>
        <w:rPr>
          <w:spacing w:val="5"/>
          <w:u w:val="thick"/>
        </w:rPr>
        <w:t> </w:t>
      </w:r>
      <w:r>
        <w:rPr>
          <w:u w:val="thick"/>
        </w:rPr>
        <w:t>format</w:t>
      </w:r>
      <w:r>
        <w:rPr>
          <w:spacing w:val="3"/>
          <w:u w:val="thick"/>
        </w:rPr>
        <w:t> </w:t>
      </w:r>
      <w:r>
        <w:rPr>
          <w:u w:val="thick"/>
        </w:rPr>
        <w:t>for</w:t>
      </w:r>
      <w:r>
        <w:rPr>
          <w:spacing w:val="1"/>
          <w:u w:val="thick"/>
        </w:rPr>
        <w:t> </w:t>
      </w:r>
      <w:r>
        <w:rPr>
          <w:u w:val="thick"/>
        </w:rPr>
        <w:t>serving</w:t>
      </w:r>
      <w:r>
        <w:rPr>
          <w:spacing w:val="4"/>
          <w:u w:val="thick"/>
        </w:rPr>
        <w:t> </w:t>
      </w:r>
      <w:r>
        <w:rPr>
          <w:u w:val="thick"/>
        </w:rPr>
        <w:t>copy</w:t>
      </w:r>
      <w:r>
        <w:rPr>
          <w:spacing w:val="-3"/>
          <w:u w:val="thick"/>
        </w:rPr>
        <w:t> </w:t>
      </w:r>
      <w:r>
        <w:rPr>
          <w:u w:val="thick"/>
        </w:rPr>
        <w:t>of application</w:t>
      </w:r>
      <w:r>
        <w:rPr>
          <w:spacing w:val="2"/>
          <w:u w:val="thick"/>
        </w:rPr>
        <w:t> </w:t>
      </w:r>
      <w:r>
        <w:rPr>
          <w:u w:val="thick"/>
        </w:rPr>
        <w:t>to Board</w:t>
      </w:r>
    </w:p>
    <w:p>
      <w:pPr>
        <w:pStyle w:val="BodyText"/>
        <w:spacing w:before="9"/>
        <w:rPr>
          <w:rFonts w:ascii="Arial"/>
          <w:b/>
          <w:sz w:val="36"/>
        </w:rPr>
      </w:pPr>
    </w:p>
    <w:p>
      <w:pPr>
        <w:pStyle w:val="ListParagraph"/>
        <w:numPr>
          <w:ilvl w:val="0"/>
          <w:numId w:val="5"/>
        </w:numPr>
        <w:tabs>
          <w:tab w:pos="636" w:val="left" w:leader="none"/>
        </w:tabs>
        <w:spacing w:line="300" w:lineRule="auto" w:before="1" w:after="0"/>
        <w:ind w:left="635" w:right="604" w:hanging="452"/>
        <w:jc w:val="both"/>
        <w:rPr>
          <w:color w:val="333333"/>
          <w:sz w:val="28"/>
        </w:rPr>
      </w:pPr>
      <w:r>
        <w:rPr>
          <w:color w:val="333333"/>
          <w:sz w:val="28"/>
        </w:rPr>
        <w:t>Application for CIRP to be filed first with the Board and the Board shall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forward the same to Information Utility who shall inform the other creditors of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the Corporate Debtor (CD) and issue notice to applicant to file information of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default</w:t>
      </w:r>
      <w:r>
        <w:rPr>
          <w:color w:val="333333"/>
          <w:spacing w:val="-7"/>
          <w:sz w:val="28"/>
        </w:rPr>
        <w:t> </w:t>
      </w:r>
      <w:r>
        <w:rPr>
          <w:color w:val="333333"/>
          <w:sz w:val="28"/>
        </w:rPr>
        <w:t>as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IU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regulations.</w:t>
      </w:r>
    </w:p>
    <w:p>
      <w:pPr>
        <w:pStyle w:val="ListParagraph"/>
        <w:numPr>
          <w:ilvl w:val="0"/>
          <w:numId w:val="5"/>
        </w:numPr>
        <w:tabs>
          <w:tab w:pos="636" w:val="left" w:leader="none"/>
        </w:tabs>
        <w:spacing w:line="240" w:lineRule="auto" w:before="3" w:after="0"/>
        <w:ind w:left="635" w:right="0" w:hanging="452"/>
        <w:jc w:val="both"/>
        <w:rPr>
          <w:color w:val="333333"/>
          <w:sz w:val="28"/>
        </w:rPr>
      </w:pPr>
      <w:r>
        <w:rPr>
          <w:color w:val="333333"/>
          <w:spacing w:val="-1"/>
          <w:sz w:val="28"/>
        </w:rPr>
        <w:t>It’s</w:t>
      </w:r>
      <w:r>
        <w:rPr>
          <w:color w:val="333333"/>
          <w:spacing w:val="-4"/>
          <w:sz w:val="28"/>
        </w:rPr>
        <w:t> </w:t>
      </w:r>
      <w:r>
        <w:rPr>
          <w:color w:val="333333"/>
          <w:spacing w:val="-1"/>
          <w:sz w:val="28"/>
        </w:rPr>
        <w:t>a pre</w:t>
      </w:r>
      <w:r>
        <w:rPr>
          <w:color w:val="333333"/>
          <w:spacing w:val="-4"/>
          <w:sz w:val="28"/>
        </w:rPr>
        <w:t> </w:t>
      </w:r>
      <w:r>
        <w:rPr>
          <w:color w:val="333333"/>
          <w:spacing w:val="-1"/>
          <w:sz w:val="28"/>
        </w:rPr>
        <w:t>requirement</w:t>
      </w:r>
      <w:r>
        <w:rPr>
          <w:color w:val="333333"/>
          <w:spacing w:val="-9"/>
          <w:sz w:val="28"/>
        </w:rPr>
        <w:t> </w:t>
      </w:r>
      <w:r>
        <w:rPr>
          <w:color w:val="333333"/>
          <w:sz w:val="28"/>
        </w:rPr>
        <w:t>for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getting</w:t>
      </w:r>
      <w:r>
        <w:rPr>
          <w:color w:val="333333"/>
          <w:spacing w:val="-8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case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admitted</w:t>
      </w:r>
      <w:r>
        <w:rPr>
          <w:color w:val="333333"/>
          <w:spacing w:val="-8"/>
          <w:sz w:val="28"/>
        </w:rPr>
        <w:t> </w:t>
      </w:r>
      <w:r>
        <w:rPr>
          <w:color w:val="333333"/>
          <w:sz w:val="28"/>
        </w:rPr>
        <w:t>by</w:t>
      </w:r>
      <w:r>
        <w:rPr>
          <w:color w:val="333333"/>
          <w:spacing w:val="-16"/>
          <w:sz w:val="28"/>
        </w:rPr>
        <w:t> </w:t>
      </w:r>
      <w:r>
        <w:rPr>
          <w:color w:val="333333"/>
          <w:sz w:val="28"/>
        </w:rPr>
        <w:t>Adjudicating</w:t>
      </w:r>
      <w:r>
        <w:rPr>
          <w:color w:val="333333"/>
          <w:spacing w:val="-25"/>
          <w:sz w:val="28"/>
        </w:rPr>
        <w:t> </w:t>
      </w:r>
      <w:r>
        <w:rPr>
          <w:color w:val="333333"/>
          <w:sz w:val="28"/>
        </w:rPr>
        <w:t>Authority.</w:t>
      </w:r>
    </w:p>
    <w:p>
      <w:pPr>
        <w:pStyle w:val="ListParagraph"/>
        <w:numPr>
          <w:ilvl w:val="0"/>
          <w:numId w:val="5"/>
        </w:numPr>
        <w:tabs>
          <w:tab w:pos="636" w:val="left" w:leader="none"/>
        </w:tabs>
        <w:spacing w:line="300" w:lineRule="auto" w:before="81" w:after="0"/>
        <w:ind w:left="635" w:right="605" w:hanging="452"/>
        <w:jc w:val="both"/>
        <w:rPr>
          <w:color w:val="333333"/>
          <w:sz w:val="28"/>
        </w:rPr>
      </w:pPr>
      <w:r>
        <w:rPr>
          <w:color w:val="333333"/>
          <w:sz w:val="28"/>
        </w:rPr>
        <w:t>The revised format is provided in ‘Annexure A’ attached to the circular and a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step</w:t>
      </w:r>
      <w:r>
        <w:rPr>
          <w:color w:val="333333"/>
          <w:spacing w:val="-5"/>
          <w:sz w:val="28"/>
        </w:rPr>
        <w:t> </w:t>
      </w:r>
      <w:r>
        <w:rPr>
          <w:color w:val="333333"/>
          <w:sz w:val="28"/>
        </w:rPr>
        <w:t>by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step</w:t>
      </w:r>
      <w:r>
        <w:rPr>
          <w:color w:val="333333"/>
          <w:spacing w:val="-6"/>
          <w:sz w:val="28"/>
        </w:rPr>
        <w:t> </w:t>
      </w:r>
      <w:r>
        <w:rPr>
          <w:color w:val="333333"/>
          <w:sz w:val="28"/>
        </w:rPr>
        <w:t>guide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in</w:t>
      </w:r>
      <w:r>
        <w:rPr>
          <w:color w:val="333333"/>
          <w:spacing w:val="-15"/>
          <w:sz w:val="28"/>
        </w:rPr>
        <w:t> </w:t>
      </w:r>
      <w:r>
        <w:rPr>
          <w:color w:val="333333"/>
          <w:sz w:val="28"/>
        </w:rPr>
        <w:t>Annexure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B.</w:t>
      </w:r>
    </w:p>
    <w:p>
      <w:pPr>
        <w:pStyle w:val="ListParagraph"/>
        <w:numPr>
          <w:ilvl w:val="0"/>
          <w:numId w:val="5"/>
        </w:numPr>
        <w:tabs>
          <w:tab w:pos="636" w:val="left" w:leader="none"/>
        </w:tabs>
        <w:spacing w:line="293" w:lineRule="exact" w:before="0" w:after="0"/>
        <w:ind w:left="635" w:right="0" w:hanging="452"/>
        <w:jc w:val="both"/>
        <w:rPr>
          <w:color w:val="6A6A6A"/>
          <w:sz w:val="28"/>
        </w:rPr>
      </w:pPr>
      <w:r>
        <w:rPr/>
        <w:pict>
          <v:shape style="position:absolute;margin-left:9.648pt;margin-top:63.392147pt;width:519.5pt;height:18.6pt;mso-position-horizontal-relative:page;mso-position-vertical-relative:paragraph;z-index:-16095232" type="#_x0000_t202" filled="false" stroked="false">
            <v:textbox inset="0,0,0,0">
              <w:txbxContent>
                <w:p>
                  <w:pPr>
                    <w:tabs>
                      <w:tab w:pos="7332" w:val="left" w:leader="none"/>
                    </w:tabs>
                    <w:spacing w:line="372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position w:val="4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30"/>
                      <w:position w:val="4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position w:val="4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4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62.95507pt;width:539.950pt;height:20.4pt;mso-position-horizontal-relative:page;mso-position-vertical-relative:paragraph;z-index:15738368" coordorigin="0,1259" coordsize="10799,408">
            <v:rect style="position:absolute;left:0;top:1259;width:10799;height:408" filled="true" fillcolor="#36394f" stroked="false">
              <v:fill type="solid"/>
            </v:rect>
            <v:shape style="position:absolute;left:117;top:1283;width:2006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MARCH</w:t>
                    </w:r>
                    <w:r>
                      <w:rPr>
                        <w:rFonts w:ascii="Arial"/>
                        <w:b/>
                        <w:color w:val="EBCF6A"/>
                        <w:spacing w:val="5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6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400;top:1283;width:3131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17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1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Circular</w:t>
        </w:r>
      </w:hyperlink>
    </w:p>
    <w:p>
      <w:pPr>
        <w:spacing w:after="0" w:line="293" w:lineRule="exact"/>
        <w:jc w:val="both"/>
        <w:rPr>
          <w:sz w:val="28"/>
        </w:rPr>
        <w:sectPr>
          <w:pgSz w:w="10800" w:h="19200"/>
          <w:pgMar w:top="20" w:bottom="0" w:left="20" w:right="0"/>
        </w:sectPr>
      </w:pPr>
    </w:p>
    <w:p>
      <w:pPr>
        <w:spacing w:line="240" w:lineRule="auto"/>
        <w:ind w:left="752" w:right="0" w:firstLine="0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92160" filled="true" fillcolor="#fdfcf8" stroked="false">
            <v:fill type="solid"/>
            <w10:wrap type="none"/>
          </v:rect>
        </w:pict>
      </w:r>
      <w:r>
        <w:rPr>
          <w:sz w:val="20"/>
        </w:rPr>
        <w:drawing>
          <wp:inline distT="0" distB="0" distL="0" distR="0">
            <wp:extent cx="2791512" cy="1838610"/>
            <wp:effectExtent l="0" t="0" r="0" b="0"/>
            <wp:docPr id="13" name="image8.jpeg" descr="A picture containing text, indoor, tool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512" cy="183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rFonts w:ascii="Times New Roman"/>
          <w:spacing w:val="89"/>
          <w:sz w:val="20"/>
        </w:rPr>
        <w:t> </w:t>
      </w:r>
      <w:r>
        <w:rPr>
          <w:spacing w:val="89"/>
          <w:position w:val="1"/>
          <w:sz w:val="20"/>
        </w:rPr>
        <w:pict>
          <v:group style="width:270pt;height:183.75pt;mso-position-horizontal-relative:char;mso-position-vertical-relative:line" coordorigin="0,0" coordsize="5400,3675">
            <v:rect style="position:absolute;left:3734;top:0;width:857;height:3064" filled="true" fillcolor="#ebcf6a" stroked="false">
              <v:fill type="solid"/>
            </v:rect>
            <v:shape style="position:absolute;left:3172;top:300;width:1786;height:1798" type="#_x0000_t75" stroked="false">
              <v:imagedata r:id="rId5" o:title=""/>
            </v:shape>
            <v:shape style="position:absolute;left:0;top:3063;width:5400;height:612" type="#_x0000_t202" filled="true" fillcolor="#36394f" stroked="false">
              <v:textbox inset="0,0,0,0">
                <w:txbxContent>
                  <w:p>
                    <w:pPr>
                      <w:spacing w:before="11"/>
                      <w:ind w:left="1616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bookmarkStart w:name="Slide 5" w:id="5"/>
                    <w:bookmarkEnd w:id="5"/>
                    <w:r>
                      <w:rPr/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CASE</w:t>
                    </w:r>
                    <w:r>
                      <w:rPr>
                        <w:rFonts w:ascii="Arial"/>
                        <w:b/>
                        <w:color w:val="EBCF6A"/>
                        <w:spacing w:val="-19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LAWS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pacing w:val="89"/>
          <w:position w:val="1"/>
          <w:sz w:val="20"/>
        </w:rPr>
      </w:r>
    </w:p>
    <w:p>
      <w:pPr>
        <w:pStyle w:val="BodyText"/>
        <w:spacing w:before="9"/>
        <w:rPr>
          <w:sz w:val="29"/>
        </w:rPr>
      </w:pPr>
    </w:p>
    <w:p>
      <w:pPr>
        <w:spacing w:before="89"/>
        <w:ind w:left="189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333333"/>
          <w:sz w:val="32"/>
          <w:u w:val="thick" w:color="333333"/>
        </w:rPr>
        <w:t>Company</w:t>
      </w:r>
      <w:r>
        <w:rPr>
          <w:rFonts w:ascii="Arial"/>
          <w:b/>
          <w:color w:val="333333"/>
          <w:spacing w:val="-1"/>
          <w:sz w:val="32"/>
          <w:u w:val="thick" w:color="333333"/>
        </w:rPr>
        <w:t> </w:t>
      </w:r>
      <w:r>
        <w:rPr>
          <w:rFonts w:ascii="Arial"/>
          <w:b/>
          <w:color w:val="333333"/>
          <w:sz w:val="32"/>
          <w:u w:val="thick" w:color="333333"/>
        </w:rPr>
        <w:t>law</w:t>
      </w:r>
    </w:p>
    <w:p>
      <w:pPr>
        <w:pStyle w:val="ListParagraph"/>
        <w:numPr>
          <w:ilvl w:val="0"/>
          <w:numId w:val="7"/>
        </w:numPr>
        <w:tabs>
          <w:tab w:pos="548" w:val="left" w:leader="none"/>
        </w:tabs>
        <w:spacing w:line="240" w:lineRule="auto" w:before="93" w:after="0"/>
        <w:ind w:left="547" w:right="0" w:hanging="359"/>
        <w:jc w:val="left"/>
        <w:rPr>
          <w:rFonts w:ascii="Arial"/>
          <w:b/>
          <w:color w:val="333333"/>
          <w:sz w:val="32"/>
        </w:rPr>
      </w:pPr>
      <w:r>
        <w:rPr>
          <w:rFonts w:ascii="Arial"/>
          <w:b/>
          <w:sz w:val="32"/>
          <w:u w:val="thick" w:color="333333"/>
        </w:rPr>
        <w:t>Regulator disapproves</w:t>
      </w:r>
      <w:r>
        <w:rPr>
          <w:rFonts w:ascii="Arial"/>
          <w:b/>
          <w:spacing w:val="6"/>
          <w:sz w:val="32"/>
          <w:u w:val="thick" w:color="333333"/>
        </w:rPr>
        <w:t> </w:t>
      </w:r>
      <w:r>
        <w:rPr>
          <w:rFonts w:ascii="Arial"/>
          <w:b/>
          <w:sz w:val="32"/>
          <w:u w:val="thick" w:color="333333"/>
        </w:rPr>
        <w:t>of crowdfunding</w:t>
      </w:r>
      <w:r>
        <w:rPr>
          <w:rFonts w:ascii="Arial"/>
          <w:b/>
          <w:spacing w:val="-7"/>
          <w:sz w:val="32"/>
          <w:u w:val="thick" w:color="333333"/>
        </w:rPr>
        <w:t> </w:t>
      </w:r>
      <w:r>
        <w:rPr>
          <w:rFonts w:ascii="Arial"/>
          <w:b/>
          <w:sz w:val="32"/>
          <w:u w:val="thick" w:color="333333"/>
        </w:rPr>
        <w:t>by</w:t>
      </w:r>
      <w:r>
        <w:rPr>
          <w:rFonts w:ascii="Arial"/>
          <w:b/>
          <w:spacing w:val="-5"/>
          <w:sz w:val="32"/>
          <w:u w:val="thick" w:color="333333"/>
        </w:rPr>
        <w:t> </w:t>
      </w:r>
      <w:r>
        <w:rPr>
          <w:rFonts w:ascii="Arial"/>
          <w:b/>
          <w:sz w:val="32"/>
          <w:u w:val="thick" w:color="333333"/>
        </w:rPr>
        <w:t>startups</w:t>
      </w:r>
    </w:p>
    <w:p>
      <w:pPr>
        <w:pStyle w:val="BodyText"/>
        <w:spacing w:before="8"/>
        <w:rPr>
          <w:rFonts w:ascii="Arial"/>
          <w:b/>
          <w:sz w:val="47"/>
        </w:rPr>
      </w:pPr>
    </w:p>
    <w:p>
      <w:pPr>
        <w:pStyle w:val="ListParagraph"/>
        <w:numPr>
          <w:ilvl w:val="0"/>
          <w:numId w:val="5"/>
        </w:numPr>
        <w:tabs>
          <w:tab w:pos="642" w:val="left" w:leader="none"/>
        </w:tabs>
        <w:spacing w:line="300" w:lineRule="auto" w:before="0" w:after="0"/>
        <w:ind w:left="641" w:right="395" w:hanging="452"/>
        <w:jc w:val="both"/>
        <w:rPr>
          <w:sz w:val="28"/>
        </w:rPr>
      </w:pPr>
      <w:r>
        <w:rPr>
          <w:sz w:val="28"/>
        </w:rPr>
        <w:t>The ROC order imposed the fine 2 lakhs on a small company in Delhi and</w:t>
      </w:r>
      <w:r>
        <w:rPr>
          <w:spacing w:val="1"/>
          <w:sz w:val="28"/>
        </w:rPr>
        <w:t> </w:t>
      </w:r>
      <w:r>
        <w:rPr>
          <w:sz w:val="28"/>
        </w:rPr>
        <w:t>Mumbai-based company has been fined Rs 1 lakh each on two of its directors</w:t>
      </w:r>
      <w:r>
        <w:rPr>
          <w:spacing w:val="1"/>
          <w:sz w:val="28"/>
        </w:rPr>
        <w:t> </w:t>
      </w:r>
      <w:r>
        <w:rPr>
          <w:sz w:val="28"/>
        </w:rPr>
        <w:t>for allegedly violating a provision of the Companies Act by raising capital</w:t>
      </w:r>
      <w:r>
        <w:rPr>
          <w:spacing w:val="1"/>
          <w:sz w:val="28"/>
        </w:rPr>
        <w:t> </w:t>
      </w:r>
      <w:r>
        <w:rPr>
          <w:sz w:val="28"/>
        </w:rPr>
        <w:t>through</w:t>
      </w:r>
      <w:r>
        <w:rPr>
          <w:spacing w:val="-9"/>
          <w:sz w:val="28"/>
        </w:rPr>
        <w:t> </w:t>
      </w:r>
      <w:r>
        <w:rPr>
          <w:sz w:val="28"/>
        </w:rPr>
        <w:t>a</w:t>
      </w:r>
      <w:r>
        <w:rPr>
          <w:spacing w:val="-2"/>
          <w:sz w:val="28"/>
        </w:rPr>
        <w:t> </w:t>
      </w:r>
      <w:r>
        <w:rPr>
          <w:sz w:val="28"/>
        </w:rPr>
        <w:t>technology</w:t>
      </w:r>
      <w:r>
        <w:rPr>
          <w:spacing w:val="-7"/>
          <w:sz w:val="28"/>
        </w:rPr>
        <w:t> </w:t>
      </w:r>
      <w:r>
        <w:rPr>
          <w:sz w:val="28"/>
        </w:rPr>
        <w:t>platform</w:t>
      </w:r>
    </w:p>
    <w:p>
      <w:pPr>
        <w:pStyle w:val="ListParagraph"/>
        <w:numPr>
          <w:ilvl w:val="0"/>
          <w:numId w:val="5"/>
        </w:numPr>
        <w:tabs>
          <w:tab w:pos="642" w:val="left" w:leader="none"/>
        </w:tabs>
        <w:spacing w:line="300" w:lineRule="auto" w:before="3" w:after="0"/>
        <w:ind w:left="641" w:right="395" w:hanging="452"/>
        <w:jc w:val="both"/>
        <w:rPr>
          <w:sz w:val="28"/>
        </w:rPr>
      </w:pPr>
      <w:r>
        <w:rPr>
          <w:sz w:val="28"/>
        </w:rPr>
        <w:t>Action was against the firms that raise equity investments through online pitch-</w:t>
      </w:r>
      <w:r>
        <w:rPr>
          <w:spacing w:val="-75"/>
          <w:sz w:val="28"/>
        </w:rPr>
        <w:t> </w:t>
      </w:r>
      <w:r>
        <w:rPr>
          <w:sz w:val="28"/>
        </w:rPr>
        <w:t>making</w:t>
      </w:r>
      <w:r>
        <w:rPr>
          <w:spacing w:val="-6"/>
          <w:sz w:val="28"/>
        </w:rPr>
        <w:t> </w:t>
      </w:r>
      <w:r>
        <w:rPr>
          <w:sz w:val="28"/>
        </w:rPr>
        <w:t>platforms</w:t>
      </w:r>
      <w:r>
        <w:rPr>
          <w:spacing w:val="-6"/>
          <w:sz w:val="28"/>
        </w:rPr>
        <w:t> </w:t>
      </w:r>
      <w:r>
        <w:rPr>
          <w:sz w:val="28"/>
        </w:rPr>
        <w:t>to</w:t>
      </w:r>
      <w:r>
        <w:rPr>
          <w:spacing w:val="-4"/>
          <w:sz w:val="28"/>
        </w:rPr>
        <w:t> </w:t>
      </w:r>
      <w:r>
        <w:rPr>
          <w:sz w:val="28"/>
        </w:rPr>
        <w:t>investors</w:t>
      </w:r>
      <w:r>
        <w:rPr>
          <w:spacing w:val="-5"/>
          <w:sz w:val="28"/>
        </w:rPr>
        <w:t> </w:t>
      </w:r>
      <w:r>
        <w:rPr>
          <w:sz w:val="28"/>
        </w:rPr>
        <w:t>in</w:t>
      </w:r>
      <w:r>
        <w:rPr>
          <w:spacing w:val="-1"/>
          <w:sz w:val="28"/>
        </w:rPr>
        <w:t> </w:t>
      </w:r>
      <w:r>
        <w:rPr>
          <w:sz w:val="28"/>
        </w:rPr>
        <w:t>violation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Companies</w:t>
      </w:r>
      <w:r>
        <w:rPr>
          <w:spacing w:val="-22"/>
          <w:sz w:val="28"/>
        </w:rPr>
        <w:t> </w:t>
      </w:r>
      <w:r>
        <w:rPr>
          <w:sz w:val="28"/>
        </w:rPr>
        <w:t>Act.</w:t>
      </w:r>
    </w:p>
    <w:p>
      <w:pPr>
        <w:pStyle w:val="ListParagraph"/>
        <w:numPr>
          <w:ilvl w:val="0"/>
          <w:numId w:val="5"/>
        </w:numPr>
        <w:tabs>
          <w:tab w:pos="642" w:val="left" w:leader="none"/>
        </w:tabs>
        <w:spacing w:line="300" w:lineRule="auto" w:before="1" w:after="0"/>
        <w:ind w:left="641" w:right="395" w:hanging="452"/>
        <w:jc w:val="both"/>
        <w:rPr>
          <w:sz w:val="28"/>
        </w:rPr>
      </w:pPr>
      <w:r>
        <w:rPr>
          <w:sz w:val="28"/>
        </w:rPr>
        <w:t>Act prohibits companies going for private placement of securities from issuing</w:t>
      </w:r>
      <w:r>
        <w:rPr>
          <w:spacing w:val="1"/>
          <w:sz w:val="28"/>
        </w:rPr>
        <w:t> </w:t>
      </w:r>
      <w:r>
        <w:rPr>
          <w:sz w:val="28"/>
        </w:rPr>
        <w:t>any public advertisement or using marketing or distribution channels or agents</w:t>
      </w:r>
      <w:r>
        <w:rPr>
          <w:spacing w:val="-75"/>
          <w:sz w:val="28"/>
        </w:rPr>
        <w:t> </w:t>
      </w:r>
      <w:r>
        <w:rPr>
          <w:sz w:val="28"/>
        </w:rPr>
        <w:t>to inform the public about such issue prevents from doing it also states that</w:t>
      </w:r>
      <w:r>
        <w:rPr>
          <w:spacing w:val="1"/>
          <w:sz w:val="28"/>
        </w:rPr>
        <w:t> </w:t>
      </w:r>
      <w:r>
        <w:rPr>
          <w:sz w:val="28"/>
        </w:rPr>
        <w:t>private</w:t>
      </w:r>
      <w:r>
        <w:rPr>
          <w:spacing w:val="-5"/>
          <w:sz w:val="28"/>
        </w:rPr>
        <w:t> </w:t>
      </w:r>
      <w:r>
        <w:rPr>
          <w:sz w:val="28"/>
        </w:rPr>
        <w:t>placement</w:t>
      </w:r>
      <w:r>
        <w:rPr>
          <w:spacing w:val="-7"/>
          <w:sz w:val="28"/>
        </w:rPr>
        <w:t> </w:t>
      </w:r>
      <w:r>
        <w:rPr>
          <w:sz w:val="28"/>
        </w:rPr>
        <w:t>cannot</w:t>
      </w:r>
      <w:r>
        <w:rPr>
          <w:spacing w:val="-8"/>
          <w:sz w:val="28"/>
        </w:rPr>
        <w:t> </w:t>
      </w:r>
      <w:r>
        <w:rPr>
          <w:sz w:val="28"/>
        </w:rPr>
        <w:t>be</w:t>
      </w:r>
      <w:r>
        <w:rPr>
          <w:spacing w:val="-2"/>
          <w:sz w:val="28"/>
        </w:rPr>
        <w:t> </w:t>
      </w:r>
      <w:r>
        <w:rPr>
          <w:sz w:val="28"/>
        </w:rPr>
        <w:t>offered</w:t>
      </w:r>
      <w:r>
        <w:rPr>
          <w:spacing w:val="-8"/>
          <w:sz w:val="28"/>
        </w:rPr>
        <w:t> </w:t>
      </w:r>
      <w:r>
        <w:rPr>
          <w:sz w:val="28"/>
        </w:rPr>
        <w:t>to</w:t>
      </w:r>
      <w:r>
        <w:rPr>
          <w:spacing w:val="-2"/>
          <w:sz w:val="28"/>
        </w:rPr>
        <w:t> </w:t>
      </w:r>
      <w:r>
        <w:rPr>
          <w:sz w:val="28"/>
        </w:rPr>
        <w:t>more</w:t>
      </w:r>
      <w:r>
        <w:rPr>
          <w:spacing w:val="-6"/>
          <w:sz w:val="28"/>
        </w:rPr>
        <w:t> </w:t>
      </w:r>
      <w:r>
        <w:rPr>
          <w:sz w:val="28"/>
        </w:rPr>
        <w:t>than</w:t>
      </w:r>
      <w:r>
        <w:rPr>
          <w:spacing w:val="-4"/>
          <w:sz w:val="28"/>
        </w:rPr>
        <w:t> </w:t>
      </w:r>
      <w:r>
        <w:rPr>
          <w:sz w:val="28"/>
        </w:rPr>
        <w:t>200</w:t>
      </w:r>
      <w:r>
        <w:rPr>
          <w:spacing w:val="-4"/>
          <w:sz w:val="28"/>
        </w:rPr>
        <w:t> </w:t>
      </w:r>
      <w:r>
        <w:rPr>
          <w:sz w:val="28"/>
        </w:rPr>
        <w:t>individuals.</w:t>
      </w:r>
    </w:p>
    <w:p>
      <w:pPr>
        <w:pStyle w:val="ListParagraph"/>
        <w:numPr>
          <w:ilvl w:val="0"/>
          <w:numId w:val="5"/>
        </w:numPr>
        <w:tabs>
          <w:tab w:pos="642" w:val="left" w:leader="none"/>
        </w:tabs>
        <w:spacing w:line="240" w:lineRule="auto" w:before="4" w:after="0"/>
        <w:ind w:left="641" w:right="0" w:hanging="453"/>
        <w:jc w:val="both"/>
        <w:rPr>
          <w:sz w:val="28"/>
        </w:rPr>
      </w:pPr>
      <w:hyperlink r:id="rId19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1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Order</w:t>
        </w:r>
      </w:hyperlink>
    </w:p>
    <w:p>
      <w:pPr>
        <w:pStyle w:val="BodyText"/>
        <w:spacing w:before="7"/>
        <w:rPr>
          <w:sz w:val="42"/>
        </w:rPr>
      </w:pPr>
    </w:p>
    <w:p>
      <w:pPr>
        <w:pStyle w:val="Heading3"/>
        <w:numPr>
          <w:ilvl w:val="0"/>
          <w:numId w:val="7"/>
        </w:numPr>
        <w:tabs>
          <w:tab w:pos="584" w:val="left" w:leader="none"/>
        </w:tabs>
        <w:spacing w:line="300" w:lineRule="auto" w:before="0" w:after="0"/>
        <w:ind w:left="189" w:right="399" w:firstLine="0"/>
        <w:jc w:val="left"/>
        <w:rPr>
          <w:color w:val="333333"/>
          <w:u w:val="none"/>
        </w:rPr>
      </w:pPr>
      <w:r>
        <w:rPr>
          <w:u w:val="thick" w:color="333333"/>
        </w:rPr>
        <w:t>Penalty</w:t>
      </w:r>
      <w:r>
        <w:rPr>
          <w:spacing w:val="34"/>
          <w:u w:val="thick" w:color="333333"/>
        </w:rPr>
        <w:t> </w:t>
      </w:r>
      <w:r>
        <w:rPr>
          <w:u w:val="thick" w:color="333333"/>
        </w:rPr>
        <w:t>imposed</w:t>
      </w:r>
      <w:r>
        <w:rPr>
          <w:spacing w:val="40"/>
          <w:u w:val="thick" w:color="333333"/>
        </w:rPr>
        <w:t> </w:t>
      </w:r>
      <w:r>
        <w:rPr>
          <w:u w:val="thick" w:color="333333"/>
        </w:rPr>
        <w:t>for</w:t>
      </w:r>
      <w:r>
        <w:rPr>
          <w:spacing w:val="40"/>
          <w:u w:val="thick" w:color="333333"/>
        </w:rPr>
        <w:t> </w:t>
      </w:r>
      <w:r>
        <w:rPr>
          <w:u w:val="thick" w:color="333333"/>
        </w:rPr>
        <w:t>not</w:t>
      </w:r>
      <w:r>
        <w:rPr>
          <w:spacing w:val="38"/>
          <w:u w:val="thick" w:color="333333"/>
        </w:rPr>
        <w:t> </w:t>
      </w:r>
      <w:r>
        <w:rPr>
          <w:u w:val="thick" w:color="333333"/>
        </w:rPr>
        <w:t>numbering</w:t>
      </w:r>
      <w:r>
        <w:rPr>
          <w:spacing w:val="36"/>
          <w:u w:val="thick" w:color="333333"/>
        </w:rPr>
        <w:t> </w:t>
      </w:r>
      <w:r>
        <w:rPr>
          <w:u w:val="thick" w:color="333333"/>
        </w:rPr>
        <w:t>Board</w:t>
      </w:r>
      <w:r>
        <w:rPr>
          <w:spacing w:val="41"/>
          <w:u w:val="thick" w:color="333333"/>
        </w:rPr>
        <w:t> </w:t>
      </w:r>
      <w:r>
        <w:rPr>
          <w:u w:val="thick" w:color="333333"/>
        </w:rPr>
        <w:t>meeting</w:t>
      </w:r>
      <w:r>
        <w:rPr>
          <w:spacing w:val="38"/>
          <w:u w:val="thick" w:color="333333"/>
        </w:rPr>
        <w:t> </w:t>
      </w:r>
      <w:r>
        <w:rPr>
          <w:u w:val="thick" w:color="333333"/>
        </w:rPr>
        <w:t>&amp;</w:t>
      </w:r>
      <w:r>
        <w:rPr>
          <w:spacing w:val="36"/>
          <w:u w:val="thick" w:color="333333"/>
        </w:rPr>
        <w:t> </w:t>
      </w:r>
      <w:r>
        <w:rPr>
          <w:u w:val="thick" w:color="333333"/>
        </w:rPr>
        <w:t>Pages</w:t>
      </w:r>
      <w:r>
        <w:rPr>
          <w:spacing w:val="37"/>
          <w:u w:val="thick" w:color="333333"/>
        </w:rPr>
        <w:t> </w:t>
      </w:r>
      <w:r>
        <w:rPr>
          <w:u w:val="thick" w:color="333333"/>
        </w:rPr>
        <w:t>in</w:t>
      </w:r>
      <w:r>
        <w:rPr>
          <w:spacing w:val="-86"/>
          <w:u w:val="none"/>
        </w:rPr>
        <w:t> </w:t>
      </w:r>
      <w:r>
        <w:rPr>
          <w:u w:val="thick"/>
        </w:rPr>
        <w:t>Minutes.</w:t>
      </w:r>
    </w:p>
    <w:p>
      <w:pPr>
        <w:pStyle w:val="BodyText"/>
        <w:spacing w:before="8"/>
        <w:rPr>
          <w:rFonts w:ascii="Arial"/>
          <w:b/>
          <w:sz w:val="39"/>
        </w:rPr>
      </w:pPr>
    </w:p>
    <w:p>
      <w:pPr>
        <w:pStyle w:val="ListParagraph"/>
        <w:numPr>
          <w:ilvl w:val="0"/>
          <w:numId w:val="5"/>
        </w:numPr>
        <w:tabs>
          <w:tab w:pos="642" w:val="left" w:leader="none"/>
        </w:tabs>
        <w:spacing w:line="300" w:lineRule="auto" w:before="0" w:after="0"/>
        <w:ind w:left="641" w:right="394" w:hanging="452"/>
        <w:jc w:val="both"/>
        <w:rPr>
          <w:color w:val="333333"/>
          <w:sz w:val="28"/>
        </w:rPr>
      </w:pPr>
      <w:r>
        <w:rPr>
          <w:color w:val="333333"/>
          <w:sz w:val="28"/>
        </w:rPr>
        <w:t>The company and its officers,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have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defaulted in the provisions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of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the Act</w:t>
      </w:r>
      <w:r>
        <w:rPr>
          <w:color w:val="333333"/>
          <w:spacing w:val="77"/>
          <w:sz w:val="28"/>
        </w:rPr>
        <w:t> </w:t>
      </w:r>
      <w:r>
        <w:rPr>
          <w:color w:val="333333"/>
          <w:sz w:val="28"/>
        </w:rPr>
        <w:t>for</w:t>
      </w:r>
      <w:r>
        <w:rPr>
          <w:color w:val="333333"/>
          <w:spacing w:val="-75"/>
          <w:sz w:val="28"/>
        </w:rPr>
        <w:t> </w:t>
      </w:r>
      <w:r>
        <w:rPr>
          <w:color w:val="333333"/>
          <w:sz w:val="28"/>
        </w:rPr>
        <w:t>not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numbering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Board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Meeting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and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pages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in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minute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book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of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company and Minutes book were not signed by the Chairman and the minute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book</w:t>
      </w:r>
      <w:r>
        <w:rPr>
          <w:color w:val="333333"/>
          <w:spacing w:val="-6"/>
          <w:sz w:val="28"/>
        </w:rPr>
        <w:t> </w:t>
      </w:r>
      <w:r>
        <w:rPr>
          <w:color w:val="333333"/>
          <w:sz w:val="28"/>
        </w:rPr>
        <w:t>of the</w:t>
      </w:r>
      <w:r>
        <w:rPr>
          <w:color w:val="333333"/>
          <w:spacing w:val="-6"/>
          <w:sz w:val="28"/>
        </w:rPr>
        <w:t> </w:t>
      </w:r>
      <w:r>
        <w:rPr>
          <w:color w:val="333333"/>
          <w:sz w:val="28"/>
        </w:rPr>
        <w:t>Company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was also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not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paginated.</w:t>
      </w:r>
    </w:p>
    <w:p>
      <w:pPr>
        <w:pStyle w:val="ListParagraph"/>
        <w:numPr>
          <w:ilvl w:val="0"/>
          <w:numId w:val="5"/>
        </w:numPr>
        <w:tabs>
          <w:tab w:pos="642" w:val="left" w:leader="none"/>
        </w:tabs>
        <w:spacing w:line="300" w:lineRule="auto" w:before="4" w:after="0"/>
        <w:ind w:left="641" w:right="397" w:hanging="452"/>
        <w:jc w:val="both"/>
        <w:rPr>
          <w:color w:val="333333"/>
          <w:sz w:val="28"/>
        </w:rPr>
      </w:pPr>
      <w:r>
        <w:rPr>
          <w:color w:val="333333"/>
          <w:sz w:val="28"/>
        </w:rPr>
        <w:t>ROC has imposed penalty of Rs. 25,000 on the Company and Rs. 5,000 on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officer</w:t>
      </w:r>
      <w:r>
        <w:rPr>
          <w:color w:val="333333"/>
          <w:spacing w:val="-8"/>
          <w:sz w:val="28"/>
        </w:rPr>
        <w:t> </w:t>
      </w:r>
      <w:r>
        <w:rPr>
          <w:color w:val="333333"/>
          <w:sz w:val="28"/>
        </w:rPr>
        <w:t>in</w:t>
      </w:r>
      <w:r>
        <w:rPr>
          <w:color w:val="333333"/>
          <w:spacing w:val="-2"/>
          <w:sz w:val="28"/>
        </w:rPr>
        <w:t> </w:t>
      </w:r>
      <w:r>
        <w:rPr>
          <w:color w:val="333333"/>
          <w:sz w:val="28"/>
        </w:rPr>
        <w:t>default.</w:t>
      </w:r>
    </w:p>
    <w:p>
      <w:pPr>
        <w:pStyle w:val="ListParagraph"/>
        <w:numPr>
          <w:ilvl w:val="0"/>
          <w:numId w:val="5"/>
        </w:numPr>
        <w:tabs>
          <w:tab w:pos="642" w:val="left" w:leader="none"/>
        </w:tabs>
        <w:spacing w:line="240" w:lineRule="auto" w:before="1" w:after="0"/>
        <w:ind w:left="641" w:right="0" w:hanging="453"/>
        <w:jc w:val="both"/>
        <w:rPr>
          <w:color w:val="333333"/>
          <w:sz w:val="28"/>
        </w:rPr>
      </w:pPr>
      <w:hyperlink r:id="rId20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1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Order</w:t>
        </w:r>
      </w:hyperlink>
    </w:p>
    <w:p>
      <w:pPr>
        <w:pStyle w:val="BodyText"/>
        <w:spacing w:before="9"/>
        <w:rPr>
          <w:sz w:val="36"/>
        </w:rPr>
      </w:pPr>
    </w:p>
    <w:p>
      <w:pPr>
        <w:spacing w:before="0"/>
        <w:ind w:left="189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1A1A1A"/>
          <w:sz w:val="32"/>
          <w:u w:val="thick" w:color="1A1A1A"/>
        </w:rPr>
        <w:t>Insolvency</w:t>
      </w:r>
      <w:r>
        <w:rPr>
          <w:rFonts w:ascii="Arial"/>
          <w:b/>
          <w:color w:val="1A1A1A"/>
          <w:spacing w:val="1"/>
          <w:sz w:val="32"/>
          <w:u w:val="thick" w:color="1A1A1A"/>
        </w:rPr>
        <w:t> </w:t>
      </w:r>
      <w:r>
        <w:rPr>
          <w:rFonts w:ascii="Arial"/>
          <w:b/>
          <w:color w:val="1A1A1A"/>
          <w:sz w:val="32"/>
          <w:u w:val="thick" w:color="1A1A1A"/>
        </w:rPr>
        <w:t>Law</w:t>
      </w:r>
    </w:p>
    <w:p>
      <w:pPr>
        <w:pStyle w:val="ListParagraph"/>
        <w:numPr>
          <w:ilvl w:val="0"/>
          <w:numId w:val="7"/>
        </w:numPr>
        <w:tabs>
          <w:tab w:pos="580" w:val="left" w:leader="none"/>
        </w:tabs>
        <w:spacing w:line="240" w:lineRule="auto" w:before="254" w:after="0"/>
        <w:ind w:left="579" w:right="0" w:hanging="391"/>
        <w:jc w:val="left"/>
        <w:rPr>
          <w:rFonts w:ascii="Arial"/>
          <w:b/>
          <w:color w:val="1A1A1A"/>
          <w:sz w:val="32"/>
        </w:rPr>
      </w:pPr>
      <w:r>
        <w:rPr>
          <w:rFonts w:ascii="Arial"/>
          <w:b/>
          <w:sz w:val="32"/>
          <w:u w:val="thick" w:color="1A1A1A"/>
        </w:rPr>
        <w:t>SC</w:t>
      </w:r>
      <w:r>
        <w:rPr>
          <w:rFonts w:ascii="Arial"/>
          <w:b/>
          <w:spacing w:val="32"/>
          <w:sz w:val="32"/>
          <w:u w:val="thick" w:color="1A1A1A"/>
        </w:rPr>
        <w:t> </w:t>
      </w:r>
      <w:r>
        <w:rPr>
          <w:rFonts w:ascii="Arial"/>
          <w:b/>
          <w:sz w:val="32"/>
          <w:u w:val="thick" w:color="1A1A1A"/>
        </w:rPr>
        <w:t>clarifies,</w:t>
      </w:r>
      <w:r>
        <w:rPr>
          <w:rFonts w:ascii="Arial"/>
          <w:b/>
          <w:spacing w:val="39"/>
          <w:sz w:val="32"/>
          <w:u w:val="thick" w:color="1A1A1A"/>
        </w:rPr>
        <w:t> </w:t>
      </w:r>
      <w:r>
        <w:rPr>
          <w:rFonts w:ascii="Arial"/>
          <w:b/>
          <w:sz w:val="32"/>
          <w:u w:val="thick" w:color="1A1A1A"/>
        </w:rPr>
        <w:t>Extinguishment</w:t>
      </w:r>
      <w:r>
        <w:rPr>
          <w:rFonts w:ascii="Arial"/>
          <w:b/>
          <w:spacing w:val="35"/>
          <w:sz w:val="32"/>
          <w:u w:val="thick" w:color="1A1A1A"/>
        </w:rPr>
        <w:t> </w:t>
      </w:r>
      <w:r>
        <w:rPr>
          <w:rFonts w:ascii="Arial"/>
          <w:b/>
          <w:sz w:val="32"/>
          <w:u w:val="thick" w:color="1A1A1A"/>
        </w:rPr>
        <w:t>of</w:t>
      </w:r>
      <w:r>
        <w:rPr>
          <w:rFonts w:ascii="Arial"/>
          <w:b/>
          <w:spacing w:val="35"/>
          <w:sz w:val="32"/>
          <w:u w:val="thick" w:color="1A1A1A"/>
        </w:rPr>
        <w:t> </w:t>
      </w:r>
      <w:r>
        <w:rPr>
          <w:rFonts w:ascii="Arial"/>
          <w:b/>
          <w:sz w:val="32"/>
          <w:u w:val="thick" w:color="1A1A1A"/>
        </w:rPr>
        <w:t>Debt</w:t>
      </w:r>
      <w:r>
        <w:rPr>
          <w:rFonts w:ascii="Arial"/>
          <w:b/>
          <w:spacing w:val="33"/>
          <w:sz w:val="32"/>
          <w:u w:val="thick" w:color="1A1A1A"/>
        </w:rPr>
        <w:t> </w:t>
      </w:r>
      <w:r>
        <w:rPr>
          <w:rFonts w:ascii="Arial"/>
          <w:b/>
          <w:sz w:val="32"/>
          <w:u w:val="thick" w:color="1A1A1A"/>
        </w:rPr>
        <w:t>under</w:t>
      </w:r>
      <w:r>
        <w:rPr>
          <w:rFonts w:ascii="Arial"/>
          <w:b/>
          <w:spacing w:val="38"/>
          <w:sz w:val="32"/>
          <w:u w:val="thick" w:color="1A1A1A"/>
        </w:rPr>
        <w:t> </w:t>
      </w:r>
      <w:r>
        <w:rPr>
          <w:rFonts w:ascii="Arial"/>
          <w:b/>
          <w:sz w:val="32"/>
          <w:u w:val="thick" w:color="1A1A1A"/>
        </w:rPr>
        <w:t>IBC</w:t>
      </w:r>
      <w:r>
        <w:rPr>
          <w:rFonts w:ascii="Arial"/>
          <w:b/>
          <w:spacing w:val="29"/>
          <w:sz w:val="32"/>
          <w:u w:val="thick" w:color="1A1A1A"/>
        </w:rPr>
        <w:t> </w:t>
      </w:r>
      <w:r>
        <w:rPr>
          <w:rFonts w:ascii="Arial"/>
          <w:b/>
          <w:sz w:val="32"/>
          <w:u w:val="thick" w:color="1A1A1A"/>
        </w:rPr>
        <w:t>will</w:t>
      </w:r>
      <w:r>
        <w:rPr>
          <w:rFonts w:ascii="Arial"/>
          <w:b/>
          <w:spacing w:val="36"/>
          <w:sz w:val="32"/>
          <w:u w:val="thick" w:color="1A1A1A"/>
        </w:rPr>
        <w:t> </w:t>
      </w:r>
      <w:r>
        <w:rPr>
          <w:rFonts w:ascii="Arial"/>
          <w:b/>
          <w:sz w:val="32"/>
          <w:u w:val="thick" w:color="1A1A1A"/>
        </w:rPr>
        <w:t>not</w:t>
      </w:r>
      <w:r>
        <w:rPr>
          <w:rFonts w:ascii="Arial"/>
          <w:b/>
          <w:spacing w:val="34"/>
          <w:sz w:val="32"/>
          <w:u w:val="thick" w:color="1A1A1A"/>
        </w:rPr>
        <w:t> </w:t>
      </w:r>
      <w:r>
        <w:rPr>
          <w:rFonts w:ascii="Arial"/>
          <w:b/>
          <w:sz w:val="32"/>
          <w:u w:val="thick" w:color="1A1A1A"/>
        </w:rPr>
        <w:t>lead</w:t>
      </w:r>
      <w:r>
        <w:rPr>
          <w:rFonts w:ascii="Arial"/>
          <w:b/>
          <w:spacing w:val="34"/>
          <w:sz w:val="32"/>
          <w:u w:val="thick" w:color="1A1A1A"/>
        </w:rPr>
        <w:t> </w:t>
      </w:r>
      <w:r>
        <w:rPr>
          <w:rFonts w:ascii="Arial"/>
          <w:b/>
          <w:sz w:val="32"/>
          <w:u w:val="thick" w:color="1A1A1A"/>
        </w:rPr>
        <w:t>to</w:t>
      </w:r>
    </w:p>
    <w:p>
      <w:pPr>
        <w:pStyle w:val="Heading3"/>
        <w:spacing w:before="92"/>
        <w:rPr>
          <w:u w:val="none"/>
        </w:rPr>
      </w:pPr>
      <w:r>
        <w:rPr>
          <w:u w:val="thick"/>
        </w:rPr>
        <w:t>discharge</w:t>
      </w:r>
      <w:r>
        <w:rPr>
          <w:spacing w:val="-3"/>
          <w:u w:val="thick"/>
        </w:rPr>
        <w:t> </w:t>
      </w:r>
      <w:r>
        <w:rPr>
          <w:u w:val="thick"/>
        </w:rPr>
        <w:t>of</w:t>
      </w:r>
      <w:r>
        <w:rPr>
          <w:spacing w:val="-4"/>
          <w:u w:val="thick"/>
        </w:rPr>
        <w:t> </w:t>
      </w:r>
      <w:r>
        <w:rPr>
          <w:u w:val="thick"/>
        </w:rPr>
        <w:t>Criminal</w:t>
      </w:r>
      <w:r>
        <w:rPr>
          <w:spacing w:val="2"/>
          <w:u w:val="thick"/>
        </w:rPr>
        <w:t> </w:t>
      </w:r>
      <w:r>
        <w:rPr>
          <w:u w:val="thick"/>
        </w:rPr>
        <w:t>Charges</w:t>
      </w:r>
      <w:r>
        <w:rPr>
          <w:spacing w:val="-4"/>
          <w:u w:val="thick"/>
        </w:rPr>
        <w:t> </w:t>
      </w:r>
      <w:r>
        <w:rPr>
          <w:u w:val="thick"/>
        </w:rPr>
        <w:t>under</w:t>
      </w:r>
      <w:r>
        <w:rPr>
          <w:spacing w:val="-3"/>
          <w:u w:val="thick"/>
        </w:rPr>
        <w:t> </w:t>
      </w:r>
      <w:r>
        <w:rPr>
          <w:u w:val="thick"/>
        </w:rPr>
        <w:t>Negotiable</w:t>
      </w:r>
      <w:r>
        <w:rPr>
          <w:spacing w:val="2"/>
          <w:u w:val="thick"/>
        </w:rPr>
        <w:t> </w:t>
      </w:r>
      <w:r>
        <w:rPr>
          <w:u w:val="thick"/>
        </w:rPr>
        <w:t>Instrument</w:t>
      </w:r>
      <w:r>
        <w:rPr>
          <w:spacing w:val="-8"/>
          <w:u w:val="thick"/>
        </w:rPr>
        <w:t> </w:t>
      </w:r>
      <w:r>
        <w:rPr>
          <w:u w:val="thick"/>
        </w:rPr>
        <w:t>Act.</w:t>
      </w:r>
    </w:p>
    <w:p>
      <w:pPr>
        <w:pStyle w:val="ListParagraph"/>
        <w:numPr>
          <w:ilvl w:val="0"/>
          <w:numId w:val="5"/>
        </w:numPr>
        <w:tabs>
          <w:tab w:pos="642" w:val="left" w:leader="none"/>
        </w:tabs>
        <w:spacing w:line="300" w:lineRule="auto" w:before="246" w:after="0"/>
        <w:ind w:left="641" w:right="395" w:hanging="452"/>
        <w:jc w:val="both"/>
        <w:rPr>
          <w:color w:val="333333"/>
          <w:sz w:val="28"/>
        </w:rPr>
      </w:pPr>
      <w:r>
        <w:rPr>
          <w:color w:val="333333"/>
          <w:sz w:val="28"/>
        </w:rPr>
        <w:t>In this case the issue for consideration before the Supreme Court was whether</w:t>
      </w:r>
      <w:r>
        <w:rPr>
          <w:color w:val="333333"/>
          <w:spacing w:val="-75"/>
          <w:sz w:val="28"/>
        </w:rPr>
        <w:t> </w:t>
      </w:r>
      <w:r>
        <w:rPr>
          <w:color w:val="333333"/>
          <w:sz w:val="28"/>
        </w:rPr>
        <w:t>during the pendency of the proceedings under the IBC, the proceedings under</w:t>
      </w:r>
      <w:r>
        <w:rPr>
          <w:color w:val="333333"/>
          <w:spacing w:val="-75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Negotiable</w:t>
      </w:r>
      <w:r>
        <w:rPr>
          <w:color w:val="333333"/>
          <w:spacing w:val="-8"/>
          <w:sz w:val="28"/>
        </w:rPr>
        <w:t> </w:t>
      </w:r>
      <w:r>
        <w:rPr>
          <w:color w:val="333333"/>
          <w:sz w:val="28"/>
        </w:rPr>
        <w:t>Instrument</w:t>
      </w:r>
      <w:r>
        <w:rPr>
          <w:color w:val="333333"/>
          <w:spacing w:val="-24"/>
          <w:sz w:val="28"/>
        </w:rPr>
        <w:t> </w:t>
      </w:r>
      <w:r>
        <w:rPr>
          <w:color w:val="333333"/>
          <w:sz w:val="28"/>
        </w:rPr>
        <w:t>Act</w:t>
      </w:r>
      <w:r>
        <w:rPr>
          <w:color w:val="333333"/>
          <w:spacing w:val="-2"/>
          <w:sz w:val="28"/>
        </w:rPr>
        <w:t> </w:t>
      </w:r>
      <w:r>
        <w:rPr>
          <w:color w:val="333333"/>
          <w:sz w:val="28"/>
        </w:rPr>
        <w:t>can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continue</w:t>
      </w:r>
      <w:r>
        <w:rPr>
          <w:color w:val="333333"/>
          <w:spacing w:val="-8"/>
          <w:sz w:val="28"/>
        </w:rPr>
        <w:t> </w:t>
      </w:r>
      <w:r>
        <w:rPr>
          <w:color w:val="333333"/>
          <w:sz w:val="28"/>
        </w:rPr>
        <w:t>simultaneously</w:t>
      </w:r>
      <w:r>
        <w:rPr>
          <w:color w:val="333333"/>
          <w:spacing w:val="-5"/>
          <w:sz w:val="28"/>
        </w:rPr>
        <w:t> </w:t>
      </w:r>
      <w:r>
        <w:rPr>
          <w:color w:val="333333"/>
          <w:sz w:val="28"/>
        </w:rPr>
        <w:t>or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not.</w:t>
      </w:r>
    </w:p>
    <w:p>
      <w:pPr>
        <w:pStyle w:val="ListParagraph"/>
        <w:numPr>
          <w:ilvl w:val="0"/>
          <w:numId w:val="5"/>
        </w:numPr>
        <w:tabs>
          <w:tab w:pos="642" w:val="left" w:leader="none"/>
        </w:tabs>
        <w:spacing w:line="300" w:lineRule="auto" w:before="3" w:after="0"/>
        <w:ind w:left="641" w:right="396" w:hanging="452"/>
        <w:jc w:val="both"/>
        <w:rPr>
          <w:color w:val="333333"/>
          <w:sz w:val="28"/>
        </w:rPr>
      </w:pPr>
      <w:r>
        <w:rPr/>
        <w:pict>
          <v:shape style="position:absolute;margin-left:9.648pt;margin-top:48.278736pt;width:519.5pt;height:18.6pt;mso-position-horizontal-relative:page;mso-position-vertical-relative:paragraph;z-index:-16092672" type="#_x0000_t202" filled="false" stroked="false">
            <v:textbox inset="0,0,0,0">
              <w:txbxContent>
                <w:p>
                  <w:pPr>
                    <w:tabs>
                      <w:tab w:pos="7332" w:val="left" w:leader="none"/>
                    </w:tabs>
                    <w:spacing w:line="372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position w:val="4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30"/>
                      <w:position w:val="4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position w:val="4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4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47.84166pt;width:539.950pt;height:20.4pt;mso-position-horizontal-relative:page;mso-position-vertical-relative:paragraph;z-index:15740928" coordorigin="0,957" coordsize="10799,408">
            <v:rect style="position:absolute;left:0;top:956;width:10799;height:408" filled="true" fillcolor="#36394f" stroked="false">
              <v:fill type="solid"/>
            </v:rect>
            <v:shape style="position:absolute;left:117;top:981;width:2001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MARCH</w:t>
                    </w:r>
                    <w:r>
                      <w:rPr>
                        <w:rFonts w:ascii="Arial"/>
                        <w:b/>
                        <w:color w:val="EBCF6A"/>
                        <w:spacing w:val="50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6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499;top:981;width:3131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333333"/>
          <w:sz w:val="28"/>
        </w:rPr>
        <w:t>In which it was held that the proceedings under the Negotiable Instrument Act</w:t>
      </w:r>
      <w:r>
        <w:rPr>
          <w:color w:val="333333"/>
          <w:spacing w:val="1"/>
          <w:sz w:val="28"/>
        </w:rPr>
        <w:t> </w:t>
      </w:r>
      <w:r>
        <w:rPr>
          <w:color w:val="333333"/>
          <w:sz w:val="28"/>
        </w:rPr>
        <w:t>had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already</w:t>
      </w:r>
      <w:r>
        <w:rPr>
          <w:color w:val="333333"/>
          <w:spacing w:val="-5"/>
          <w:sz w:val="28"/>
        </w:rPr>
        <w:t> </w:t>
      </w:r>
      <w:r>
        <w:rPr>
          <w:color w:val="333333"/>
          <w:sz w:val="28"/>
        </w:rPr>
        <w:t>commenced</w:t>
      </w:r>
      <w:r>
        <w:rPr>
          <w:color w:val="333333"/>
          <w:spacing w:val="-8"/>
          <w:sz w:val="28"/>
        </w:rPr>
        <w:t> </w:t>
      </w:r>
      <w:r>
        <w:rPr>
          <w:color w:val="333333"/>
          <w:sz w:val="28"/>
        </w:rPr>
        <w:t>and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during</w:t>
      </w:r>
      <w:r>
        <w:rPr>
          <w:color w:val="333333"/>
          <w:spacing w:val="-6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pendency</w:t>
      </w:r>
      <w:r>
        <w:rPr>
          <w:color w:val="333333"/>
          <w:spacing w:val="-7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-5"/>
          <w:sz w:val="28"/>
        </w:rPr>
        <w:t> </w:t>
      </w:r>
      <w:r>
        <w:rPr>
          <w:color w:val="333333"/>
          <w:sz w:val="28"/>
        </w:rPr>
        <w:t>plan</w:t>
      </w:r>
      <w:r>
        <w:rPr>
          <w:color w:val="333333"/>
          <w:spacing w:val="-1"/>
          <w:sz w:val="28"/>
        </w:rPr>
        <w:t> </w:t>
      </w:r>
      <w:r>
        <w:rPr>
          <w:color w:val="333333"/>
          <w:sz w:val="28"/>
        </w:rPr>
        <w:t>is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approved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or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the</w:t>
      </w:r>
    </w:p>
    <w:p>
      <w:pPr>
        <w:spacing w:after="0" w:line="300" w:lineRule="auto"/>
        <w:jc w:val="both"/>
        <w:rPr>
          <w:sz w:val="28"/>
        </w:rPr>
        <w:sectPr>
          <w:pgSz w:w="10800" w:h="19200"/>
          <w:pgMar w:top="20" w:bottom="0" w:left="20" w:right="0"/>
        </w:sectPr>
      </w:pPr>
    </w:p>
    <w:p>
      <w:pPr>
        <w:spacing w:line="240" w:lineRule="auto"/>
        <w:ind w:left="752" w:right="0" w:firstLine="0"/>
        <w:rPr>
          <w:sz w:val="20"/>
        </w:rPr>
      </w:pPr>
      <w:r>
        <w:rPr/>
        <w:pict>
          <v:shape style="position:absolute;margin-left:9.648pt;margin-top:939.91687pt;width:519.5pt;height:18.6pt;mso-position-horizontal-relative:page;mso-position-vertical-relative:page;z-index:-16090624" type="#_x0000_t202" filled="false" stroked="false">
            <v:textbox inset="0,0,0,0">
              <w:txbxContent>
                <w:p>
                  <w:pPr>
                    <w:tabs>
                      <w:tab w:pos="7332" w:val="left" w:leader="none"/>
                    </w:tabs>
                    <w:spacing w:line="372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position w:val="4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30"/>
                      <w:position w:val="4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position w:val="4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4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0pt;margin-top:-.000061pt;width:540pt;height:960pt;mso-position-horizontal-relative:page;mso-position-vertical-relative:page;z-index:-16090112" filled="true" fillcolor="#fdfcf8" stroked="false">
            <v:fill type="solid"/>
            <w10:wrap type="none"/>
          </v:rect>
        </w:pict>
      </w:r>
      <w:r>
        <w:rPr/>
        <w:pict>
          <v:group style="position:absolute;margin-left:0pt;margin-top:939.479797pt;width:539.950pt;height:20.4pt;mso-position-horizontal-relative:page;mso-position-vertical-relative:page;z-index:15742976" coordorigin="0,18790" coordsize="10799,408">
            <v:rect style="position:absolute;left:0;top:18789;width:10799;height:408" filled="true" fillcolor="#36394f" stroked="false">
              <v:fill type="solid"/>
            </v:rect>
            <v:shape style="position:absolute;left:117;top:18814;width:2001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MARCH</w:t>
                    </w:r>
                    <w:r>
                      <w:rPr>
                        <w:rFonts w:ascii="Arial"/>
                        <w:b/>
                        <w:color w:val="EBCF6A"/>
                        <w:spacing w:val="50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6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499;top:18814;width:3131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2791512" cy="1838610"/>
            <wp:effectExtent l="0" t="0" r="0" b="0"/>
            <wp:docPr id="15" name="image8.jpeg" descr="A picture containing text, indoor, tool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512" cy="183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rFonts w:ascii="Times New Roman"/>
          <w:spacing w:val="89"/>
          <w:sz w:val="20"/>
        </w:rPr>
        <w:t> </w:t>
      </w:r>
      <w:r>
        <w:rPr>
          <w:spacing w:val="89"/>
          <w:position w:val="1"/>
          <w:sz w:val="20"/>
        </w:rPr>
        <w:pict>
          <v:group style="width:270pt;height:183.75pt;mso-position-horizontal-relative:char;mso-position-vertical-relative:line" coordorigin="0,0" coordsize="5400,3675">
            <v:rect style="position:absolute;left:3734;top:0;width:857;height:3064" filled="true" fillcolor="#ebcf6a" stroked="false">
              <v:fill type="solid"/>
            </v:rect>
            <v:shape style="position:absolute;left:3172;top:300;width:1786;height:1798" type="#_x0000_t75" stroked="false">
              <v:imagedata r:id="rId5" o:title=""/>
            </v:shape>
            <v:shape style="position:absolute;left:0;top:3063;width:5400;height:612" type="#_x0000_t202" filled="true" fillcolor="#36394f" stroked="false">
              <v:textbox inset="0,0,0,0">
                <w:txbxContent>
                  <w:p>
                    <w:pPr>
                      <w:spacing w:before="11"/>
                      <w:ind w:left="1616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bookmarkStart w:name="Slide 6" w:id="6"/>
                    <w:bookmarkEnd w:id="6"/>
                    <w:r>
                      <w:rPr/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CASE</w:t>
                    </w:r>
                    <w:r>
                      <w:rPr>
                        <w:rFonts w:ascii="Arial"/>
                        <w:b/>
                        <w:color w:val="EBCF6A"/>
                        <w:spacing w:val="-19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LAWS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pacing w:val="89"/>
          <w:position w:val="1"/>
          <w:sz w:val="20"/>
        </w:rPr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5"/>
        </w:numPr>
        <w:tabs>
          <w:tab w:pos="641" w:val="left" w:leader="none"/>
          <w:tab w:pos="642" w:val="left" w:leader="none"/>
        </w:tabs>
        <w:spacing w:line="249" w:lineRule="auto" w:before="92" w:after="0"/>
        <w:ind w:left="641" w:right="267" w:hanging="452"/>
        <w:jc w:val="left"/>
        <w:rPr>
          <w:color w:val="333333"/>
          <w:sz w:val="28"/>
        </w:rPr>
      </w:pPr>
      <w:r>
        <w:rPr>
          <w:color w:val="333333"/>
          <w:sz w:val="28"/>
        </w:rPr>
        <w:t>company</w:t>
      </w:r>
      <w:r>
        <w:rPr>
          <w:color w:val="333333"/>
          <w:spacing w:val="39"/>
          <w:sz w:val="28"/>
        </w:rPr>
        <w:t> </w:t>
      </w:r>
      <w:r>
        <w:rPr>
          <w:color w:val="333333"/>
          <w:sz w:val="28"/>
        </w:rPr>
        <w:t>gets</w:t>
      </w:r>
      <w:r>
        <w:rPr>
          <w:color w:val="333333"/>
          <w:spacing w:val="44"/>
          <w:sz w:val="28"/>
        </w:rPr>
        <w:t> </w:t>
      </w:r>
      <w:r>
        <w:rPr>
          <w:color w:val="333333"/>
          <w:sz w:val="28"/>
        </w:rPr>
        <w:t>dissolved,</w:t>
      </w:r>
      <w:r>
        <w:rPr>
          <w:color w:val="333333"/>
          <w:spacing w:val="42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41"/>
          <w:sz w:val="28"/>
        </w:rPr>
        <w:t> </w:t>
      </w:r>
      <w:r>
        <w:rPr>
          <w:color w:val="333333"/>
          <w:sz w:val="28"/>
        </w:rPr>
        <w:t>directors</w:t>
      </w:r>
      <w:r>
        <w:rPr>
          <w:color w:val="333333"/>
          <w:spacing w:val="40"/>
          <w:sz w:val="28"/>
        </w:rPr>
        <w:t> </w:t>
      </w:r>
      <w:r>
        <w:rPr>
          <w:color w:val="333333"/>
          <w:sz w:val="28"/>
        </w:rPr>
        <w:t>and</w:t>
      </w:r>
      <w:r>
        <w:rPr>
          <w:color w:val="333333"/>
          <w:spacing w:val="43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40"/>
          <w:sz w:val="28"/>
        </w:rPr>
        <w:t> </w:t>
      </w:r>
      <w:r>
        <w:rPr>
          <w:color w:val="333333"/>
          <w:sz w:val="28"/>
        </w:rPr>
        <w:t>other</w:t>
      </w:r>
      <w:r>
        <w:rPr>
          <w:color w:val="333333"/>
          <w:spacing w:val="42"/>
          <w:sz w:val="28"/>
        </w:rPr>
        <w:t> </w:t>
      </w:r>
      <w:r>
        <w:rPr>
          <w:color w:val="333333"/>
          <w:sz w:val="28"/>
        </w:rPr>
        <w:t>accused</w:t>
      </w:r>
      <w:r>
        <w:rPr>
          <w:color w:val="333333"/>
          <w:spacing w:val="40"/>
          <w:sz w:val="28"/>
        </w:rPr>
        <w:t> </w:t>
      </w:r>
      <w:r>
        <w:rPr>
          <w:color w:val="333333"/>
          <w:sz w:val="28"/>
        </w:rPr>
        <w:t>cannot</w:t>
      </w:r>
      <w:r>
        <w:rPr>
          <w:color w:val="333333"/>
          <w:spacing w:val="43"/>
          <w:sz w:val="28"/>
        </w:rPr>
        <w:t> </w:t>
      </w:r>
      <w:r>
        <w:rPr>
          <w:color w:val="333333"/>
          <w:sz w:val="28"/>
        </w:rPr>
        <w:t>escape</w:t>
      </w:r>
      <w:r>
        <w:rPr>
          <w:color w:val="333333"/>
          <w:spacing w:val="-75"/>
          <w:sz w:val="28"/>
        </w:rPr>
        <w:t> </w:t>
      </w:r>
      <w:r>
        <w:rPr>
          <w:color w:val="333333"/>
          <w:sz w:val="28"/>
        </w:rPr>
        <w:t>from</w:t>
      </w:r>
      <w:r>
        <w:rPr>
          <w:color w:val="333333"/>
          <w:spacing w:val="-5"/>
          <w:sz w:val="28"/>
        </w:rPr>
        <w:t> </w:t>
      </w:r>
      <w:r>
        <w:rPr>
          <w:color w:val="333333"/>
          <w:sz w:val="28"/>
        </w:rPr>
        <w:t>their</w:t>
      </w:r>
      <w:r>
        <w:rPr>
          <w:color w:val="333333"/>
          <w:spacing w:val="-6"/>
          <w:sz w:val="28"/>
        </w:rPr>
        <w:t> </w:t>
      </w:r>
      <w:r>
        <w:rPr>
          <w:color w:val="333333"/>
          <w:sz w:val="28"/>
        </w:rPr>
        <w:t>liability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by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citing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its</w:t>
      </w:r>
      <w:r>
        <w:rPr>
          <w:color w:val="333333"/>
          <w:spacing w:val="-2"/>
          <w:sz w:val="28"/>
        </w:rPr>
        <w:t> </w:t>
      </w:r>
      <w:r>
        <w:rPr>
          <w:color w:val="333333"/>
          <w:sz w:val="28"/>
        </w:rPr>
        <w:t>dissolution.</w:t>
      </w:r>
    </w:p>
    <w:p>
      <w:pPr>
        <w:pStyle w:val="ListParagraph"/>
        <w:numPr>
          <w:ilvl w:val="0"/>
          <w:numId w:val="5"/>
        </w:numPr>
        <w:tabs>
          <w:tab w:pos="641" w:val="left" w:leader="none"/>
          <w:tab w:pos="642" w:val="left" w:leader="none"/>
        </w:tabs>
        <w:spacing w:line="249" w:lineRule="auto" w:before="2" w:after="0"/>
        <w:ind w:left="641" w:right="268" w:hanging="452"/>
        <w:jc w:val="left"/>
        <w:rPr>
          <w:color w:val="333333"/>
          <w:sz w:val="28"/>
        </w:rPr>
      </w:pPr>
      <w:r>
        <w:rPr>
          <w:color w:val="333333"/>
          <w:sz w:val="28"/>
        </w:rPr>
        <w:t>Further</w:t>
      </w:r>
      <w:r>
        <w:rPr>
          <w:color w:val="333333"/>
          <w:spacing w:val="6"/>
          <w:sz w:val="28"/>
        </w:rPr>
        <w:t> </w:t>
      </w:r>
      <w:r>
        <w:rPr>
          <w:color w:val="333333"/>
          <w:sz w:val="28"/>
        </w:rPr>
        <w:t>it</w:t>
      </w:r>
      <w:r>
        <w:rPr>
          <w:color w:val="333333"/>
          <w:spacing w:val="7"/>
          <w:sz w:val="28"/>
        </w:rPr>
        <w:t> </w:t>
      </w:r>
      <w:r>
        <w:rPr>
          <w:color w:val="333333"/>
          <w:sz w:val="28"/>
        </w:rPr>
        <w:t>was</w:t>
      </w:r>
      <w:r>
        <w:rPr>
          <w:color w:val="333333"/>
          <w:spacing w:val="7"/>
          <w:sz w:val="28"/>
        </w:rPr>
        <w:t> </w:t>
      </w:r>
      <w:r>
        <w:rPr>
          <w:color w:val="333333"/>
          <w:sz w:val="28"/>
        </w:rPr>
        <w:t>held</w:t>
      </w:r>
      <w:r>
        <w:rPr>
          <w:color w:val="333333"/>
          <w:spacing w:val="3"/>
          <w:sz w:val="28"/>
        </w:rPr>
        <w:t> </w:t>
      </w:r>
      <w:r>
        <w:rPr>
          <w:color w:val="333333"/>
          <w:sz w:val="28"/>
        </w:rPr>
        <w:t>that</w:t>
      </w:r>
      <w:r>
        <w:rPr>
          <w:color w:val="333333"/>
          <w:spacing w:val="7"/>
          <w:sz w:val="28"/>
        </w:rPr>
        <w:t> </w:t>
      </w:r>
      <w:r>
        <w:rPr>
          <w:color w:val="333333"/>
          <w:sz w:val="28"/>
        </w:rPr>
        <w:t>what</w:t>
      </w:r>
      <w:r>
        <w:rPr>
          <w:color w:val="333333"/>
          <w:spacing w:val="7"/>
          <w:sz w:val="28"/>
        </w:rPr>
        <w:t> </w:t>
      </w:r>
      <w:r>
        <w:rPr>
          <w:color w:val="333333"/>
          <w:sz w:val="28"/>
        </w:rPr>
        <w:t>is</w:t>
      </w:r>
      <w:r>
        <w:rPr>
          <w:color w:val="333333"/>
          <w:spacing w:val="7"/>
          <w:sz w:val="28"/>
        </w:rPr>
        <w:t> </w:t>
      </w:r>
      <w:r>
        <w:rPr>
          <w:color w:val="333333"/>
          <w:sz w:val="28"/>
        </w:rPr>
        <w:t>dissolved</w:t>
      </w:r>
      <w:r>
        <w:rPr>
          <w:color w:val="333333"/>
          <w:spacing w:val="6"/>
          <w:sz w:val="28"/>
        </w:rPr>
        <w:t> </w:t>
      </w:r>
      <w:r>
        <w:rPr>
          <w:color w:val="333333"/>
          <w:sz w:val="28"/>
        </w:rPr>
        <w:t>is</w:t>
      </w:r>
      <w:r>
        <w:rPr>
          <w:color w:val="333333"/>
          <w:spacing w:val="5"/>
          <w:sz w:val="28"/>
        </w:rPr>
        <w:t> </w:t>
      </w:r>
      <w:r>
        <w:rPr>
          <w:color w:val="333333"/>
          <w:sz w:val="28"/>
        </w:rPr>
        <w:t>only</w:t>
      </w:r>
      <w:r>
        <w:rPr>
          <w:color w:val="333333"/>
          <w:spacing w:val="5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3"/>
          <w:sz w:val="28"/>
        </w:rPr>
        <w:t> </w:t>
      </w:r>
      <w:r>
        <w:rPr>
          <w:color w:val="333333"/>
          <w:sz w:val="28"/>
        </w:rPr>
        <w:t>company,</w:t>
      </w:r>
      <w:r>
        <w:rPr>
          <w:color w:val="333333"/>
          <w:spacing w:val="10"/>
          <w:sz w:val="28"/>
        </w:rPr>
        <w:t> </w:t>
      </w:r>
      <w:r>
        <w:rPr>
          <w:color w:val="333333"/>
          <w:sz w:val="28"/>
        </w:rPr>
        <w:t>not</w:t>
      </w:r>
      <w:r>
        <w:rPr>
          <w:color w:val="333333"/>
          <w:spacing w:val="5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6"/>
          <w:sz w:val="28"/>
        </w:rPr>
        <w:t> </w:t>
      </w:r>
      <w:r>
        <w:rPr>
          <w:color w:val="333333"/>
          <w:sz w:val="28"/>
        </w:rPr>
        <w:t>personal</w:t>
      </w:r>
      <w:r>
        <w:rPr>
          <w:color w:val="333333"/>
          <w:spacing w:val="-74"/>
          <w:sz w:val="28"/>
        </w:rPr>
        <w:t> </w:t>
      </w:r>
      <w:r>
        <w:rPr>
          <w:color w:val="333333"/>
          <w:sz w:val="28"/>
        </w:rPr>
        <w:t>penal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liability</w:t>
      </w:r>
      <w:r>
        <w:rPr>
          <w:color w:val="333333"/>
          <w:spacing w:val="-4"/>
          <w:sz w:val="28"/>
        </w:rPr>
        <w:t> </w:t>
      </w:r>
      <w:r>
        <w:rPr>
          <w:color w:val="333333"/>
          <w:sz w:val="28"/>
        </w:rPr>
        <w:t>covered</w:t>
      </w:r>
      <w:r>
        <w:rPr>
          <w:color w:val="333333"/>
          <w:spacing w:val="-5"/>
          <w:sz w:val="28"/>
        </w:rPr>
        <w:t> </w:t>
      </w:r>
      <w:r>
        <w:rPr>
          <w:color w:val="333333"/>
          <w:sz w:val="28"/>
        </w:rPr>
        <w:t>under</w:t>
      </w:r>
      <w:r>
        <w:rPr>
          <w:color w:val="333333"/>
          <w:spacing w:val="-6"/>
          <w:sz w:val="28"/>
        </w:rPr>
        <w:t> </w:t>
      </w:r>
      <w:r>
        <w:rPr>
          <w:color w:val="333333"/>
          <w:sz w:val="28"/>
        </w:rPr>
        <w:t>the</w:t>
      </w:r>
      <w:r>
        <w:rPr>
          <w:color w:val="333333"/>
          <w:spacing w:val="-3"/>
          <w:sz w:val="28"/>
        </w:rPr>
        <w:t> </w:t>
      </w:r>
      <w:r>
        <w:rPr>
          <w:color w:val="333333"/>
          <w:sz w:val="28"/>
        </w:rPr>
        <w:t>Negotiable</w:t>
      </w:r>
      <w:r>
        <w:rPr>
          <w:color w:val="333333"/>
          <w:spacing w:val="-8"/>
          <w:sz w:val="28"/>
        </w:rPr>
        <w:t> </w:t>
      </w:r>
      <w:r>
        <w:rPr>
          <w:color w:val="333333"/>
          <w:sz w:val="28"/>
        </w:rPr>
        <w:t>Instrument</w:t>
      </w:r>
      <w:r>
        <w:rPr>
          <w:color w:val="333333"/>
          <w:spacing w:val="-23"/>
          <w:sz w:val="28"/>
        </w:rPr>
        <w:t> </w:t>
      </w:r>
      <w:r>
        <w:rPr>
          <w:color w:val="333333"/>
          <w:sz w:val="28"/>
        </w:rPr>
        <w:t>Act.</w:t>
      </w:r>
    </w:p>
    <w:p>
      <w:pPr>
        <w:pStyle w:val="ListParagraph"/>
        <w:numPr>
          <w:ilvl w:val="0"/>
          <w:numId w:val="5"/>
        </w:numPr>
        <w:tabs>
          <w:tab w:pos="641" w:val="left" w:leader="none"/>
          <w:tab w:pos="642" w:val="left" w:leader="none"/>
        </w:tabs>
        <w:spacing w:line="240" w:lineRule="auto" w:before="2" w:after="0"/>
        <w:ind w:left="641" w:right="0" w:hanging="453"/>
        <w:jc w:val="left"/>
        <w:rPr>
          <w:color w:val="1A1A1A"/>
          <w:sz w:val="28"/>
        </w:rPr>
      </w:pPr>
      <w:hyperlink r:id="rId21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1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Order</w:t>
        </w:r>
      </w:hyperlink>
    </w:p>
    <w:p>
      <w:pPr>
        <w:pStyle w:val="BodyText"/>
        <w:rPr>
          <w:sz w:val="42"/>
        </w:rPr>
      </w:pPr>
    </w:p>
    <w:p>
      <w:pPr>
        <w:pStyle w:val="Heading3"/>
        <w:spacing w:before="0"/>
        <w:rPr>
          <w:u w:val="none"/>
        </w:rPr>
      </w:pPr>
      <w:r>
        <w:rPr>
          <w:u w:val="thick"/>
        </w:rPr>
        <w:t>POSH</w:t>
      </w:r>
    </w:p>
    <w:p>
      <w:pPr>
        <w:pStyle w:val="ListParagraph"/>
        <w:numPr>
          <w:ilvl w:val="0"/>
          <w:numId w:val="7"/>
        </w:numPr>
        <w:tabs>
          <w:tab w:pos="548" w:val="left" w:leader="none"/>
        </w:tabs>
        <w:spacing w:line="300" w:lineRule="auto" w:before="93" w:after="0"/>
        <w:ind w:left="189" w:right="576" w:firstLine="0"/>
        <w:jc w:val="left"/>
        <w:rPr>
          <w:rFonts w:ascii="Arial"/>
          <w:b/>
          <w:color w:val="1A1A1A"/>
          <w:sz w:val="32"/>
        </w:rPr>
      </w:pPr>
      <w:r>
        <w:rPr>
          <w:rFonts w:ascii="Arial"/>
          <w:b/>
          <w:sz w:val="32"/>
          <w:u w:val="thick"/>
        </w:rPr>
        <w:t>Bombay</w:t>
      </w:r>
      <w:r>
        <w:rPr>
          <w:rFonts w:ascii="Arial"/>
          <w:b/>
          <w:spacing w:val="-3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HC</w:t>
      </w:r>
      <w:r>
        <w:rPr>
          <w:rFonts w:ascii="Arial"/>
          <w:b/>
          <w:spacing w:val="-2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quashed</w:t>
      </w:r>
      <w:r>
        <w:rPr>
          <w:rFonts w:ascii="Arial"/>
          <w:b/>
          <w:spacing w:val="-3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POSH</w:t>
      </w:r>
      <w:r>
        <w:rPr>
          <w:rFonts w:ascii="Arial"/>
          <w:b/>
          <w:spacing w:val="-1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FIR</w:t>
      </w:r>
      <w:r>
        <w:rPr>
          <w:rFonts w:ascii="Arial"/>
          <w:b/>
          <w:spacing w:val="-3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and</w:t>
      </w:r>
      <w:r>
        <w:rPr>
          <w:rFonts w:ascii="Arial"/>
          <w:b/>
          <w:spacing w:val="-3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directs ex-executive</w:t>
      </w:r>
      <w:r>
        <w:rPr>
          <w:rFonts w:ascii="Arial"/>
          <w:b/>
          <w:spacing w:val="7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to</w:t>
      </w:r>
      <w:r>
        <w:rPr>
          <w:rFonts w:ascii="Arial"/>
          <w:b/>
          <w:spacing w:val="-1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pay</w:t>
      </w:r>
      <w:r>
        <w:rPr>
          <w:rFonts w:ascii="Arial"/>
          <w:b/>
          <w:spacing w:val="-86"/>
          <w:sz w:val="32"/>
        </w:rPr>
        <w:t> </w:t>
      </w:r>
      <w:r>
        <w:rPr>
          <w:rFonts w:ascii="Arial"/>
          <w:b/>
          <w:sz w:val="32"/>
          <w:u w:val="thick"/>
        </w:rPr>
        <w:t>charities</w:t>
      </w:r>
      <w:r>
        <w:rPr>
          <w:rFonts w:ascii="Arial"/>
          <w:b/>
          <w:spacing w:val="4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Rs</w:t>
      </w:r>
      <w:r>
        <w:rPr>
          <w:rFonts w:ascii="Arial"/>
          <w:b/>
          <w:spacing w:val="2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1</w:t>
      </w:r>
      <w:r>
        <w:rPr>
          <w:rFonts w:ascii="Arial"/>
          <w:b/>
          <w:spacing w:val="-1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lakh.</w:t>
      </w:r>
    </w:p>
    <w:p>
      <w:pPr>
        <w:pStyle w:val="BodyText"/>
        <w:spacing w:before="3"/>
        <w:rPr>
          <w:rFonts w:ascii="Arial"/>
          <w:b/>
          <w:sz w:val="18"/>
        </w:rPr>
      </w:pPr>
    </w:p>
    <w:p>
      <w:pPr>
        <w:pStyle w:val="ListParagraph"/>
        <w:numPr>
          <w:ilvl w:val="0"/>
          <w:numId w:val="5"/>
        </w:numPr>
        <w:tabs>
          <w:tab w:pos="642" w:val="left" w:leader="none"/>
        </w:tabs>
        <w:spacing w:line="249" w:lineRule="auto" w:before="91" w:after="0"/>
        <w:ind w:left="641" w:right="265" w:hanging="452"/>
        <w:jc w:val="both"/>
        <w:rPr>
          <w:color w:val="1A1A1A"/>
          <w:sz w:val="28"/>
        </w:rPr>
      </w:pPr>
      <w:r>
        <w:rPr>
          <w:color w:val="1A1A1A"/>
          <w:sz w:val="28"/>
        </w:rPr>
        <w:t>High Court quashed a sexual harassment FIR against a former high-ranking</w:t>
      </w:r>
      <w:r>
        <w:rPr>
          <w:color w:val="1A1A1A"/>
          <w:spacing w:val="1"/>
          <w:sz w:val="28"/>
        </w:rPr>
        <w:t> </w:t>
      </w:r>
      <w:r>
        <w:rPr>
          <w:color w:val="1A1A1A"/>
          <w:sz w:val="28"/>
        </w:rPr>
        <w:t>officer</w:t>
      </w:r>
      <w:r>
        <w:rPr>
          <w:color w:val="1A1A1A"/>
          <w:spacing w:val="-8"/>
          <w:sz w:val="28"/>
        </w:rPr>
        <w:t> </w:t>
      </w:r>
      <w:r>
        <w:rPr>
          <w:color w:val="1A1A1A"/>
          <w:sz w:val="28"/>
        </w:rPr>
        <w:t>after</w:t>
      </w:r>
      <w:r>
        <w:rPr>
          <w:color w:val="1A1A1A"/>
          <w:spacing w:val="-8"/>
          <w:sz w:val="28"/>
        </w:rPr>
        <w:t> </w:t>
      </w:r>
      <w:r>
        <w:rPr>
          <w:color w:val="1A1A1A"/>
          <w:sz w:val="28"/>
        </w:rPr>
        <w:t>dispute</w:t>
      </w:r>
      <w:r>
        <w:rPr>
          <w:color w:val="1A1A1A"/>
          <w:spacing w:val="-5"/>
          <w:sz w:val="28"/>
        </w:rPr>
        <w:t> </w:t>
      </w:r>
      <w:r>
        <w:rPr>
          <w:color w:val="1A1A1A"/>
          <w:sz w:val="28"/>
        </w:rPr>
        <w:t>was amicably</w:t>
      </w:r>
      <w:r>
        <w:rPr>
          <w:color w:val="1A1A1A"/>
          <w:spacing w:val="-5"/>
          <w:sz w:val="28"/>
        </w:rPr>
        <w:t> </w:t>
      </w:r>
      <w:r>
        <w:rPr>
          <w:color w:val="1A1A1A"/>
          <w:sz w:val="28"/>
        </w:rPr>
        <w:t>settled.</w:t>
      </w:r>
    </w:p>
    <w:p>
      <w:pPr>
        <w:pStyle w:val="ListParagraph"/>
        <w:numPr>
          <w:ilvl w:val="0"/>
          <w:numId w:val="5"/>
        </w:numPr>
        <w:tabs>
          <w:tab w:pos="642" w:val="left" w:leader="none"/>
        </w:tabs>
        <w:spacing w:line="249" w:lineRule="auto" w:before="3" w:after="0"/>
        <w:ind w:left="641" w:right="266" w:hanging="452"/>
        <w:jc w:val="both"/>
        <w:rPr>
          <w:color w:val="1A1A1A"/>
          <w:sz w:val="28"/>
        </w:rPr>
      </w:pPr>
      <w:r>
        <w:rPr>
          <w:color w:val="1A1A1A"/>
          <w:sz w:val="28"/>
        </w:rPr>
        <w:t>The complainant had received objectionable messages from former senior vice</w:t>
      </w:r>
      <w:r>
        <w:rPr>
          <w:color w:val="1A1A1A"/>
          <w:spacing w:val="1"/>
          <w:sz w:val="28"/>
        </w:rPr>
        <w:t> </w:t>
      </w:r>
      <w:r>
        <w:rPr>
          <w:color w:val="1A1A1A"/>
          <w:sz w:val="28"/>
        </w:rPr>
        <w:t>president</w:t>
      </w:r>
      <w:r>
        <w:rPr>
          <w:color w:val="1A1A1A"/>
          <w:spacing w:val="-10"/>
          <w:sz w:val="28"/>
        </w:rPr>
        <w:t> </w:t>
      </w:r>
      <w:r>
        <w:rPr>
          <w:color w:val="1A1A1A"/>
          <w:sz w:val="28"/>
        </w:rPr>
        <w:t>back</w:t>
      </w:r>
      <w:r>
        <w:rPr>
          <w:color w:val="1A1A1A"/>
          <w:spacing w:val="-2"/>
          <w:sz w:val="28"/>
        </w:rPr>
        <w:t> </w:t>
      </w:r>
      <w:r>
        <w:rPr>
          <w:color w:val="1A1A1A"/>
          <w:sz w:val="28"/>
        </w:rPr>
        <w:t>in</w:t>
      </w:r>
      <w:r>
        <w:rPr>
          <w:color w:val="1A1A1A"/>
          <w:spacing w:val="-4"/>
          <w:sz w:val="28"/>
        </w:rPr>
        <w:t> </w:t>
      </w:r>
      <w:r>
        <w:rPr>
          <w:color w:val="1A1A1A"/>
          <w:sz w:val="28"/>
        </w:rPr>
        <w:t>the</w:t>
      </w:r>
      <w:r>
        <w:rPr>
          <w:color w:val="1A1A1A"/>
          <w:spacing w:val="-4"/>
          <w:sz w:val="28"/>
        </w:rPr>
        <w:t> </w:t>
      </w:r>
      <w:r>
        <w:rPr>
          <w:color w:val="1A1A1A"/>
          <w:sz w:val="28"/>
        </w:rPr>
        <w:t>years.</w:t>
      </w:r>
    </w:p>
    <w:p>
      <w:pPr>
        <w:pStyle w:val="ListParagraph"/>
        <w:numPr>
          <w:ilvl w:val="0"/>
          <w:numId w:val="5"/>
        </w:numPr>
        <w:tabs>
          <w:tab w:pos="642" w:val="left" w:leader="none"/>
        </w:tabs>
        <w:spacing w:line="249" w:lineRule="auto" w:before="2" w:after="0"/>
        <w:ind w:left="641" w:right="268" w:hanging="452"/>
        <w:jc w:val="both"/>
        <w:rPr>
          <w:color w:val="1A1A1A"/>
          <w:sz w:val="28"/>
        </w:rPr>
      </w:pPr>
      <w:r>
        <w:rPr>
          <w:color w:val="1A1A1A"/>
          <w:sz w:val="28"/>
        </w:rPr>
        <w:t>Respondent</w:t>
      </w:r>
      <w:r>
        <w:rPr>
          <w:color w:val="1A1A1A"/>
          <w:spacing w:val="1"/>
          <w:sz w:val="28"/>
        </w:rPr>
        <w:t> </w:t>
      </w:r>
      <w:r>
        <w:rPr>
          <w:color w:val="1A1A1A"/>
          <w:sz w:val="28"/>
        </w:rPr>
        <w:t>further</w:t>
      </w:r>
      <w:r>
        <w:rPr>
          <w:color w:val="1A1A1A"/>
          <w:spacing w:val="1"/>
          <w:sz w:val="28"/>
        </w:rPr>
        <w:t> </w:t>
      </w:r>
      <w:r>
        <w:rPr>
          <w:color w:val="1A1A1A"/>
          <w:sz w:val="28"/>
        </w:rPr>
        <w:t>tendered</w:t>
      </w:r>
      <w:r>
        <w:rPr>
          <w:color w:val="1A1A1A"/>
          <w:spacing w:val="1"/>
          <w:sz w:val="28"/>
        </w:rPr>
        <w:t> </w:t>
      </w:r>
      <w:r>
        <w:rPr>
          <w:color w:val="1A1A1A"/>
          <w:sz w:val="28"/>
        </w:rPr>
        <w:t>the</w:t>
      </w:r>
      <w:r>
        <w:rPr>
          <w:color w:val="1A1A1A"/>
          <w:spacing w:val="1"/>
          <w:sz w:val="28"/>
        </w:rPr>
        <w:t> </w:t>
      </w:r>
      <w:r>
        <w:rPr>
          <w:color w:val="1A1A1A"/>
          <w:sz w:val="28"/>
        </w:rPr>
        <w:t>unconditional</w:t>
      </w:r>
      <w:r>
        <w:rPr>
          <w:color w:val="1A1A1A"/>
          <w:spacing w:val="1"/>
          <w:sz w:val="28"/>
        </w:rPr>
        <w:t> </w:t>
      </w:r>
      <w:r>
        <w:rPr>
          <w:color w:val="1A1A1A"/>
          <w:sz w:val="28"/>
        </w:rPr>
        <w:t>apology</w:t>
      </w:r>
      <w:r>
        <w:rPr>
          <w:color w:val="1A1A1A"/>
          <w:spacing w:val="1"/>
          <w:sz w:val="28"/>
        </w:rPr>
        <w:t> </w:t>
      </w:r>
      <w:r>
        <w:rPr>
          <w:color w:val="1A1A1A"/>
          <w:sz w:val="28"/>
        </w:rPr>
        <w:t>which</w:t>
      </w:r>
      <w:r>
        <w:rPr>
          <w:color w:val="1A1A1A"/>
          <w:spacing w:val="1"/>
          <w:sz w:val="28"/>
        </w:rPr>
        <w:t> </w:t>
      </w:r>
      <w:r>
        <w:rPr>
          <w:color w:val="1A1A1A"/>
          <w:sz w:val="28"/>
        </w:rPr>
        <w:t>settled</w:t>
      </w:r>
      <w:r>
        <w:rPr>
          <w:color w:val="1A1A1A"/>
          <w:spacing w:val="77"/>
          <w:sz w:val="28"/>
        </w:rPr>
        <w:t> </w:t>
      </w:r>
      <w:r>
        <w:rPr>
          <w:color w:val="1A1A1A"/>
          <w:sz w:val="28"/>
        </w:rPr>
        <w:t>the</w:t>
      </w:r>
      <w:r>
        <w:rPr>
          <w:color w:val="1A1A1A"/>
          <w:spacing w:val="1"/>
          <w:sz w:val="28"/>
        </w:rPr>
        <w:t> </w:t>
      </w:r>
      <w:r>
        <w:rPr>
          <w:color w:val="1A1A1A"/>
          <w:sz w:val="28"/>
        </w:rPr>
        <w:t>matter.</w:t>
      </w:r>
    </w:p>
    <w:p>
      <w:pPr>
        <w:pStyle w:val="ListParagraph"/>
        <w:numPr>
          <w:ilvl w:val="0"/>
          <w:numId w:val="5"/>
        </w:numPr>
        <w:tabs>
          <w:tab w:pos="642" w:val="left" w:leader="none"/>
        </w:tabs>
        <w:spacing w:line="249" w:lineRule="auto" w:before="2" w:after="0"/>
        <w:ind w:left="641" w:right="265" w:hanging="452"/>
        <w:jc w:val="both"/>
        <w:rPr>
          <w:sz w:val="28"/>
        </w:rPr>
      </w:pPr>
      <w:r>
        <w:rPr>
          <w:sz w:val="28"/>
        </w:rPr>
        <w:t>Bombay high court by considering the nature of the dispute and relying on</w:t>
      </w:r>
      <w:r>
        <w:rPr>
          <w:spacing w:val="1"/>
          <w:sz w:val="28"/>
        </w:rPr>
        <w:t> </w:t>
      </w:r>
      <w:r>
        <w:rPr>
          <w:sz w:val="28"/>
        </w:rPr>
        <w:t>Supreme Court judgments directed respondent to pay Rs 1 lakh cost to four</w:t>
      </w:r>
      <w:r>
        <w:rPr>
          <w:spacing w:val="1"/>
          <w:sz w:val="28"/>
        </w:rPr>
        <w:t> </w:t>
      </w:r>
      <w:r>
        <w:rPr>
          <w:sz w:val="28"/>
        </w:rPr>
        <w:t>charities.</w:t>
      </w:r>
    </w:p>
    <w:p>
      <w:pPr>
        <w:spacing w:after="0" w:line="249" w:lineRule="auto"/>
        <w:jc w:val="both"/>
        <w:rPr>
          <w:sz w:val="28"/>
        </w:rPr>
        <w:sectPr>
          <w:pgSz w:w="10800" w:h="19200"/>
          <w:pgMar w:top="20" w:bottom="0" w:left="2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88576" filled="true" fillcolor="#fdfcf8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tabs>
          <w:tab w:pos="6822" w:val="left" w:leader="none"/>
          <w:tab w:pos="10578" w:val="left" w:leader="none"/>
        </w:tabs>
        <w:spacing w:before="218"/>
        <w:ind w:left="5380"/>
      </w:pPr>
      <w:r>
        <w:rPr/>
        <w:pict>
          <v:group style="position:absolute;margin-left:424.079987pt;margin-top:-126.510216pt;width:89.3pt;height:159.75pt;mso-position-horizontal-relative:page;mso-position-vertical-relative:paragraph;z-index:-16088064" coordorigin="8482,-2530" coordsize="1786,3195">
            <v:shape style="position:absolute;left:9192;top:-2531;width:855;height:3195" type="#_x0000_t75" stroked="false">
              <v:imagedata r:id="rId22" o:title=""/>
            </v:shape>
            <v:shape style="position:absolute;left:8481;top:-2207;width:1786;height:1798" type="#_x0000_t75" stroked="false">
              <v:imagedata r:id="rId5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379475</wp:posOffset>
            </wp:positionH>
            <wp:positionV relativeFrom="paragraph">
              <wp:posOffset>-1405511</wp:posOffset>
            </wp:positionV>
            <wp:extent cx="2699004" cy="1795272"/>
            <wp:effectExtent l="0" t="0" r="0" b="0"/>
            <wp:wrapNone/>
            <wp:docPr id="17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004" cy="1795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lide 7" w:id="7"/>
      <w:bookmarkEnd w:id="7"/>
      <w:r>
        <w:rPr>
          <w:b w:val="0"/>
        </w:rPr>
      </w:r>
      <w:r>
        <w:rPr>
          <w:color w:val="EBCF6A"/>
          <w:w w:val="100"/>
          <w:shd w:fill="394558" w:color="auto" w:val="clear"/>
        </w:rPr>
        <w:t> </w:t>
      </w:r>
      <w:r>
        <w:rPr>
          <w:color w:val="EBCF6A"/>
          <w:shd w:fill="394558" w:color="auto" w:val="clear"/>
        </w:rPr>
        <w:tab/>
      </w:r>
      <w:r>
        <w:rPr>
          <w:color w:val="EBCF6A"/>
          <w:shd w:fill="394558" w:color="auto" w:val="clear"/>
        </w:rPr>
        <w:t>DUE</w:t>
      </w:r>
      <w:r>
        <w:rPr>
          <w:color w:val="EBCF6A"/>
          <w:spacing w:val="22"/>
          <w:shd w:fill="394558" w:color="auto" w:val="clear"/>
        </w:rPr>
        <w:t> </w:t>
      </w:r>
      <w:r>
        <w:rPr>
          <w:color w:val="EBCF6A"/>
          <w:shd w:fill="394558" w:color="auto" w:val="clear"/>
        </w:rPr>
        <w:t>DATES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1"/>
        </w:rPr>
      </w:pPr>
    </w:p>
    <w:tbl>
      <w:tblPr>
        <w:tblW w:w="0" w:type="auto"/>
        <w:jc w:val="left"/>
        <w:tblInd w:w="4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7"/>
        <w:gridCol w:w="1413"/>
        <w:gridCol w:w="1413"/>
        <w:gridCol w:w="1413"/>
        <w:gridCol w:w="1413"/>
        <w:gridCol w:w="1413"/>
        <w:gridCol w:w="1413"/>
      </w:tblGrid>
      <w:tr>
        <w:trPr>
          <w:trHeight w:val="727" w:hRule="atLeast"/>
        </w:trPr>
        <w:tc>
          <w:tcPr>
            <w:tcW w:w="1357" w:type="dxa"/>
            <w:shd w:val="clear" w:color="auto" w:fill="4F81BB"/>
          </w:tcPr>
          <w:p>
            <w:pPr>
              <w:pStyle w:val="TableParagraph"/>
              <w:spacing w:before="174"/>
              <w:ind w:left="434" w:right="27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SUN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4"/>
              <w:ind w:left="428" w:right="2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MON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4"/>
              <w:ind w:left="426" w:right="2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TUE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4"/>
              <w:ind w:left="431" w:right="26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WED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4"/>
              <w:ind w:left="431" w:right="26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THU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4"/>
              <w:ind w:right="390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FRI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4"/>
              <w:ind w:left="431" w:right="25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SAT</w:t>
            </w:r>
          </w:p>
        </w:tc>
      </w:tr>
      <w:tr>
        <w:trPr>
          <w:trHeight w:val="582" w:hRule="atLeast"/>
        </w:trPr>
        <w:tc>
          <w:tcPr>
            <w:tcW w:w="1357" w:type="dxa"/>
            <w:shd w:val="clear" w:color="auto" w:fill="FDFCF8"/>
          </w:tcPr>
          <w:p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  <w:tc>
          <w:tcPr>
            <w:tcW w:w="1413" w:type="dxa"/>
            <w:shd w:val="clear" w:color="auto" w:fill="E6B8B8"/>
          </w:tcPr>
          <w:p>
            <w:pPr>
              <w:pStyle w:val="TableParagraph"/>
              <w:ind w:left="17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1</w:t>
            </w:r>
          </w:p>
        </w:tc>
      </w:tr>
      <w:tr>
        <w:trPr>
          <w:trHeight w:val="582" w:hRule="atLeast"/>
        </w:trPr>
        <w:tc>
          <w:tcPr>
            <w:tcW w:w="1357" w:type="dxa"/>
            <w:shd w:val="clear" w:color="auto" w:fill="FDFCF8"/>
          </w:tcPr>
          <w:p>
            <w:pPr>
              <w:pStyle w:val="TableParagraph"/>
              <w:ind w:left="16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2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16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3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16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4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16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5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16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6</w:t>
            </w:r>
          </w:p>
        </w:tc>
        <w:tc>
          <w:tcPr>
            <w:tcW w:w="1413" w:type="dxa"/>
            <w:shd w:val="clear" w:color="auto" w:fill="EACE6A"/>
          </w:tcPr>
          <w:p>
            <w:pPr>
              <w:pStyle w:val="TableParagraph"/>
              <w:ind w:left="16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7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17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8</w:t>
            </w:r>
          </w:p>
        </w:tc>
      </w:tr>
      <w:tr>
        <w:trPr>
          <w:trHeight w:val="582" w:hRule="atLeast"/>
        </w:trPr>
        <w:tc>
          <w:tcPr>
            <w:tcW w:w="1357" w:type="dxa"/>
            <w:shd w:val="clear" w:color="auto" w:fill="FDFCF8"/>
          </w:tcPr>
          <w:p>
            <w:pPr>
              <w:pStyle w:val="TableParagraph"/>
              <w:ind w:left="16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9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427" w:right="2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10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427" w:right="2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11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431" w:right="26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12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431" w:right="26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13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right="45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14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431" w:right="26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15</w:t>
            </w:r>
          </w:p>
        </w:tc>
      </w:tr>
      <w:tr>
        <w:trPr>
          <w:trHeight w:val="623" w:hRule="atLeast"/>
        </w:trPr>
        <w:tc>
          <w:tcPr>
            <w:tcW w:w="1357" w:type="dxa"/>
            <w:shd w:val="clear" w:color="auto" w:fill="FDFCF8"/>
          </w:tcPr>
          <w:p>
            <w:pPr>
              <w:pStyle w:val="TableParagraph"/>
              <w:ind w:left="433" w:right="27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16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427" w:right="2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17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427" w:right="2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18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431" w:right="26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19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431" w:right="26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20</w:t>
            </w:r>
          </w:p>
        </w:tc>
        <w:tc>
          <w:tcPr>
            <w:tcW w:w="1413" w:type="dxa"/>
            <w:shd w:val="clear" w:color="auto" w:fill="B7DEE8"/>
          </w:tcPr>
          <w:p>
            <w:pPr>
              <w:pStyle w:val="TableParagraph"/>
              <w:ind w:right="45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21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431" w:right="26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22</w:t>
            </w:r>
          </w:p>
        </w:tc>
      </w:tr>
      <w:tr>
        <w:trPr>
          <w:trHeight w:val="669" w:hRule="atLeast"/>
        </w:trPr>
        <w:tc>
          <w:tcPr>
            <w:tcW w:w="1357" w:type="dxa"/>
            <w:shd w:val="clear" w:color="auto" w:fill="FFFFFF"/>
          </w:tcPr>
          <w:p>
            <w:pPr>
              <w:pStyle w:val="TableParagraph"/>
              <w:ind w:left="433" w:right="27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23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427" w:right="2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24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427" w:right="2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25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431" w:right="26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26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431" w:right="26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27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right="45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28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431" w:right="26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29</w:t>
            </w:r>
          </w:p>
        </w:tc>
      </w:tr>
      <w:tr>
        <w:trPr>
          <w:trHeight w:val="245" w:hRule="atLeast"/>
        </w:trPr>
        <w:tc>
          <w:tcPr>
            <w:tcW w:w="1357" w:type="dxa"/>
            <w:vMerge w:val="restart"/>
            <w:shd w:val="clear" w:color="auto" w:fill="C3D59B"/>
          </w:tcPr>
          <w:p>
            <w:pPr>
              <w:pStyle w:val="TableParagraph"/>
              <w:ind w:left="59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30</w:t>
            </w:r>
          </w:p>
        </w:tc>
        <w:tc>
          <w:tcPr>
            <w:tcW w:w="1413" w:type="dxa"/>
            <w:vMerge w:val="restart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  <w:tc>
          <w:tcPr>
            <w:tcW w:w="1413" w:type="dxa"/>
            <w:vMerge w:val="restart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  <w:tc>
          <w:tcPr>
            <w:tcW w:w="1413" w:type="dxa"/>
            <w:vMerge w:val="restart"/>
            <w:shd w:val="clear" w:color="auto" w:fill="FDFCF8"/>
          </w:tcPr>
          <w:p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  <w:tc>
          <w:tcPr>
            <w:tcW w:w="1413" w:type="dxa"/>
            <w:tcBorders>
              <w:bottom w:val="nil"/>
            </w:tcBorders>
            <w:shd w:val="clear" w:color="auto" w:fill="FDFCF8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  <w:vMerge w:val="restart"/>
            <w:shd w:val="clear" w:color="auto" w:fill="FDFCF8"/>
          </w:tcPr>
          <w:p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  <w:tc>
          <w:tcPr>
            <w:tcW w:w="1413" w:type="dxa"/>
            <w:vMerge w:val="restart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</w:tr>
      <w:tr>
        <w:trPr>
          <w:trHeight w:val="403" w:hRule="atLeast"/>
        </w:trPr>
        <w:tc>
          <w:tcPr>
            <w:tcW w:w="1357" w:type="dxa"/>
            <w:vMerge/>
            <w:tcBorders>
              <w:top w:val="nil"/>
            </w:tcBorders>
            <w:shd w:val="clear" w:color="auto" w:fill="C3D59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  <w:shd w:val="clear" w:color="auto" w:fill="FF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  <w:shd w:val="clear" w:color="auto" w:fill="FF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  <w:shd w:val="clear" w:color="auto" w:fill="FDFCF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</w:tcBorders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  <w:shd w:val="clear" w:color="auto" w:fill="FDFCF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  <w:shd w:val="clear" w:color="auto" w:fill="FFFFF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6" w:hRule="atLeast"/>
        </w:trPr>
        <w:tc>
          <w:tcPr>
            <w:tcW w:w="7009" w:type="dxa"/>
            <w:gridSpan w:val="5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</w:tc>
        <w:tc>
          <w:tcPr>
            <w:tcW w:w="1413" w:type="dxa"/>
            <w:tcBorders>
              <w:left w:val="nil"/>
              <w:bottom w:val="nil"/>
              <w:right w:val="nil"/>
            </w:tcBorders>
            <w:shd w:val="clear" w:color="auto" w:fill="FDFCF8"/>
          </w:tcPr>
          <w:p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</w:tc>
        <w:tc>
          <w:tcPr>
            <w:tcW w:w="1413" w:type="dxa"/>
            <w:vMerge w:val="restart"/>
            <w:tcBorders>
              <w:left w:val="nil"/>
              <w:bottom w:val="nil"/>
              <w:right w:val="nil"/>
            </w:tcBorders>
            <w:shd w:val="clear" w:color="auto" w:fill="FDFCF8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166" w:hRule="atLeast"/>
        </w:trPr>
        <w:tc>
          <w:tcPr>
            <w:tcW w:w="84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4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DFCF8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tabs>
          <w:tab w:pos="10333" w:val="left" w:leader="none"/>
        </w:tabs>
        <w:spacing w:before="9"/>
        <w:ind w:left="464" w:right="0" w:firstLine="0"/>
        <w:jc w:val="left"/>
        <w:rPr>
          <w:rFonts w:ascii="Arial"/>
          <w:b/>
          <w:sz w:val="32"/>
        </w:rPr>
      </w:pPr>
      <w:r>
        <w:rPr/>
        <w:pict>
          <v:shape style="position:absolute;margin-left:305.040009pt;margin-top:19.198761pt;width:141.8pt;height:28.5pt;mso-position-horizontal-relative:page;mso-position-vertical-relative:paragraph;z-index:-16087552" coordorigin="6101,384" coordsize="2836,570" path="m8936,384l7518,384,6101,384,6101,954,7518,954,7518,394,8936,394,8936,38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04.900024pt;margin-top:-176.533249pt;width:211.95pt;height:176.55pt;mso-position-horizontal-relative:page;mso-position-vertical-relative:paragraph;z-index:-16087040" coordorigin="6098,-3531" coordsize="4239,3531" path="m7511,-3531l6098,-3531,6098,-2928,6098,-2928,6098,-2326,7511,-2326,7511,-2928,7511,-2928,7511,-3531xm8936,-167l7518,-167,7518,-167,7518,-167,7518,-727,6101,-727,6101,-167,6101,0,7518,0,8936,0,8936,-167xm10337,-993l8924,-993,8924,-303,10337,-303,10337,-993xm10337,-1683l8924,-1683,8924,-993,10337,-993,10337,-1683xm10337,-2326l8924,-2326,8924,-1683,10337,-1683,10337,-2326xm10337,-3531l8924,-3531,8924,-2928,7511,-2928,7511,-2326,8924,-2326,10337,-2326,10337,-2928,10337,-2928,10337,-3531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446.799988pt;margin-top:47.688786pt;width:70.88pt;height:32.089pt;mso-position-horizontal-relative:page;mso-position-vertical-relative:paragraph;z-index:-16086528" filled="true" fillcolor="#ffffff" stroked="false">
            <v:fill type="solid"/>
            <w10:wrap type="none"/>
          </v:rect>
        </w:pict>
      </w:r>
      <w:r>
        <w:rPr>
          <w:rFonts w:ascii="Arial"/>
          <w:b/>
          <w:color w:val="EBCF6A"/>
          <w:w w:val="99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pacing w:val="-55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Due</w:t>
      </w:r>
      <w:r>
        <w:rPr>
          <w:rFonts w:ascii="Arial"/>
          <w:b/>
          <w:color w:val="EBCF6A"/>
          <w:spacing w:val="58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Dates</w:t>
      </w:r>
      <w:r>
        <w:rPr>
          <w:rFonts w:ascii="Arial"/>
          <w:b/>
          <w:color w:val="EBCF6A"/>
          <w:spacing w:val="69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under</w:t>
      </w:r>
      <w:r>
        <w:rPr>
          <w:rFonts w:ascii="Arial"/>
          <w:b/>
          <w:color w:val="EBCF6A"/>
          <w:spacing w:val="72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various</w:t>
      </w:r>
      <w:r>
        <w:rPr>
          <w:rFonts w:ascii="Arial"/>
          <w:b/>
          <w:color w:val="EBCF6A"/>
          <w:spacing w:val="83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laws</w:t>
        <w:tab/>
      </w:r>
    </w:p>
    <w:p>
      <w:pPr>
        <w:pStyle w:val="BodyText"/>
        <w:spacing w:before="7"/>
        <w:rPr>
          <w:rFonts w:ascii="Arial"/>
          <w:b/>
          <w:sz w:val="6"/>
        </w:rPr>
      </w:pPr>
    </w:p>
    <w:tbl>
      <w:tblPr>
        <w:tblW w:w="0" w:type="auto"/>
        <w:jc w:val="left"/>
        <w:tblInd w:w="4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9"/>
        <w:gridCol w:w="7595"/>
      </w:tblGrid>
      <w:tr>
        <w:trPr>
          <w:trHeight w:val="796" w:hRule="atLeast"/>
        </w:trPr>
        <w:tc>
          <w:tcPr>
            <w:tcW w:w="2379" w:type="dxa"/>
            <w:shd w:val="clear" w:color="auto" w:fill="E6B8B8"/>
          </w:tcPr>
          <w:p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0"/>
              <w:ind w:left="269" w:right="248"/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  <w:r>
              <w:rPr>
                <w:position w:val="8"/>
                <w:sz w:val="18"/>
              </w:rPr>
              <w:t>st</w:t>
            </w:r>
            <w:r>
              <w:rPr>
                <w:spacing w:val="27"/>
                <w:position w:val="8"/>
                <w:sz w:val="18"/>
              </w:rPr>
              <w:t> </w:t>
            </w:r>
            <w:r>
              <w:rPr>
                <w:sz w:val="28"/>
              </w:rPr>
              <w:t>April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2023</w:t>
            </w:r>
          </w:p>
        </w:tc>
        <w:tc>
          <w:tcPr>
            <w:tcW w:w="7595" w:type="dxa"/>
          </w:tcPr>
          <w:p>
            <w:pPr>
              <w:pStyle w:val="TableParagraph"/>
              <w:spacing w:line="249" w:lineRule="auto" w:before="71"/>
              <w:ind w:left="144" w:right="674"/>
              <w:rPr>
                <w:sz w:val="28"/>
              </w:rPr>
            </w:pPr>
            <w:r>
              <w:rPr>
                <w:sz w:val="28"/>
              </w:rPr>
              <w:t>Accounting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Software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having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audit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trail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in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terms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MCA</w:t>
            </w:r>
            <w:r>
              <w:rPr>
                <w:spacing w:val="-75"/>
                <w:sz w:val="28"/>
              </w:rPr>
              <w:t> </w:t>
            </w:r>
            <w:r>
              <w:rPr>
                <w:sz w:val="28"/>
              </w:rPr>
              <w:t>Notification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G.S.R.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247(E)</w:t>
            </w:r>
          </w:p>
        </w:tc>
      </w:tr>
      <w:tr>
        <w:trPr>
          <w:trHeight w:val="796" w:hRule="atLeast"/>
        </w:trPr>
        <w:tc>
          <w:tcPr>
            <w:tcW w:w="2379" w:type="dxa"/>
            <w:shd w:val="clear" w:color="auto" w:fill="EACE6A"/>
          </w:tcPr>
          <w:p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"/>
              <w:ind w:left="269" w:right="248"/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>
              <w:rPr>
                <w:position w:val="8"/>
                <w:sz w:val="18"/>
              </w:rPr>
              <w:t>th</w:t>
            </w:r>
            <w:r>
              <w:rPr>
                <w:spacing w:val="27"/>
                <w:position w:val="8"/>
                <w:sz w:val="18"/>
              </w:rPr>
              <w:t> </w:t>
            </w:r>
            <w:r>
              <w:rPr>
                <w:sz w:val="28"/>
              </w:rPr>
              <w:t>April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2023</w:t>
            </w:r>
          </w:p>
        </w:tc>
        <w:tc>
          <w:tcPr>
            <w:tcW w:w="7595" w:type="dxa"/>
            <w:shd w:val="clear" w:color="auto" w:fill="FDFCF8"/>
          </w:tcPr>
          <w:p>
            <w:pPr>
              <w:pStyle w:val="TableParagraph"/>
              <w:spacing w:line="249" w:lineRule="auto" w:before="72"/>
              <w:ind w:left="144" w:right="286"/>
              <w:rPr>
                <w:sz w:val="28"/>
              </w:rPr>
            </w:pPr>
            <w:r>
              <w:rPr>
                <w:sz w:val="28"/>
              </w:rPr>
              <w:t>Disclosure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Aggregate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shareholding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year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ended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31st</w:t>
            </w:r>
            <w:r>
              <w:rPr>
                <w:spacing w:val="-75"/>
                <w:sz w:val="28"/>
              </w:rPr>
              <w:t> </w:t>
            </w:r>
            <w:r>
              <w:rPr>
                <w:sz w:val="28"/>
              </w:rPr>
              <w:t>March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2023</w:t>
            </w:r>
          </w:p>
        </w:tc>
      </w:tr>
      <w:tr>
        <w:trPr>
          <w:trHeight w:val="795" w:hRule="atLeast"/>
        </w:trPr>
        <w:tc>
          <w:tcPr>
            <w:tcW w:w="2379" w:type="dxa"/>
            <w:vMerge w:val="restart"/>
            <w:shd w:val="clear" w:color="auto" w:fill="B7DEE8"/>
          </w:tcPr>
          <w:p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before="11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0"/>
              <w:ind w:left="293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position w:val="8"/>
                <w:sz w:val="18"/>
              </w:rPr>
              <w:t>st</w:t>
            </w:r>
            <w:r>
              <w:rPr>
                <w:spacing w:val="27"/>
                <w:position w:val="8"/>
                <w:sz w:val="18"/>
              </w:rPr>
              <w:t> </w:t>
            </w:r>
            <w:r>
              <w:rPr>
                <w:sz w:val="28"/>
              </w:rPr>
              <w:t>April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2023</w:t>
            </w:r>
          </w:p>
        </w:tc>
        <w:tc>
          <w:tcPr>
            <w:tcW w:w="7595" w:type="dxa"/>
            <w:shd w:val="clear" w:color="auto" w:fill="FDFCF8"/>
          </w:tcPr>
          <w:p>
            <w:pPr>
              <w:pStyle w:val="TableParagraph"/>
              <w:spacing w:line="249" w:lineRule="auto" w:before="72"/>
              <w:ind w:left="144" w:right="951"/>
              <w:rPr>
                <w:sz w:val="28"/>
              </w:rPr>
            </w:pPr>
            <w:r>
              <w:rPr>
                <w:sz w:val="28"/>
              </w:rPr>
              <w:t>Corporate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Governance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Report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period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ended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31st</w:t>
            </w:r>
            <w:r>
              <w:rPr>
                <w:spacing w:val="-74"/>
                <w:sz w:val="28"/>
              </w:rPr>
              <w:t> </w:t>
            </w:r>
            <w:r>
              <w:rPr>
                <w:sz w:val="28"/>
              </w:rPr>
              <w:t>March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2023</w:t>
            </w:r>
          </w:p>
        </w:tc>
      </w:tr>
      <w:tr>
        <w:trPr>
          <w:trHeight w:val="796" w:hRule="atLeast"/>
        </w:trPr>
        <w:tc>
          <w:tcPr>
            <w:tcW w:w="2379" w:type="dxa"/>
            <w:vMerge/>
            <w:tcBorders>
              <w:top w:val="nil"/>
            </w:tcBorders>
            <w:shd w:val="clear" w:color="auto" w:fill="B7DE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5" w:type="dxa"/>
            <w:shd w:val="clear" w:color="auto" w:fill="FDFCF8"/>
          </w:tcPr>
          <w:p>
            <w:pPr>
              <w:pStyle w:val="TableParagraph"/>
              <w:spacing w:line="249" w:lineRule="auto" w:before="72"/>
              <w:ind w:left="144" w:right="784"/>
              <w:rPr>
                <w:sz w:val="28"/>
              </w:rPr>
            </w:pPr>
            <w:r>
              <w:rPr>
                <w:sz w:val="28"/>
              </w:rPr>
              <w:t>Statement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of Grievance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Redressal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Mechanism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the</w:t>
            </w:r>
            <w:r>
              <w:rPr>
                <w:spacing w:val="-75"/>
                <w:sz w:val="28"/>
              </w:rPr>
              <w:t> </w:t>
            </w:r>
            <w:r>
              <w:rPr>
                <w:sz w:val="28"/>
              </w:rPr>
              <w:t>period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ended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31</w:t>
            </w:r>
            <w:r>
              <w:rPr>
                <w:position w:val="8"/>
                <w:sz w:val="18"/>
              </w:rPr>
              <w:t>st</w:t>
            </w:r>
            <w:r>
              <w:rPr>
                <w:spacing w:val="25"/>
                <w:position w:val="8"/>
                <w:sz w:val="18"/>
              </w:rPr>
              <w:t> </w:t>
            </w:r>
            <w:r>
              <w:rPr>
                <w:sz w:val="28"/>
              </w:rPr>
              <w:t>March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2023</w:t>
            </w:r>
          </w:p>
        </w:tc>
      </w:tr>
      <w:tr>
        <w:trPr>
          <w:trHeight w:val="796" w:hRule="atLeast"/>
        </w:trPr>
        <w:tc>
          <w:tcPr>
            <w:tcW w:w="2379" w:type="dxa"/>
            <w:vMerge/>
            <w:tcBorders>
              <w:top w:val="nil"/>
            </w:tcBorders>
            <w:shd w:val="clear" w:color="auto" w:fill="B7DE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5" w:type="dxa"/>
            <w:shd w:val="clear" w:color="auto" w:fill="FDFCF8"/>
          </w:tcPr>
          <w:p>
            <w:pPr>
              <w:pStyle w:val="TableParagraph"/>
              <w:spacing w:line="249" w:lineRule="auto" w:before="72"/>
              <w:ind w:left="144" w:right="531"/>
              <w:rPr>
                <w:sz w:val="28"/>
              </w:rPr>
            </w:pPr>
            <w:r>
              <w:rPr>
                <w:sz w:val="28"/>
              </w:rPr>
              <w:t>Disclosure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Shareholding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Pattern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the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period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ended</w:t>
            </w:r>
            <w:r>
              <w:rPr>
                <w:spacing w:val="-75"/>
                <w:sz w:val="28"/>
              </w:rPr>
              <w:t> </w:t>
            </w:r>
            <w:r>
              <w:rPr>
                <w:sz w:val="28"/>
              </w:rPr>
              <w:t>31</w:t>
            </w:r>
            <w:r>
              <w:rPr>
                <w:position w:val="8"/>
                <w:sz w:val="18"/>
              </w:rPr>
              <w:t>st</w:t>
            </w:r>
            <w:r>
              <w:rPr>
                <w:spacing w:val="25"/>
                <w:position w:val="8"/>
                <w:sz w:val="18"/>
              </w:rPr>
              <w:t> </w:t>
            </w:r>
            <w:r>
              <w:rPr>
                <w:sz w:val="28"/>
              </w:rPr>
              <w:t>March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2023</w:t>
            </w:r>
          </w:p>
        </w:tc>
      </w:tr>
      <w:tr>
        <w:trPr>
          <w:trHeight w:val="460" w:hRule="atLeast"/>
        </w:trPr>
        <w:tc>
          <w:tcPr>
            <w:tcW w:w="2379" w:type="dxa"/>
            <w:vMerge w:val="restart"/>
            <w:shd w:val="clear" w:color="auto" w:fill="C3D59B"/>
          </w:tcPr>
          <w:p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before="269"/>
              <w:ind w:left="286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position w:val="8"/>
                <w:sz w:val="18"/>
              </w:rPr>
              <w:t>th</w:t>
            </w:r>
            <w:r>
              <w:rPr>
                <w:spacing w:val="27"/>
                <w:position w:val="8"/>
                <w:sz w:val="18"/>
              </w:rPr>
              <w:t> </w:t>
            </w:r>
            <w:r>
              <w:rPr>
                <w:sz w:val="28"/>
              </w:rPr>
              <w:t>April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2023</w:t>
            </w:r>
          </w:p>
        </w:tc>
        <w:tc>
          <w:tcPr>
            <w:tcW w:w="7595" w:type="dxa"/>
            <w:shd w:val="clear" w:color="auto" w:fill="FDFCF8"/>
          </w:tcPr>
          <w:p>
            <w:pPr>
              <w:pStyle w:val="TableParagraph"/>
              <w:spacing w:before="72"/>
              <w:ind w:left="144"/>
              <w:rPr>
                <w:sz w:val="28"/>
              </w:rPr>
            </w:pPr>
            <w:r>
              <w:rPr>
                <w:sz w:val="28"/>
              </w:rPr>
              <w:t>Form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MSME-1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half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year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ended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31st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March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2023</w:t>
            </w:r>
          </w:p>
        </w:tc>
      </w:tr>
      <w:tr>
        <w:trPr>
          <w:trHeight w:val="1132" w:hRule="atLeast"/>
        </w:trPr>
        <w:tc>
          <w:tcPr>
            <w:tcW w:w="2379" w:type="dxa"/>
            <w:vMerge/>
            <w:tcBorders>
              <w:top w:val="nil"/>
            </w:tcBorders>
            <w:shd w:val="clear" w:color="auto" w:fill="C3D59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5" w:type="dxa"/>
            <w:shd w:val="clear" w:color="auto" w:fill="FDFCF8"/>
          </w:tcPr>
          <w:p>
            <w:pPr>
              <w:pStyle w:val="TableParagraph"/>
              <w:spacing w:line="249" w:lineRule="auto" w:before="72"/>
              <w:ind w:left="144" w:right="493"/>
              <w:jc w:val="both"/>
              <w:rPr>
                <w:sz w:val="28"/>
              </w:rPr>
            </w:pPr>
            <w:r>
              <w:rPr>
                <w:sz w:val="28"/>
              </w:rPr>
              <w:t>Compliance Certificate certifying maintaining physical &amp;</w:t>
            </w:r>
            <w:r>
              <w:rPr>
                <w:spacing w:val="-75"/>
                <w:sz w:val="28"/>
              </w:rPr>
              <w:t> </w:t>
            </w:r>
            <w:r>
              <w:rPr>
                <w:sz w:val="28"/>
              </w:rPr>
              <w:t>electronic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transfer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facility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half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year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ended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31st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March</w:t>
            </w:r>
            <w:r>
              <w:rPr>
                <w:spacing w:val="-75"/>
                <w:sz w:val="28"/>
              </w:rPr>
              <w:t> </w:t>
            </w:r>
            <w:r>
              <w:rPr>
                <w:sz w:val="28"/>
              </w:rPr>
              <w:t>2023</w:t>
            </w:r>
          </w:p>
        </w:tc>
      </w:tr>
      <w:tr>
        <w:trPr>
          <w:trHeight w:val="796" w:hRule="atLeast"/>
        </w:trPr>
        <w:tc>
          <w:tcPr>
            <w:tcW w:w="2379" w:type="dxa"/>
            <w:vMerge/>
            <w:tcBorders>
              <w:top w:val="nil"/>
            </w:tcBorders>
            <w:shd w:val="clear" w:color="auto" w:fill="C3D59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5" w:type="dxa"/>
            <w:shd w:val="clear" w:color="auto" w:fill="FDFCF8"/>
          </w:tcPr>
          <w:p>
            <w:pPr>
              <w:pStyle w:val="TableParagraph"/>
              <w:spacing w:line="249" w:lineRule="auto" w:before="72"/>
              <w:ind w:left="144" w:right="173"/>
              <w:rPr>
                <w:sz w:val="28"/>
              </w:rPr>
            </w:pPr>
            <w:r>
              <w:rPr>
                <w:sz w:val="28"/>
              </w:rPr>
              <w:t>Reconciliation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Share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Capital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Audit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period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ended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31st</w:t>
            </w:r>
            <w:r>
              <w:rPr>
                <w:spacing w:val="-75"/>
                <w:sz w:val="28"/>
              </w:rPr>
              <w:t> </w:t>
            </w:r>
            <w:r>
              <w:rPr>
                <w:sz w:val="28"/>
              </w:rPr>
              <w:t>March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2023</w:t>
            </w:r>
          </w:p>
        </w:tc>
      </w:tr>
      <w:tr>
        <w:trPr>
          <w:trHeight w:val="795" w:hRule="atLeast"/>
        </w:trPr>
        <w:tc>
          <w:tcPr>
            <w:tcW w:w="2379" w:type="dxa"/>
            <w:vMerge/>
            <w:tcBorders>
              <w:top w:val="nil"/>
            </w:tcBorders>
            <w:shd w:val="clear" w:color="auto" w:fill="C3D59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5" w:type="dxa"/>
            <w:shd w:val="clear" w:color="auto" w:fill="FDFCF8"/>
          </w:tcPr>
          <w:p>
            <w:pPr>
              <w:pStyle w:val="TableParagraph"/>
              <w:spacing w:line="249" w:lineRule="auto" w:before="72"/>
              <w:ind w:left="144" w:right="362"/>
              <w:rPr>
                <w:sz w:val="28"/>
              </w:rPr>
            </w:pPr>
            <w:r>
              <w:rPr>
                <w:sz w:val="28"/>
              </w:rPr>
              <w:t>Annual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Disclosure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to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confirm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whether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Large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Corporate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or</w:t>
            </w:r>
            <w:r>
              <w:rPr>
                <w:spacing w:val="-75"/>
                <w:sz w:val="28"/>
              </w:rPr>
              <w:t> </w:t>
            </w:r>
            <w:r>
              <w:rPr>
                <w:sz w:val="28"/>
              </w:rPr>
              <w:t>not</w:t>
            </w:r>
          </w:p>
        </w:tc>
      </w:tr>
      <w:tr>
        <w:trPr>
          <w:trHeight w:val="1132" w:hRule="atLeast"/>
        </w:trPr>
        <w:tc>
          <w:tcPr>
            <w:tcW w:w="2379" w:type="dxa"/>
            <w:vMerge/>
            <w:tcBorders>
              <w:top w:val="nil"/>
            </w:tcBorders>
            <w:shd w:val="clear" w:color="auto" w:fill="C3D59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5" w:type="dxa"/>
            <w:shd w:val="clear" w:color="auto" w:fill="FDFCF8"/>
          </w:tcPr>
          <w:p>
            <w:pPr>
              <w:pStyle w:val="TableParagraph"/>
              <w:spacing w:line="249" w:lineRule="auto" w:before="72"/>
              <w:ind w:left="144" w:right="330"/>
              <w:rPr>
                <w:sz w:val="28"/>
              </w:rPr>
            </w:pPr>
            <w:r>
              <w:rPr>
                <w:sz w:val="28"/>
              </w:rPr>
              <w:t>Certificate from Practicing Company Secretary for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Regulation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40(9)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LODR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half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year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ended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31st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March</w:t>
            </w:r>
            <w:r>
              <w:rPr>
                <w:spacing w:val="-75"/>
                <w:sz w:val="28"/>
              </w:rPr>
              <w:t> </w:t>
            </w:r>
            <w:r>
              <w:rPr>
                <w:sz w:val="28"/>
              </w:rPr>
              <w:t>2023.</w:t>
            </w:r>
          </w:p>
        </w:tc>
      </w:tr>
    </w:tbl>
    <w:p>
      <w:pPr>
        <w:spacing w:before="30"/>
        <w:ind w:left="412" w:right="0" w:firstLine="0"/>
        <w:jc w:val="left"/>
        <w:rPr>
          <w:rFonts w:ascii="Arial"/>
          <w:b/>
          <w:i/>
          <w:sz w:val="22"/>
        </w:rPr>
      </w:pPr>
      <w:r>
        <w:rPr>
          <w:rFonts w:ascii="Arial"/>
          <w:b/>
          <w:i/>
          <w:color w:val="7C7C7C"/>
          <w:sz w:val="22"/>
        </w:rPr>
        <w:t>Disclaimer</w:t>
      </w:r>
    </w:p>
    <w:p>
      <w:pPr>
        <w:spacing w:line="249" w:lineRule="auto" w:before="11"/>
        <w:ind w:left="412" w:right="445" w:firstLine="0"/>
        <w:jc w:val="both"/>
        <w:rPr>
          <w:rFonts w:ascii="Arial"/>
          <w:b/>
          <w:i/>
          <w:sz w:val="22"/>
        </w:rPr>
      </w:pPr>
      <w:r>
        <w:rPr/>
        <w:pict>
          <v:shape style="position:absolute;margin-left:6.072pt;margin-top:56.496769pt;width:523.15pt;height:16.8pt;mso-position-horizontal-relative:page;mso-position-vertical-relative:paragraph;z-index:-16089088" type="#_x0000_t202" filled="false" stroked="false">
            <v:textbox inset="0,0,0,0">
              <w:txbxContent>
                <w:p>
                  <w:pPr>
                    <w:tabs>
                      <w:tab w:pos="7402" w:val="left" w:leader="none"/>
                    </w:tabs>
                    <w:spacing w:line="335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23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1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53.995689pt;width:539.950pt;height:20.4pt;mso-position-horizontal-relative:page;mso-position-vertical-relative:paragraph;z-index:15747072" coordorigin="0,1080" coordsize="10799,408">
            <v:rect style="position:absolute;left:0;top:1079;width:10799;height:408" filled="true" fillcolor="#36394f" stroked="false">
              <v:fill type="solid"/>
            </v:rect>
            <v:shape style="position:absolute;left:117;top:1104;width:2025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MARCH</w:t>
                    </w:r>
                    <w:r>
                      <w:rPr>
                        <w:rFonts w:ascii="Arial"/>
                        <w:b/>
                        <w:color w:val="EBCF6A"/>
                        <w:spacing w:val="48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22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554;top:1104;width:3122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i/>
          <w:color w:val="7C7C7C"/>
          <w:sz w:val="22"/>
        </w:rPr>
        <w:t>This</w:t>
      </w:r>
      <w:r>
        <w:rPr>
          <w:rFonts w:ascii="Arial"/>
          <w:b/>
          <w:i/>
          <w:color w:val="7C7C7C"/>
          <w:spacing w:val="-7"/>
          <w:sz w:val="22"/>
        </w:rPr>
        <w:t> </w:t>
      </w:r>
      <w:r>
        <w:rPr>
          <w:rFonts w:ascii="Arial"/>
          <w:b/>
          <w:i/>
          <w:color w:val="7C7C7C"/>
          <w:sz w:val="22"/>
        </w:rPr>
        <w:t>newsletter</w:t>
      </w:r>
      <w:r>
        <w:rPr>
          <w:rFonts w:ascii="Arial"/>
          <w:b/>
          <w:i/>
          <w:color w:val="7C7C7C"/>
          <w:spacing w:val="-9"/>
          <w:sz w:val="22"/>
        </w:rPr>
        <w:t> </w:t>
      </w:r>
      <w:r>
        <w:rPr>
          <w:rFonts w:ascii="Arial"/>
          <w:b/>
          <w:i/>
          <w:color w:val="7C7C7C"/>
          <w:sz w:val="22"/>
        </w:rPr>
        <w:t>is</w:t>
      </w:r>
      <w:r>
        <w:rPr>
          <w:rFonts w:ascii="Arial"/>
          <w:b/>
          <w:i/>
          <w:color w:val="7C7C7C"/>
          <w:spacing w:val="-5"/>
          <w:sz w:val="22"/>
        </w:rPr>
        <w:t> </w:t>
      </w:r>
      <w:r>
        <w:rPr>
          <w:rFonts w:ascii="Arial"/>
          <w:b/>
          <w:i/>
          <w:color w:val="7C7C7C"/>
          <w:sz w:val="22"/>
        </w:rPr>
        <w:t>a</w:t>
      </w:r>
      <w:r>
        <w:rPr>
          <w:rFonts w:ascii="Arial"/>
          <w:b/>
          <w:i/>
          <w:color w:val="7C7C7C"/>
          <w:spacing w:val="-6"/>
          <w:sz w:val="22"/>
        </w:rPr>
        <w:t> </w:t>
      </w:r>
      <w:r>
        <w:rPr>
          <w:rFonts w:ascii="Arial"/>
          <w:b/>
          <w:i/>
          <w:color w:val="7C7C7C"/>
          <w:sz w:val="22"/>
        </w:rPr>
        <w:t>compilation</w:t>
      </w:r>
      <w:r>
        <w:rPr>
          <w:rFonts w:ascii="Arial"/>
          <w:b/>
          <w:i/>
          <w:color w:val="7C7C7C"/>
          <w:spacing w:val="-7"/>
          <w:sz w:val="22"/>
        </w:rPr>
        <w:t> </w:t>
      </w:r>
      <w:r>
        <w:rPr>
          <w:rFonts w:ascii="Arial"/>
          <w:b/>
          <w:i/>
          <w:color w:val="7C7C7C"/>
          <w:sz w:val="22"/>
        </w:rPr>
        <w:t>of</w:t>
      </w:r>
      <w:r>
        <w:rPr>
          <w:rFonts w:ascii="Arial"/>
          <w:b/>
          <w:i/>
          <w:color w:val="7C7C7C"/>
          <w:spacing w:val="-6"/>
          <w:sz w:val="22"/>
        </w:rPr>
        <w:t> </w:t>
      </w:r>
      <w:r>
        <w:rPr>
          <w:rFonts w:ascii="Arial"/>
          <w:b/>
          <w:i/>
          <w:color w:val="7C7C7C"/>
          <w:sz w:val="22"/>
        </w:rPr>
        <w:t>updates</w:t>
      </w:r>
      <w:r>
        <w:rPr>
          <w:rFonts w:ascii="Arial"/>
          <w:b/>
          <w:i/>
          <w:color w:val="7C7C7C"/>
          <w:spacing w:val="-4"/>
          <w:sz w:val="22"/>
        </w:rPr>
        <w:t> </w:t>
      </w:r>
      <w:r>
        <w:rPr>
          <w:rFonts w:ascii="Arial"/>
          <w:b/>
          <w:i/>
          <w:color w:val="7C7C7C"/>
          <w:sz w:val="22"/>
        </w:rPr>
        <w:t>prepared</w:t>
      </w:r>
      <w:r>
        <w:rPr>
          <w:rFonts w:ascii="Arial"/>
          <w:b/>
          <w:i/>
          <w:color w:val="7C7C7C"/>
          <w:spacing w:val="-6"/>
          <w:sz w:val="22"/>
        </w:rPr>
        <w:t> </w:t>
      </w:r>
      <w:r>
        <w:rPr>
          <w:rFonts w:ascii="Arial"/>
          <w:b/>
          <w:i/>
          <w:color w:val="7C7C7C"/>
          <w:sz w:val="22"/>
        </w:rPr>
        <w:t>and</w:t>
      </w:r>
      <w:r>
        <w:rPr>
          <w:rFonts w:ascii="Arial"/>
          <w:b/>
          <w:i/>
          <w:color w:val="7C7C7C"/>
          <w:spacing w:val="-7"/>
          <w:sz w:val="22"/>
        </w:rPr>
        <w:t> </w:t>
      </w:r>
      <w:r>
        <w:rPr>
          <w:rFonts w:ascii="Arial"/>
          <w:b/>
          <w:i/>
          <w:color w:val="7C7C7C"/>
          <w:sz w:val="22"/>
        </w:rPr>
        <w:t>circulated</w:t>
      </w:r>
      <w:r>
        <w:rPr>
          <w:rFonts w:ascii="Arial"/>
          <w:b/>
          <w:i/>
          <w:color w:val="7C7C7C"/>
          <w:spacing w:val="-9"/>
          <w:sz w:val="22"/>
        </w:rPr>
        <w:t> </w:t>
      </w:r>
      <w:r>
        <w:rPr>
          <w:rFonts w:ascii="Arial"/>
          <w:b/>
          <w:i/>
          <w:color w:val="7C7C7C"/>
          <w:sz w:val="22"/>
        </w:rPr>
        <w:t>from</w:t>
      </w:r>
      <w:r>
        <w:rPr>
          <w:rFonts w:ascii="Arial"/>
          <w:b/>
          <w:i/>
          <w:color w:val="7C7C7C"/>
          <w:spacing w:val="49"/>
          <w:sz w:val="22"/>
        </w:rPr>
        <w:t> </w:t>
      </w:r>
      <w:r>
        <w:rPr>
          <w:rFonts w:ascii="Arial"/>
          <w:b/>
          <w:i/>
          <w:color w:val="7C7C7C"/>
          <w:sz w:val="22"/>
        </w:rPr>
        <w:t>the</w:t>
      </w:r>
      <w:r>
        <w:rPr>
          <w:rFonts w:ascii="Arial"/>
          <w:b/>
          <w:i/>
          <w:color w:val="7C7C7C"/>
          <w:spacing w:val="-8"/>
          <w:sz w:val="22"/>
        </w:rPr>
        <w:t> </w:t>
      </w:r>
      <w:r>
        <w:rPr>
          <w:rFonts w:ascii="Arial"/>
          <w:b/>
          <w:i/>
          <w:color w:val="7C7C7C"/>
          <w:sz w:val="22"/>
        </w:rPr>
        <w:t>academic</w:t>
      </w:r>
      <w:r>
        <w:rPr>
          <w:rFonts w:ascii="Arial"/>
          <w:b/>
          <w:i/>
          <w:color w:val="7C7C7C"/>
          <w:spacing w:val="-6"/>
          <w:sz w:val="22"/>
        </w:rPr>
        <w:t> </w:t>
      </w:r>
      <w:r>
        <w:rPr>
          <w:rFonts w:ascii="Arial"/>
          <w:b/>
          <w:i/>
          <w:color w:val="7C7C7C"/>
          <w:sz w:val="22"/>
        </w:rPr>
        <w:t>point</w:t>
      </w:r>
      <w:r>
        <w:rPr>
          <w:rFonts w:ascii="Arial"/>
          <w:b/>
          <w:i/>
          <w:color w:val="7C7C7C"/>
          <w:spacing w:val="-5"/>
          <w:sz w:val="22"/>
        </w:rPr>
        <w:t> </w:t>
      </w:r>
      <w:r>
        <w:rPr>
          <w:rFonts w:ascii="Arial"/>
          <w:b/>
          <w:i/>
          <w:color w:val="7C7C7C"/>
          <w:sz w:val="22"/>
        </w:rPr>
        <w:t>of</w:t>
      </w:r>
      <w:r>
        <w:rPr>
          <w:rFonts w:ascii="Arial"/>
          <w:b/>
          <w:i/>
          <w:color w:val="7C7C7C"/>
          <w:spacing w:val="-59"/>
          <w:sz w:val="22"/>
        </w:rPr>
        <w:t> </w:t>
      </w:r>
      <w:r>
        <w:rPr>
          <w:rFonts w:ascii="Arial"/>
          <w:b/>
          <w:i/>
          <w:color w:val="7C7C7C"/>
          <w:sz w:val="22"/>
        </w:rPr>
        <w:t>view only and are not intended to constitute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professional advice on any matter. The views and</w:t>
      </w:r>
      <w:r>
        <w:rPr>
          <w:rFonts w:ascii="Arial"/>
          <w:b/>
          <w:i/>
          <w:color w:val="7C7C7C"/>
          <w:spacing w:val="-59"/>
          <w:sz w:val="22"/>
        </w:rPr>
        <w:t> </w:t>
      </w:r>
      <w:r>
        <w:rPr>
          <w:rFonts w:ascii="Arial"/>
          <w:b/>
          <w:i/>
          <w:color w:val="7C7C7C"/>
          <w:sz w:val="22"/>
        </w:rPr>
        <w:t>opinions expressed in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this newsletter are those of the author of this document and are based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on</w:t>
      </w:r>
      <w:r>
        <w:rPr>
          <w:rFonts w:ascii="Arial"/>
          <w:b/>
          <w:i/>
          <w:color w:val="7C7C7C"/>
          <w:spacing w:val="48"/>
          <w:sz w:val="22"/>
        </w:rPr>
        <w:t> </w:t>
      </w:r>
      <w:r>
        <w:rPr>
          <w:rFonts w:ascii="Arial"/>
          <w:b/>
          <w:i/>
          <w:color w:val="7C7C7C"/>
          <w:sz w:val="22"/>
        </w:rPr>
        <w:t>the</w:t>
      </w:r>
      <w:r>
        <w:rPr>
          <w:rFonts w:ascii="Arial"/>
          <w:b/>
          <w:i/>
          <w:color w:val="7C7C7C"/>
          <w:spacing w:val="-12"/>
          <w:sz w:val="22"/>
        </w:rPr>
        <w:t> </w:t>
      </w:r>
      <w:r>
        <w:rPr>
          <w:rFonts w:ascii="Arial"/>
          <w:b/>
          <w:i/>
          <w:color w:val="7C7C7C"/>
          <w:sz w:val="22"/>
        </w:rPr>
        <w:t>internal</w:t>
      </w:r>
      <w:r>
        <w:rPr>
          <w:rFonts w:ascii="Arial"/>
          <w:b/>
          <w:i/>
          <w:color w:val="7C7C7C"/>
          <w:spacing w:val="-25"/>
          <w:sz w:val="22"/>
        </w:rPr>
        <w:t> </w:t>
      </w:r>
      <w:r>
        <w:rPr>
          <w:rFonts w:ascii="Arial"/>
          <w:b/>
          <w:i/>
          <w:color w:val="7C7C7C"/>
          <w:sz w:val="22"/>
        </w:rPr>
        <w:t>research</w:t>
      </w:r>
      <w:r>
        <w:rPr>
          <w:rFonts w:ascii="Arial"/>
          <w:b/>
          <w:i/>
          <w:color w:val="7C7C7C"/>
          <w:spacing w:val="-6"/>
          <w:sz w:val="22"/>
        </w:rPr>
        <w:t> </w:t>
      </w:r>
      <w:r>
        <w:rPr>
          <w:rFonts w:ascii="Arial"/>
          <w:b/>
          <w:i/>
          <w:color w:val="7C7C7C"/>
          <w:sz w:val="22"/>
        </w:rPr>
        <w:t>done</w:t>
      </w:r>
      <w:r>
        <w:rPr>
          <w:rFonts w:ascii="Arial"/>
          <w:b/>
          <w:i/>
          <w:color w:val="7C7C7C"/>
          <w:spacing w:val="-12"/>
          <w:sz w:val="22"/>
        </w:rPr>
        <w:t> </w:t>
      </w:r>
      <w:r>
        <w:rPr>
          <w:rFonts w:ascii="Arial"/>
          <w:b/>
          <w:i/>
          <w:color w:val="7C7C7C"/>
          <w:sz w:val="22"/>
        </w:rPr>
        <w:t>by</w:t>
      </w:r>
      <w:r>
        <w:rPr>
          <w:rFonts w:ascii="Arial"/>
          <w:b/>
          <w:i/>
          <w:color w:val="7C7C7C"/>
          <w:spacing w:val="-10"/>
          <w:sz w:val="22"/>
        </w:rPr>
        <w:t> </w:t>
      </w:r>
      <w:r>
        <w:rPr>
          <w:rFonts w:ascii="Arial"/>
          <w:b/>
          <w:i/>
          <w:color w:val="7C7C7C"/>
          <w:sz w:val="22"/>
        </w:rPr>
        <w:t>the</w:t>
      </w:r>
      <w:r>
        <w:rPr>
          <w:rFonts w:ascii="Arial"/>
          <w:b/>
          <w:i/>
          <w:color w:val="7C7C7C"/>
          <w:spacing w:val="-2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Author.</w:t>
      </w:r>
    </w:p>
    <w:sectPr>
      <w:pgSz w:w="10800" w:h="19200"/>
      <w:pgMar w:top="0" w:bottom="0" w:left="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547" w:hanging="359"/>
        <w:jc w:val="left"/>
      </w:pPr>
      <w:rPr>
        <w:rFonts w:hint="default"/>
        <w:b/>
        <w:bCs/>
        <w:w w:val="99"/>
        <w:u w:val="thick" w:color="33333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4" w:hanging="35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8" w:hanging="35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12" w:hanging="35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36" w:hanging="35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60" w:hanging="35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84" w:hanging="35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08" w:hanging="35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32" w:hanging="359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724" w:hanging="452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6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2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8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4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6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62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68" w:hanging="45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599" w:hanging="452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8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6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4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9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08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2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4" w:hanging="45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48" w:hanging="500"/>
        <w:jc w:val="right"/>
      </w:pPr>
      <w:rPr>
        <w:rFonts w:hint="default" w:ascii="Arial" w:hAnsi="Arial" w:eastAsia="Arial" w:cs="Arial"/>
        <w:b/>
        <w:bCs/>
        <w:w w:val="99"/>
        <w:sz w:val="32"/>
        <w:szCs w:val="32"/>
        <w:u w:val="thick" w:color="0000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04" w:hanging="5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8" w:hanging="5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32" w:hanging="5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6" w:hanging="5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0" w:hanging="5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4" w:hanging="5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88" w:hanging="5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52" w:hanging="50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671" w:hanging="452"/>
      </w:pPr>
      <w:rPr>
        <w:rFonts w:hint="default" w:ascii="Arial MT" w:hAnsi="Arial MT" w:eastAsia="Arial MT" w:cs="Arial MT"/>
        <w:color w:val="333333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0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60" w:hanging="45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14" w:hanging="310"/>
        <w:jc w:val="left"/>
      </w:pPr>
      <w:rPr>
        <w:rFonts w:hint="default" w:ascii="Arial MT" w:hAnsi="Arial MT" w:eastAsia="Arial MT" w:cs="Arial MT"/>
        <w:color w:val="4F576A"/>
        <w:spacing w:val="-1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20" w:hanging="377"/>
        <w:jc w:val="left"/>
      </w:pPr>
      <w:rPr>
        <w:rFonts w:hint="default" w:ascii="Arial" w:hAnsi="Arial" w:eastAsia="Arial" w:cs="Arial"/>
        <w:b/>
        <w:bCs/>
        <w:w w:val="99"/>
        <w:sz w:val="32"/>
        <w:szCs w:val="32"/>
        <w:u w:val="thick" w:color="0000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1" w:hanging="3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2" w:hanging="3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73" w:hanging="3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4" w:hanging="3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75" w:hanging="3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26" w:hanging="3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77" w:hanging="3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44" w:hanging="540"/>
        <w:jc w:val="left"/>
      </w:pPr>
      <w:rPr>
        <w:rFonts w:hint="default" w:ascii="Arial MT" w:hAnsi="Arial MT" w:eastAsia="Arial MT" w:cs="Arial MT"/>
        <w:color w:val="4F576A"/>
        <w:spacing w:val="-1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4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8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2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96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24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38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52" w:hanging="540"/>
      </w:pPr>
      <w:rPr>
        <w:rFonts w:hint="default"/>
        <w:lang w:val="en-U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8"/>
      <w:ind w:left="4940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424"/>
      <w:outlineLvl w:val="2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89"/>
      <w:ind w:left="189"/>
      <w:outlineLvl w:val="3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104"/>
      <w:outlineLvl w:val="4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641" w:hanging="452"/>
      <w:jc w:val="both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5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aracs.in/wp-content/uploads/2023/03/1679125456C-PACE-STK-2.pdf" TargetMode="External"/><Relationship Id="rId8" Type="http://schemas.openxmlformats.org/officeDocument/2006/relationships/image" Target="media/image3.jpeg"/><Relationship Id="rId9" Type="http://schemas.openxmlformats.org/officeDocument/2006/relationships/hyperlink" Target="https://www.sebi.gov.in/legal/master-circulars/mar-2023/master-circular-for-foreign-venture-capital-investors-fvcis-_68650.html" TargetMode="External"/><Relationship Id="rId10" Type="http://schemas.openxmlformats.org/officeDocument/2006/relationships/hyperlink" Target="https://aracs.in/wp-content/uploads/2023/03/Detailed-Annexure.pdf" TargetMode="External"/><Relationship Id="rId11" Type="http://schemas.openxmlformats.org/officeDocument/2006/relationships/image" Target="media/image4.jpeg"/><Relationship Id="rId12" Type="http://schemas.openxmlformats.org/officeDocument/2006/relationships/hyperlink" Target="https://egazette.nic.in/WriteReadData/2023/244410.pdf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hyperlink" Target="https://drive.google.com/file/d/1iYNFL2tubQMAfpD0hzb-qLkeSYmp0ApC/view?usp=share_link" TargetMode="External"/><Relationship Id="rId16" Type="http://schemas.openxmlformats.org/officeDocument/2006/relationships/image" Target="media/image7.jpeg"/><Relationship Id="rId17" Type="http://schemas.openxmlformats.org/officeDocument/2006/relationships/hyperlink" Target="https://ibbi.gov.in/uploads/legalframwork/a64b05965497a2bfb8334195b4ebd35e.pdf" TargetMode="External"/><Relationship Id="rId18" Type="http://schemas.openxmlformats.org/officeDocument/2006/relationships/image" Target="media/image8.jpeg"/><Relationship Id="rId19" Type="http://schemas.openxmlformats.org/officeDocument/2006/relationships/hyperlink" Target="https://aracs.in/wp-content/uploads/2023/03/ADJ-ORDER-ANBRONICA-20230301-3.pdf" TargetMode="External"/><Relationship Id="rId20" Type="http://schemas.openxmlformats.org/officeDocument/2006/relationships/hyperlink" Target="https://www.mca.gov.in/bin/dms/getdocument?mds=IlaiVMG4gSypqEVlYkvatA%253D%253D&amp;type=open" TargetMode="External"/><Relationship Id="rId21" Type="http://schemas.openxmlformats.org/officeDocument/2006/relationships/hyperlink" Target="https://aracs.in/wp-content/uploads/2023/03/4687120192150142864judgement15-mar-2023watermark-1480118.pdf" TargetMode="External"/><Relationship Id="rId22" Type="http://schemas.openxmlformats.org/officeDocument/2006/relationships/image" Target="media/image9.png"/><Relationship Id="rId23" Type="http://schemas.openxmlformats.org/officeDocument/2006/relationships/image" Target="media/image10.jpeg"/><Relationship Id="rId2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Piyush Parmar</dc:creator>
  <dc:title>Akansha  Rathi &amp; Associates</dc:title>
  <dcterms:created xsi:type="dcterms:W3CDTF">2023-03-27T12:34:42Z</dcterms:created>
  <dcterms:modified xsi:type="dcterms:W3CDTF">2023-03-27T12:34:42Z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2023-03-27T00:00:00Z</vt:filetime>
  </property>
</Properties>
</file>