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ALTERNATIVE</w:t>
      </w:r>
      <w:r>
        <w:rPr>
          <w:spacing w:val="-14"/>
        </w:rPr>
        <w:t> </w:t>
      </w:r>
      <w:r>
        <w:rPr/>
        <w:t>INVESTMENT</w:t>
      </w:r>
      <w:r>
        <w:rPr>
          <w:spacing w:val="-16"/>
        </w:rPr>
        <w:t> </w:t>
      </w:r>
      <w:r>
        <w:rPr/>
        <w:t>FUNDS</w:t>
      </w:r>
      <w:r>
        <w:rPr>
          <w:spacing w:val="-14"/>
        </w:rPr>
        <w:t> </w:t>
      </w:r>
      <w:r>
        <w:rPr/>
        <w:t>(AIFs)</w:t>
      </w:r>
    </w:p>
    <w:p>
      <w:pPr>
        <w:spacing w:line="240" w:lineRule="auto" w:before="1"/>
        <w:rPr>
          <w:b/>
          <w:sz w:val="6"/>
        </w:rPr>
      </w:pPr>
    </w:p>
    <w:tbl>
      <w:tblPr>
        <w:tblW w:w="0" w:type="auto"/>
        <w:jc w:val="left"/>
        <w:tblInd w:w="1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2"/>
        <w:gridCol w:w="3660"/>
        <w:gridCol w:w="2285"/>
        <w:gridCol w:w="5525"/>
      </w:tblGrid>
      <w:tr>
        <w:trPr>
          <w:trHeight w:val="367" w:hRule="atLeast"/>
        </w:trPr>
        <w:tc>
          <w:tcPr>
            <w:tcW w:w="13922" w:type="dxa"/>
            <w:gridSpan w:val="4"/>
            <w:tcBorders>
              <w:bottom w:val="single" w:sz="24" w:space="0" w:color="FFFFFF"/>
            </w:tcBorders>
            <w:shd w:val="clear" w:color="auto" w:fill="0E6EC5"/>
          </w:tcPr>
          <w:p>
            <w:pPr>
              <w:pStyle w:val="TableParagraph"/>
              <w:ind w:left="6032" w:right="601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CATEGORY</w:t>
            </w:r>
            <w:r>
              <w:rPr>
                <w:b/>
                <w:color w:val="FFFFFF"/>
                <w:spacing w:val="-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AIF</w:t>
            </w:r>
          </w:p>
        </w:tc>
      </w:tr>
      <w:tr>
        <w:trPr>
          <w:trHeight w:val="368" w:hRule="atLeast"/>
        </w:trPr>
        <w:tc>
          <w:tcPr>
            <w:tcW w:w="2452" w:type="dxa"/>
            <w:tcBorders>
              <w:top w:val="single" w:sz="24" w:space="0" w:color="FFFFFF"/>
            </w:tcBorders>
            <w:shd w:val="clear" w:color="auto" w:fill="CCD4E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60" w:type="dxa"/>
            <w:tcBorders>
              <w:top w:val="single" w:sz="24" w:space="0" w:color="FFFFFF"/>
            </w:tcBorders>
            <w:shd w:val="clear" w:color="auto" w:fill="CCD4EA"/>
          </w:tcPr>
          <w:p>
            <w:pPr>
              <w:pStyle w:val="TableParagraph"/>
              <w:spacing w:before="47"/>
              <w:rPr>
                <w:b/>
                <w:sz w:val="22"/>
              </w:rPr>
            </w:pPr>
            <w:r>
              <w:rPr>
                <w:b/>
                <w:sz w:val="22"/>
              </w:rPr>
              <w:t>CATEGORY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</w:p>
        </w:tc>
        <w:tc>
          <w:tcPr>
            <w:tcW w:w="2285" w:type="dxa"/>
            <w:tcBorders>
              <w:top w:val="single" w:sz="24" w:space="0" w:color="FFFFFF"/>
            </w:tcBorders>
            <w:shd w:val="clear" w:color="auto" w:fill="CCD4EA"/>
          </w:tcPr>
          <w:p>
            <w:pPr>
              <w:pStyle w:val="TableParagraph"/>
              <w:spacing w:before="47"/>
              <w:ind w:left="144"/>
              <w:rPr>
                <w:b/>
                <w:sz w:val="22"/>
              </w:rPr>
            </w:pPr>
            <w:r>
              <w:rPr>
                <w:b/>
                <w:sz w:val="22"/>
              </w:rPr>
              <w:t>CATEGORY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II</w:t>
            </w:r>
          </w:p>
        </w:tc>
        <w:tc>
          <w:tcPr>
            <w:tcW w:w="5525" w:type="dxa"/>
            <w:tcBorders>
              <w:top w:val="single" w:sz="24" w:space="0" w:color="FFFFFF"/>
            </w:tcBorders>
            <w:shd w:val="clear" w:color="auto" w:fill="CCD4EA"/>
          </w:tcPr>
          <w:p>
            <w:pPr>
              <w:pStyle w:val="TableParagraph"/>
              <w:spacing w:before="47"/>
              <w:ind w:left="144"/>
              <w:rPr>
                <w:b/>
                <w:sz w:val="22"/>
              </w:rPr>
            </w:pPr>
            <w:r>
              <w:rPr>
                <w:b/>
                <w:sz w:val="22"/>
              </w:rPr>
              <w:t>CATEGORY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III</w:t>
            </w:r>
          </w:p>
        </w:tc>
      </w:tr>
      <w:tr>
        <w:trPr>
          <w:trHeight w:val="1180" w:hRule="atLeast"/>
        </w:trPr>
        <w:tc>
          <w:tcPr>
            <w:tcW w:w="2452" w:type="dxa"/>
            <w:shd w:val="clear" w:color="auto" w:fill="E7EBF5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Investment</w:t>
            </w:r>
          </w:p>
        </w:tc>
        <w:tc>
          <w:tcPr>
            <w:tcW w:w="3660" w:type="dxa"/>
            <w:shd w:val="clear" w:color="auto" w:fill="E7EBF5"/>
          </w:tcPr>
          <w:p>
            <w:pPr>
              <w:pStyle w:val="TableParagraph"/>
              <w:spacing w:line="244" w:lineRule="auto"/>
              <w:ind w:right="121"/>
              <w:jc w:val="both"/>
              <w:rPr>
                <w:sz w:val="22"/>
              </w:rPr>
            </w:pPr>
            <w:r>
              <w:rPr>
                <w:sz w:val="22"/>
              </w:rPr>
              <w:t>Startups or early stage ventures 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SMEs,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sector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government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socially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economically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desired.</w:t>
            </w:r>
          </w:p>
        </w:tc>
        <w:tc>
          <w:tcPr>
            <w:tcW w:w="2285" w:type="dxa"/>
            <w:shd w:val="clear" w:color="auto" w:fill="E7EBF5"/>
          </w:tcPr>
          <w:p>
            <w:pPr>
              <w:pStyle w:val="TableParagraph"/>
              <w:tabs>
                <w:tab w:pos="1063" w:val="left" w:leader="none"/>
                <w:tab w:pos="1716" w:val="left" w:leader="none"/>
              </w:tabs>
              <w:ind w:left="144"/>
              <w:rPr>
                <w:sz w:val="22"/>
              </w:rPr>
            </w:pPr>
            <w:r>
              <w:rPr>
                <w:sz w:val="22"/>
              </w:rPr>
              <w:t>Equity</w:t>
              <w:tab/>
              <w:t>and</w:t>
              <w:tab/>
              <w:t>debt</w:t>
            </w:r>
          </w:p>
          <w:p>
            <w:pPr>
              <w:pStyle w:val="TableParagraph"/>
              <w:spacing w:before="6"/>
              <w:ind w:left="144"/>
              <w:rPr>
                <w:sz w:val="22"/>
              </w:rPr>
            </w:pPr>
            <w:r>
              <w:rPr>
                <w:sz w:val="22"/>
              </w:rPr>
              <w:t>securities.</w:t>
            </w:r>
          </w:p>
        </w:tc>
        <w:tc>
          <w:tcPr>
            <w:tcW w:w="5525" w:type="dxa"/>
            <w:shd w:val="clear" w:color="auto" w:fill="E7EBF5"/>
          </w:tcPr>
          <w:p>
            <w:pPr>
              <w:pStyle w:val="TableParagraph"/>
              <w:spacing w:line="244" w:lineRule="auto"/>
              <w:ind w:left="144" w:right="119"/>
              <w:jc w:val="both"/>
              <w:rPr>
                <w:sz w:val="22"/>
              </w:rPr>
            </w:pPr>
            <w:r>
              <w:rPr>
                <w:sz w:val="22"/>
              </w:rPr>
              <w:t>Listed or unlisted Securities, Hedge fund and Private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Equity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(PIPE),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strategies.</w:t>
            </w:r>
          </w:p>
        </w:tc>
      </w:tr>
      <w:tr>
        <w:trPr>
          <w:trHeight w:val="387" w:hRule="atLeast"/>
        </w:trPr>
        <w:tc>
          <w:tcPr>
            <w:tcW w:w="2452" w:type="dxa"/>
            <w:shd w:val="clear" w:color="auto" w:fill="CCD4E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Registration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fees</w:t>
            </w:r>
          </w:p>
        </w:tc>
        <w:tc>
          <w:tcPr>
            <w:tcW w:w="3660" w:type="dxa"/>
            <w:shd w:val="clear" w:color="auto" w:fill="CCD4E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Rs.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 Lakh</w:t>
            </w:r>
          </w:p>
        </w:tc>
        <w:tc>
          <w:tcPr>
            <w:tcW w:w="2285" w:type="dxa"/>
            <w:shd w:val="clear" w:color="auto" w:fill="CCD4EA"/>
          </w:tcPr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sz w:val="22"/>
              </w:rPr>
              <w:t>Rs.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Lakh</w:t>
            </w:r>
          </w:p>
        </w:tc>
        <w:tc>
          <w:tcPr>
            <w:tcW w:w="5525" w:type="dxa"/>
            <w:shd w:val="clear" w:color="auto" w:fill="CCD4EA"/>
          </w:tcPr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sz w:val="22"/>
              </w:rPr>
              <w:t>Rs.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Lakh</w:t>
            </w:r>
          </w:p>
        </w:tc>
      </w:tr>
      <w:tr>
        <w:trPr>
          <w:trHeight w:val="387" w:hRule="atLeast"/>
        </w:trPr>
        <w:tc>
          <w:tcPr>
            <w:tcW w:w="2452" w:type="dxa"/>
            <w:shd w:val="clear" w:color="auto" w:fill="E7EBF5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</w:p>
        </w:tc>
        <w:tc>
          <w:tcPr>
            <w:tcW w:w="5945" w:type="dxa"/>
            <w:gridSpan w:val="2"/>
            <w:shd w:val="clear" w:color="auto" w:fill="E7EBF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Close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ended</w:t>
            </w:r>
          </w:p>
        </w:tc>
        <w:tc>
          <w:tcPr>
            <w:tcW w:w="5525" w:type="dxa"/>
            <w:shd w:val="clear" w:color="auto" w:fill="E7EBF5"/>
          </w:tcPr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sz w:val="22"/>
              </w:rPr>
              <w:t>Open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ended</w:t>
            </w:r>
          </w:p>
        </w:tc>
      </w:tr>
      <w:tr>
        <w:trPr>
          <w:trHeight w:val="916" w:hRule="atLeast"/>
        </w:trPr>
        <w:tc>
          <w:tcPr>
            <w:tcW w:w="2452" w:type="dxa"/>
            <w:shd w:val="clear" w:color="auto" w:fill="CCD4E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Minimum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Tenure</w:t>
            </w:r>
          </w:p>
        </w:tc>
        <w:tc>
          <w:tcPr>
            <w:tcW w:w="5945" w:type="dxa"/>
            <w:gridSpan w:val="2"/>
            <w:shd w:val="clear" w:color="auto" w:fill="CCD4EA"/>
          </w:tcPr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years.</w:t>
            </w:r>
            <w:r>
              <w:rPr>
                <w:spacing w:val="94"/>
                <w:sz w:val="22"/>
              </w:rPr>
              <w:t> </w:t>
            </w:r>
            <w:r>
              <w:rPr>
                <w:sz w:val="22"/>
              </w:rPr>
              <w:t>(Extension</w:t>
            </w:r>
            <w:r>
              <w:rPr>
                <w:spacing w:val="9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94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95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96"/>
                <w:sz w:val="22"/>
              </w:rPr>
              <w:t> </w:t>
            </w:r>
            <w:r>
              <w:rPr>
                <w:sz w:val="22"/>
              </w:rPr>
              <w:t>2/3</w:t>
            </w:r>
            <w:r>
              <w:rPr>
                <w:spacing w:val="94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95"/>
                <w:sz w:val="22"/>
              </w:rPr>
              <w:t> </w:t>
            </w:r>
            <w:r>
              <w:rPr>
                <w:sz w:val="22"/>
              </w:rPr>
              <w:t>holder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sz w:val="22"/>
              </w:rPr>
              <w:t>approval)</w:t>
            </w:r>
          </w:p>
        </w:tc>
        <w:tc>
          <w:tcPr>
            <w:tcW w:w="5525" w:type="dxa"/>
            <w:shd w:val="clear" w:color="auto" w:fill="CCD4EA"/>
          </w:tcPr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Minimum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tenure.</w:t>
            </w:r>
          </w:p>
          <w:p>
            <w:pPr>
              <w:pStyle w:val="TableParagraph"/>
              <w:spacing w:line="244" w:lineRule="auto" w:before="7"/>
              <w:ind w:left="144"/>
              <w:rPr>
                <w:sz w:val="22"/>
              </w:rPr>
            </w:pPr>
            <w:r>
              <w:rPr>
                <w:sz w:val="22"/>
              </w:rPr>
              <w:t>(Close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ended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AIF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get Extension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2/3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holder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approval)</w:t>
            </w:r>
          </w:p>
        </w:tc>
      </w:tr>
      <w:tr>
        <w:trPr>
          <w:trHeight w:val="916" w:hRule="atLeast"/>
        </w:trPr>
        <w:tc>
          <w:tcPr>
            <w:tcW w:w="2452" w:type="dxa"/>
            <w:shd w:val="clear" w:color="auto" w:fill="E7EBF5"/>
          </w:tcPr>
          <w:p>
            <w:pPr>
              <w:pStyle w:val="TableParagraph"/>
              <w:tabs>
                <w:tab w:pos="1500" w:val="left" w:leader="none"/>
              </w:tabs>
              <w:spacing w:line="244" w:lineRule="auto"/>
              <w:ind w:right="121"/>
              <w:rPr>
                <w:b/>
                <w:sz w:val="22"/>
              </w:rPr>
            </w:pPr>
            <w:r>
              <w:rPr>
                <w:b/>
                <w:sz w:val="22"/>
              </w:rPr>
              <w:t>Continued</w:t>
              <w:tab/>
            </w:r>
            <w:r>
              <w:rPr>
                <w:b/>
                <w:spacing w:val="-1"/>
                <w:sz w:val="22"/>
              </w:rPr>
              <w:t>Interest</w:t>
            </w:r>
            <w:r>
              <w:rPr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48"/>
                <w:sz w:val="22"/>
              </w:rPr>
              <w:t> </w:t>
            </w:r>
            <w:r>
              <w:rPr>
                <w:b/>
                <w:sz w:val="22"/>
              </w:rPr>
              <w:t>Manager/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Sponsor</w:t>
            </w:r>
          </w:p>
        </w:tc>
        <w:tc>
          <w:tcPr>
            <w:tcW w:w="5945" w:type="dxa"/>
            <w:gridSpan w:val="2"/>
            <w:shd w:val="clear" w:color="auto" w:fill="E7EBF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Lower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following: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7" w:after="0"/>
              <w:ind w:left="383" w:right="0" w:hanging="241"/>
              <w:jc w:val="left"/>
              <w:rPr>
                <w:sz w:val="22"/>
              </w:rPr>
            </w:pPr>
            <w:r>
              <w:rPr>
                <w:sz w:val="22"/>
              </w:rPr>
              <w:t>2.5%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corpus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6" w:val="left" w:leader="none"/>
              </w:tabs>
              <w:spacing w:line="240" w:lineRule="auto" w:before="6" w:after="0"/>
              <w:ind w:left="395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5 Crore.</w:t>
            </w:r>
          </w:p>
        </w:tc>
        <w:tc>
          <w:tcPr>
            <w:tcW w:w="5525" w:type="dxa"/>
            <w:shd w:val="clear" w:color="auto" w:fill="E7EBF5"/>
          </w:tcPr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sz w:val="22"/>
              </w:rPr>
              <w:t>Lower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following: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5" w:val="left" w:leader="none"/>
              </w:tabs>
              <w:spacing w:line="240" w:lineRule="auto" w:before="7" w:after="0"/>
              <w:ind w:left="384" w:right="0" w:hanging="241"/>
              <w:jc w:val="left"/>
              <w:rPr>
                <w:sz w:val="22"/>
              </w:rPr>
            </w:pPr>
            <w:r>
              <w:rPr>
                <w:sz w:val="22"/>
              </w:rPr>
              <w:t>5%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corpus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97" w:val="left" w:leader="none"/>
              </w:tabs>
              <w:spacing w:line="240" w:lineRule="auto" w:before="6" w:after="0"/>
              <w:ind w:left="396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10 Crore.</w:t>
            </w:r>
          </w:p>
        </w:tc>
      </w:tr>
      <w:tr>
        <w:trPr>
          <w:trHeight w:val="1180" w:hRule="atLeast"/>
        </w:trPr>
        <w:tc>
          <w:tcPr>
            <w:tcW w:w="2452" w:type="dxa"/>
            <w:shd w:val="clear" w:color="auto" w:fill="CCD4E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Limit</w:t>
            </w:r>
          </w:p>
        </w:tc>
        <w:tc>
          <w:tcPr>
            <w:tcW w:w="5945" w:type="dxa"/>
            <w:gridSpan w:val="2"/>
            <w:shd w:val="clear" w:color="auto" w:fill="CCD4E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Invest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upto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25%.</w:t>
            </w:r>
          </w:p>
          <w:p>
            <w:pPr>
              <w:pStyle w:val="TableParagraph"/>
              <w:spacing w:line="244" w:lineRule="auto" w:before="7"/>
              <w:ind w:right="121"/>
              <w:rPr>
                <w:sz w:val="22"/>
              </w:rPr>
            </w:pPr>
            <w:r>
              <w:rPr>
                <w:sz w:val="22"/>
              </w:rPr>
              <w:t>(Large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accredited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investor*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&lt;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50%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investable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fund*)</w:t>
            </w:r>
          </w:p>
        </w:tc>
        <w:tc>
          <w:tcPr>
            <w:tcW w:w="5525" w:type="dxa"/>
            <w:shd w:val="clear" w:color="auto" w:fill="CCD4EA"/>
          </w:tcPr>
          <w:p>
            <w:pPr>
              <w:pStyle w:val="TableParagraph"/>
              <w:spacing w:line="244" w:lineRule="auto"/>
              <w:ind w:left="144" w:right="121"/>
              <w:jc w:val="both"/>
              <w:rPr>
                <w:sz w:val="22"/>
              </w:rPr>
            </w:pPr>
            <w:r>
              <w:rPr>
                <w:sz w:val="22"/>
              </w:rPr>
              <w:t>Invest upto 10% of net assets value in Listed equity 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upto 10% of investable fund in unlisted securities.(for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accredited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limit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increase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upto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20%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respectively)</w:t>
            </w:r>
          </w:p>
        </w:tc>
      </w:tr>
      <w:tr>
        <w:trPr>
          <w:trHeight w:val="651" w:hRule="atLeast"/>
        </w:trPr>
        <w:tc>
          <w:tcPr>
            <w:tcW w:w="2452" w:type="dxa"/>
            <w:shd w:val="clear" w:color="auto" w:fill="E7EBF5"/>
          </w:tcPr>
          <w:p>
            <w:pPr>
              <w:pStyle w:val="TableParagraph"/>
              <w:spacing w:line="244" w:lineRule="auto" w:before="68"/>
              <w:rPr>
                <w:b/>
                <w:sz w:val="22"/>
              </w:rPr>
            </w:pPr>
            <w:r>
              <w:rPr>
                <w:b/>
                <w:sz w:val="22"/>
              </w:rPr>
              <w:t>Minimum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Corpus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Investor</w:t>
            </w:r>
          </w:p>
        </w:tc>
        <w:tc>
          <w:tcPr>
            <w:tcW w:w="11470" w:type="dxa"/>
            <w:gridSpan w:val="3"/>
            <w:shd w:val="clear" w:color="auto" w:fill="E7EBF5"/>
          </w:tcPr>
          <w:p>
            <w:pPr>
              <w:pStyle w:val="TableParagraph"/>
              <w:spacing w:before="68"/>
              <w:ind w:left="2149" w:right="2121"/>
              <w:jc w:val="center"/>
              <w:rPr>
                <w:sz w:val="22"/>
              </w:rPr>
            </w:pPr>
            <w:r>
              <w:rPr>
                <w:sz w:val="22"/>
              </w:rPr>
              <w:t>minimum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corpus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fund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Crores 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maximum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investors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1000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715" w:val="left" w:leader="none"/>
          <w:tab w:pos="716" w:val="left" w:leader="none"/>
        </w:tabs>
        <w:spacing w:line="270" w:lineRule="exact" w:before="153" w:after="0"/>
        <w:ind w:left="715" w:right="0" w:hanging="452"/>
        <w:jc w:val="left"/>
        <w:rPr>
          <w:i/>
          <w:sz w:val="24"/>
        </w:rPr>
      </w:pPr>
      <w:r>
        <w:rPr>
          <w:i/>
          <w:sz w:val="24"/>
        </w:rPr>
        <w:t>“investible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funds”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means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corpus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scheme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Alternative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Investment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Fund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net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expenditure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administration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and</w:t>
      </w:r>
    </w:p>
    <w:p>
      <w:pPr>
        <w:pStyle w:val="BodyText"/>
        <w:spacing w:line="259" w:lineRule="exact"/>
        <w:ind w:firstLine="0"/>
      </w:pPr>
      <w:r>
        <w:rPr/>
        <w:t>management</w:t>
      </w:r>
      <w:r>
        <w:rPr>
          <w:spacing w:val="-9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fund</w:t>
      </w:r>
      <w:r>
        <w:rPr>
          <w:spacing w:val="-8"/>
        </w:rPr>
        <w:t> </w:t>
      </w:r>
      <w:r>
        <w:rPr/>
        <w:t>estimated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tenure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fund.</w:t>
      </w:r>
    </w:p>
    <w:p>
      <w:pPr>
        <w:pStyle w:val="ListParagraph"/>
        <w:numPr>
          <w:ilvl w:val="0"/>
          <w:numId w:val="3"/>
        </w:numPr>
        <w:tabs>
          <w:tab w:pos="715" w:val="left" w:leader="none"/>
          <w:tab w:pos="716" w:val="left" w:leader="none"/>
        </w:tabs>
        <w:spacing w:line="270" w:lineRule="exact" w:before="0" w:after="0"/>
        <w:ind w:left="715" w:right="0" w:hanging="452"/>
        <w:jc w:val="left"/>
        <w:rPr>
          <w:i/>
          <w:sz w:val="24"/>
        </w:rPr>
      </w:pPr>
      <w:r>
        <w:rPr>
          <w:i/>
          <w:sz w:val="24"/>
        </w:rPr>
        <w:t>“accredited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investor”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means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any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who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granted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certificate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accreditation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accreditation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agency.</w:t>
      </w:r>
    </w:p>
    <w:p>
      <w:pPr>
        <w:spacing w:before="177"/>
        <w:ind w:left="26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RECENT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PENALTY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IMPOSED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BY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SEBI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ON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INDGROWTH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CAPITAL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FUND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I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(category</w:t>
      </w:r>
      <w:r>
        <w:rPr>
          <w:b/>
          <w:spacing w:val="-13"/>
          <w:sz w:val="24"/>
          <w:u w:val="single"/>
        </w:rPr>
        <w:t> </w:t>
      </w:r>
      <w:r>
        <w:rPr>
          <w:b/>
          <w:sz w:val="24"/>
          <w:u w:val="single"/>
        </w:rPr>
        <w:t>III)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-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FACTS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OF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THE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CASE</w:t>
      </w:r>
    </w:p>
    <w:p>
      <w:pPr>
        <w:pStyle w:val="Heading1"/>
        <w:numPr>
          <w:ilvl w:val="0"/>
          <w:numId w:val="3"/>
        </w:numPr>
        <w:tabs>
          <w:tab w:pos="715" w:val="left" w:leader="none"/>
          <w:tab w:pos="716" w:val="left" w:leader="none"/>
        </w:tabs>
        <w:spacing w:line="240" w:lineRule="auto" w:before="98" w:after="0"/>
        <w:ind w:left="715" w:right="0" w:hanging="452"/>
        <w:jc w:val="left"/>
      </w:pPr>
      <w:r>
        <w:rPr/>
        <w:t>Reported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incorrect</w:t>
      </w:r>
      <w:r>
        <w:rPr>
          <w:spacing w:val="-6"/>
        </w:rPr>
        <w:t> </w:t>
      </w:r>
      <w:r>
        <w:rPr/>
        <w:t>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investable</w:t>
      </w:r>
      <w:r>
        <w:rPr>
          <w:spacing w:val="-9"/>
        </w:rPr>
        <w:t> </w:t>
      </w:r>
      <w:r>
        <w:rPr/>
        <w:t>funds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quarterly</w:t>
      </w:r>
      <w:r>
        <w:rPr>
          <w:spacing w:val="-5"/>
        </w:rPr>
        <w:t> </w:t>
      </w:r>
      <w:r>
        <w:rPr/>
        <w:t>reports</w:t>
      </w:r>
    </w:p>
    <w:p>
      <w:pPr>
        <w:pStyle w:val="ListParagraph"/>
        <w:numPr>
          <w:ilvl w:val="0"/>
          <w:numId w:val="3"/>
        </w:numPr>
        <w:tabs>
          <w:tab w:pos="715" w:val="left" w:leader="none"/>
          <w:tab w:pos="716" w:val="left" w:leader="none"/>
        </w:tabs>
        <w:spacing w:line="240" w:lineRule="auto" w:before="97" w:after="0"/>
        <w:ind w:left="715" w:right="0" w:hanging="452"/>
        <w:jc w:val="left"/>
        <w:rPr>
          <w:sz w:val="24"/>
        </w:rPr>
      </w:pPr>
      <w:r>
        <w:rPr>
          <w:sz w:val="24"/>
        </w:rPr>
        <w:t>Investment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more</w:t>
      </w:r>
      <w:r>
        <w:rPr>
          <w:spacing w:val="-4"/>
          <w:sz w:val="24"/>
        </w:rPr>
        <w:t> </w:t>
      </w:r>
      <w:r>
        <w:rPr>
          <w:sz w:val="24"/>
        </w:rPr>
        <w:t>than</w:t>
      </w:r>
      <w:r>
        <w:rPr>
          <w:spacing w:val="-4"/>
          <w:sz w:val="24"/>
        </w:rPr>
        <w:t> </w:t>
      </w:r>
      <w:r>
        <w:rPr>
          <w:sz w:val="24"/>
        </w:rPr>
        <w:t>10%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investable</w:t>
      </w:r>
      <w:r>
        <w:rPr>
          <w:spacing w:val="-7"/>
          <w:sz w:val="24"/>
        </w:rPr>
        <w:t> </w:t>
      </w:r>
      <w:r>
        <w:rPr>
          <w:sz w:val="24"/>
        </w:rPr>
        <w:t>fund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investee</w:t>
      </w:r>
      <w:r>
        <w:rPr>
          <w:spacing w:val="-4"/>
          <w:sz w:val="24"/>
        </w:rPr>
        <w:t> </w:t>
      </w:r>
      <w:r>
        <w:rPr>
          <w:sz w:val="24"/>
        </w:rPr>
        <w:t>company</w:t>
      </w:r>
      <w:r>
        <w:rPr>
          <w:spacing w:val="-8"/>
          <w:sz w:val="24"/>
        </w:rPr>
        <w:t> </w:t>
      </w:r>
      <w:r>
        <w:rPr>
          <w:sz w:val="24"/>
        </w:rPr>
        <w:t>(Urgo</w:t>
      </w:r>
      <w:r>
        <w:rPr>
          <w:spacing w:val="-2"/>
          <w:sz w:val="24"/>
        </w:rPr>
        <w:t> </w:t>
      </w:r>
      <w:r>
        <w:rPr>
          <w:sz w:val="24"/>
        </w:rPr>
        <w:t>Capital</w:t>
      </w:r>
      <w:r>
        <w:rPr>
          <w:spacing w:val="-7"/>
          <w:sz w:val="24"/>
        </w:rPr>
        <w:t> </w:t>
      </w:r>
      <w:r>
        <w:rPr>
          <w:sz w:val="24"/>
        </w:rPr>
        <w:t>Limited).</w:t>
      </w:r>
    </w:p>
    <w:p>
      <w:pPr>
        <w:pStyle w:val="Heading1"/>
        <w:numPr>
          <w:ilvl w:val="0"/>
          <w:numId w:val="3"/>
        </w:numPr>
        <w:tabs>
          <w:tab w:pos="715" w:val="left" w:leader="none"/>
          <w:tab w:pos="716" w:val="left" w:leader="none"/>
        </w:tabs>
        <w:spacing w:line="324" w:lineRule="auto" w:before="99" w:after="0"/>
        <w:ind w:left="264" w:right="9089" w:firstLine="0"/>
        <w:jc w:val="left"/>
      </w:pPr>
      <w:r>
        <w:rPr/>
        <w:t>SEBI</w:t>
      </w:r>
      <w:r>
        <w:rPr>
          <w:spacing w:val="-5"/>
        </w:rPr>
        <w:t> </w:t>
      </w:r>
      <w:r>
        <w:rPr/>
        <w:t>imposed</w:t>
      </w:r>
      <w:r>
        <w:rPr>
          <w:spacing w:val="-5"/>
        </w:rPr>
        <w:t> </w:t>
      </w:r>
      <w:r>
        <w:rPr/>
        <w:t>penalty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10</w:t>
      </w:r>
      <w:r>
        <w:rPr>
          <w:spacing w:val="-2"/>
        </w:rPr>
        <w:t> </w:t>
      </w:r>
      <w:r>
        <w:rPr/>
        <w:t>lakh</w:t>
      </w:r>
      <w:r>
        <w:rPr>
          <w:spacing w:val="-2"/>
        </w:rPr>
        <w:t> </w:t>
      </w:r>
      <w:r>
        <w:rPr/>
        <w:t>u/s</w:t>
      </w:r>
      <w:r>
        <w:rPr>
          <w:spacing w:val="-3"/>
        </w:rPr>
        <w:t> </w:t>
      </w:r>
      <w:r>
        <w:rPr/>
        <w:t>15EA.</w:t>
      </w:r>
      <w:r>
        <w:rPr>
          <w:spacing w:val="-50"/>
        </w:rPr>
        <w:t> </w:t>
      </w:r>
      <w:r>
        <w:rPr/>
        <w:t>SEBI</w:t>
      </w:r>
      <w:r>
        <w:rPr>
          <w:spacing w:val="-2"/>
        </w:rPr>
        <w:t> </w:t>
      </w:r>
      <w:r>
        <w:rPr/>
        <w:t>ORDER</w:t>
      </w:r>
      <w:r>
        <w:rPr>
          <w:spacing w:val="2"/>
        </w:rPr>
        <w:t> </w:t>
      </w:r>
      <w:r>
        <w:rPr/>
        <w:t>:</w:t>
      </w:r>
      <w:r>
        <w:rPr>
          <w:color w:val="0A5294"/>
          <w:spacing w:val="-1"/>
        </w:rPr>
        <w:t> </w:t>
      </w:r>
      <w:hyperlink r:id="rId5">
        <w:r>
          <w:rPr>
            <w:color w:val="0A5294"/>
            <w:u w:val="single" w:color="0A5294"/>
          </w:rPr>
          <w:t>CLICK</w:t>
        </w:r>
        <w:r>
          <w:rPr>
            <w:color w:val="0A5294"/>
            <w:spacing w:val="2"/>
            <w:u w:val="single" w:color="0A5294"/>
          </w:rPr>
          <w:t> </w:t>
        </w:r>
        <w:r>
          <w:rPr>
            <w:color w:val="0A5294"/>
            <w:u w:val="single" w:color="0A5294"/>
          </w:rPr>
          <w:t>HERE</w:t>
        </w:r>
      </w:hyperlink>
    </w:p>
    <w:sectPr>
      <w:type w:val="continuous"/>
      <w:pgSz w:w="14400" w:h="10800" w:orient="landscape"/>
      <w:pgMar w:top="480" w:bottom="0" w:left="12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384" w:hanging="240"/>
        <w:jc w:val="left"/>
      </w:pPr>
      <w:rPr>
        <w:rFonts w:hint="default" w:ascii="Cambria" w:hAnsi="Cambria" w:eastAsia="Cambria" w:cs="Cambria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5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17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42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55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7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0" w:hanging="2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383" w:hanging="240"/>
        <w:jc w:val="left"/>
      </w:pPr>
      <w:rPr>
        <w:rFonts w:hint="default" w:ascii="Cambria" w:hAnsi="Cambria" w:eastAsia="Cambria" w:cs="Cambria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9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43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52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7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61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6" w:hanging="24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64" w:hanging="452"/>
      </w:pPr>
      <w:rPr>
        <w:rFonts w:hint="default" w:ascii="Arial MT" w:hAnsi="Arial MT" w:eastAsia="Arial MT" w:cs="Arial M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3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2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1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60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99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380" w:hanging="45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70" w:lineRule="exact"/>
      <w:ind w:left="715" w:hanging="452"/>
    </w:pPr>
    <w:rPr>
      <w:rFonts w:ascii="Cambria" w:hAnsi="Cambria" w:eastAsia="Cambria" w:cs="Cambria"/>
      <w:i/>
      <w:iCs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7"/>
      <w:ind w:left="715" w:hanging="452"/>
      <w:outlineLvl w:val="1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4266" w:right="4476"/>
      <w:jc w:val="center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5" w:hanging="452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7"/>
      <w:ind w:left="143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sebi.gov.in/enforcement/orders/jun-2022/adjudication-order-in-the-matter-of-indgrowth-capital-fund-i-aif-regulations_60240.html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Akansha</dc:creator>
  <dc:title>ALTERNATIVE INVESTMENT FUNDS (AIFs)- privately pooled investment vehicle which collect funds from specific investors</dc:title>
  <dcterms:created xsi:type="dcterms:W3CDTF">2022-07-09T09:17:33Z</dcterms:created>
  <dcterms:modified xsi:type="dcterms:W3CDTF">2022-07-09T09:17:33Z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2022-07-09T00:00:00Z</vt:filetime>
  </property>
</Properties>
</file>