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54FF6" w14:textId="1AF33247" w:rsidR="00DF0DC1" w:rsidRPr="00080C44" w:rsidRDefault="00856434" w:rsidP="00CD3202">
      <w:pPr>
        <w:spacing w:after="0" w:line="240" w:lineRule="auto"/>
        <w:jc w:val="both"/>
        <w:rPr>
          <w:rFonts w:ascii="Book Antiqua" w:hAnsi="Book Antiqua" w:cs="Times New Roman"/>
          <w:b/>
          <w:bCs/>
          <w:caps/>
          <w:color w:val="002060"/>
          <w:sz w:val="40"/>
          <w:szCs w:val="40"/>
          <w:u w:val="single"/>
        </w:rPr>
      </w:pPr>
      <w:r w:rsidRPr="00080C44">
        <w:rPr>
          <w:rFonts w:ascii="Book Antiqua" w:hAnsi="Book Antiqua" w:cs="Times New Roman"/>
          <w:b/>
          <w:bCs/>
          <w:caps/>
          <w:color w:val="002060"/>
          <w:sz w:val="40"/>
          <w:szCs w:val="40"/>
          <w:u w:val="single"/>
        </w:rPr>
        <w:t>SEBI reduces Broker turnover fees and filing fees for issuers</w:t>
      </w:r>
    </w:p>
    <w:p w14:paraId="7EDC88C2" w14:textId="77777777" w:rsidR="00856434" w:rsidRPr="00080C44" w:rsidRDefault="00856434" w:rsidP="00CD3202">
      <w:pPr>
        <w:spacing w:after="0" w:line="240" w:lineRule="auto"/>
        <w:jc w:val="both"/>
        <w:rPr>
          <w:rFonts w:asciiTheme="majorHAnsi" w:hAnsiTheme="majorHAnsi" w:cs="Times New Roman"/>
          <w:b/>
          <w:bCs/>
          <w:color w:val="002060"/>
          <w:sz w:val="40"/>
          <w:szCs w:val="40"/>
          <w:u w:val="single"/>
        </w:rPr>
      </w:pPr>
    </w:p>
    <w:p w14:paraId="24E26981" w14:textId="16C4F130" w:rsidR="00CD3202" w:rsidRPr="00FA5358" w:rsidRDefault="00CD3202" w:rsidP="00CD3202">
      <w:pPr>
        <w:pStyle w:val="ListParagraph"/>
        <w:numPr>
          <w:ilvl w:val="0"/>
          <w:numId w:val="9"/>
        </w:numPr>
        <w:jc w:val="both"/>
        <w:rPr>
          <w:rFonts w:ascii="Book Antiqua" w:hAnsi="Book Antiqua"/>
          <w:b/>
          <w:bCs/>
          <w:caps/>
          <w:color w:val="002060"/>
          <w:sz w:val="24"/>
          <w:szCs w:val="24"/>
          <w:u w:val="single"/>
        </w:rPr>
      </w:pPr>
      <w:r w:rsidRPr="00FA5358">
        <w:rPr>
          <w:rFonts w:ascii="Book Antiqua" w:hAnsi="Book Antiqua"/>
          <w:b/>
          <w:bCs/>
          <w:caps/>
          <w:color w:val="002060"/>
          <w:sz w:val="24"/>
          <w:szCs w:val="24"/>
          <w:u w:val="single"/>
        </w:rPr>
        <w:t>Overview</w:t>
      </w:r>
    </w:p>
    <w:p w14:paraId="1CF639A1" w14:textId="3291B7CC" w:rsidR="00CD3202" w:rsidRDefault="00CD3202" w:rsidP="00C25C67">
      <w:pPr>
        <w:jc w:val="both"/>
        <w:rPr>
          <w:rFonts w:ascii="Book Antiqua" w:hAnsi="Book Antiqua"/>
          <w:b/>
          <w:bCs/>
          <w:caps/>
          <w:color w:val="002060"/>
          <w:sz w:val="24"/>
          <w:szCs w:val="24"/>
        </w:rPr>
      </w:pPr>
      <w:r w:rsidRPr="00FA5358">
        <w:rPr>
          <w:rFonts w:ascii="Book Antiqua" w:hAnsi="Book Antiqua"/>
          <w:color w:val="002060"/>
          <w:sz w:val="24"/>
          <w:szCs w:val="24"/>
        </w:rPr>
        <w:t xml:space="preserve">Securities and Exchange Board of India (SEBI) vide </w:t>
      </w:r>
      <w:r w:rsidR="00856434">
        <w:rPr>
          <w:rFonts w:ascii="Book Antiqua" w:hAnsi="Book Antiqua"/>
          <w:color w:val="002060"/>
          <w:sz w:val="24"/>
          <w:szCs w:val="24"/>
        </w:rPr>
        <w:t>Press Release N</w:t>
      </w:r>
      <w:r w:rsidRPr="00FA5358">
        <w:rPr>
          <w:rFonts w:ascii="Book Antiqua" w:hAnsi="Book Antiqua"/>
          <w:color w:val="002060"/>
          <w:sz w:val="24"/>
          <w:szCs w:val="24"/>
        </w:rPr>
        <w:t xml:space="preserve">o. </w:t>
      </w:r>
      <w:r w:rsidR="00856434" w:rsidRPr="00856434">
        <w:rPr>
          <w:rFonts w:ascii="Book Antiqua" w:hAnsi="Book Antiqua"/>
          <w:color w:val="002060"/>
          <w:sz w:val="24"/>
          <w:szCs w:val="24"/>
        </w:rPr>
        <w:t>PR No.: 24/</w:t>
      </w:r>
      <w:proofErr w:type="gramStart"/>
      <w:r w:rsidR="00856434" w:rsidRPr="00856434">
        <w:rPr>
          <w:rFonts w:ascii="Book Antiqua" w:hAnsi="Book Antiqua"/>
          <w:color w:val="002060"/>
          <w:sz w:val="24"/>
          <w:szCs w:val="24"/>
        </w:rPr>
        <w:t>2020</w:t>
      </w:r>
      <w:r w:rsidR="00856434">
        <w:rPr>
          <w:rFonts w:ascii="Book Antiqua" w:hAnsi="Book Antiqua"/>
          <w:color w:val="002060"/>
          <w:sz w:val="24"/>
          <w:szCs w:val="24"/>
        </w:rPr>
        <w:t xml:space="preserve"> </w:t>
      </w:r>
      <w:r w:rsidR="00DF0DC1" w:rsidRPr="00FA5358">
        <w:rPr>
          <w:rFonts w:ascii="Book Antiqua" w:hAnsi="Book Antiqua"/>
          <w:color w:val="002060"/>
          <w:sz w:val="24"/>
          <w:szCs w:val="24"/>
        </w:rPr>
        <w:t xml:space="preserve"> </w:t>
      </w:r>
      <w:r w:rsidRPr="00FA5358">
        <w:rPr>
          <w:rFonts w:ascii="Book Antiqua" w:hAnsi="Book Antiqua"/>
          <w:color w:val="002060"/>
          <w:sz w:val="24"/>
          <w:szCs w:val="24"/>
        </w:rPr>
        <w:t>issued</w:t>
      </w:r>
      <w:proofErr w:type="gramEnd"/>
      <w:r w:rsidRPr="00FA5358">
        <w:rPr>
          <w:rFonts w:ascii="Book Antiqua" w:hAnsi="Book Antiqua"/>
          <w:color w:val="002060"/>
          <w:sz w:val="24"/>
          <w:szCs w:val="24"/>
        </w:rPr>
        <w:t xml:space="preserve"> and publish dated </w:t>
      </w:r>
      <w:r w:rsidR="00DF0DC1" w:rsidRPr="00FA5358">
        <w:rPr>
          <w:rFonts w:ascii="Book Antiqua" w:hAnsi="Book Antiqua"/>
          <w:color w:val="002060"/>
          <w:sz w:val="24"/>
          <w:szCs w:val="24"/>
        </w:rPr>
        <w:t>2</w:t>
      </w:r>
      <w:r w:rsidR="00856434">
        <w:rPr>
          <w:rFonts w:ascii="Book Antiqua" w:hAnsi="Book Antiqua"/>
          <w:color w:val="002060"/>
          <w:sz w:val="24"/>
          <w:szCs w:val="24"/>
        </w:rPr>
        <w:t>7</w:t>
      </w:r>
      <w:r w:rsidR="00856434" w:rsidRPr="00856434">
        <w:rPr>
          <w:rFonts w:ascii="Book Antiqua" w:hAnsi="Book Antiqua"/>
          <w:color w:val="002060"/>
          <w:sz w:val="24"/>
          <w:szCs w:val="24"/>
          <w:vertAlign w:val="superscript"/>
        </w:rPr>
        <w:t>th</w:t>
      </w:r>
      <w:r w:rsidR="00856434">
        <w:rPr>
          <w:rFonts w:ascii="Book Antiqua" w:hAnsi="Book Antiqua"/>
          <w:color w:val="002060"/>
          <w:sz w:val="24"/>
          <w:szCs w:val="24"/>
        </w:rPr>
        <w:t xml:space="preserve"> </w:t>
      </w:r>
      <w:r w:rsidR="0095337A" w:rsidRPr="00FA5358">
        <w:rPr>
          <w:rFonts w:ascii="Book Antiqua" w:hAnsi="Book Antiqua"/>
          <w:color w:val="002060"/>
          <w:sz w:val="24"/>
          <w:szCs w:val="24"/>
        </w:rPr>
        <w:t>April,</w:t>
      </w:r>
      <w:r w:rsidRPr="00FA5358">
        <w:rPr>
          <w:rFonts w:ascii="Book Antiqua" w:hAnsi="Book Antiqua"/>
          <w:color w:val="002060"/>
          <w:sz w:val="24"/>
          <w:szCs w:val="24"/>
        </w:rPr>
        <w:t xml:space="preserve"> 2020, has published </w:t>
      </w:r>
      <w:r w:rsidR="00856434" w:rsidRPr="00856434">
        <w:rPr>
          <w:rFonts w:ascii="Book Antiqua" w:hAnsi="Book Antiqua"/>
          <w:b/>
          <w:bCs/>
          <w:color w:val="002060"/>
          <w:sz w:val="28"/>
          <w:szCs w:val="28"/>
          <w:u w:val="single"/>
        </w:rPr>
        <w:t>SEBI reduces Broker turnover fees and filing fees for issuers</w:t>
      </w:r>
      <w:r w:rsidR="0095337A" w:rsidRPr="00FA5358">
        <w:rPr>
          <w:rFonts w:ascii="Book Antiqua" w:hAnsi="Book Antiqua"/>
          <w:b/>
          <w:bCs/>
          <w:color w:val="002060"/>
          <w:sz w:val="24"/>
          <w:szCs w:val="24"/>
        </w:rPr>
        <w:t>”</w:t>
      </w:r>
      <w:r w:rsidR="00BF3A37" w:rsidRPr="00FA5358">
        <w:rPr>
          <w:rFonts w:ascii="Book Antiqua" w:hAnsi="Book Antiqua"/>
          <w:b/>
          <w:bCs/>
          <w:caps/>
          <w:color w:val="002060"/>
          <w:sz w:val="24"/>
          <w:szCs w:val="24"/>
        </w:rPr>
        <w:t xml:space="preserve"> </w:t>
      </w:r>
    </w:p>
    <w:p w14:paraId="1B44D6EB" w14:textId="34B629E6" w:rsidR="00004CE5" w:rsidRPr="00004CE5" w:rsidRDefault="00004CE5" w:rsidP="00C25C67">
      <w:pPr>
        <w:jc w:val="both"/>
        <w:rPr>
          <w:rFonts w:ascii="Book Antiqua" w:hAnsi="Book Antiqua"/>
          <w:b/>
          <w:bCs/>
          <w:caps/>
          <w:color w:val="002060"/>
          <w:sz w:val="24"/>
          <w:szCs w:val="24"/>
          <w:u w:val="single"/>
        </w:rPr>
      </w:pPr>
      <w:r w:rsidRPr="00004CE5">
        <w:rPr>
          <w:rFonts w:ascii="Book Antiqua" w:hAnsi="Book Antiqua"/>
          <w:b/>
          <w:bCs/>
          <w:caps/>
          <w:color w:val="002060"/>
          <w:sz w:val="24"/>
          <w:szCs w:val="24"/>
          <w:u w:val="single"/>
        </w:rPr>
        <w:t>Key Highlights</w:t>
      </w:r>
    </w:p>
    <w:p w14:paraId="32489C00" w14:textId="77777777" w:rsidR="00FC3138" w:rsidRPr="00FC3138" w:rsidRDefault="00FC3138" w:rsidP="00FC3138">
      <w:pPr>
        <w:pStyle w:val="ListParagraph"/>
        <w:numPr>
          <w:ilvl w:val="0"/>
          <w:numId w:val="9"/>
        </w:numPr>
        <w:shd w:val="clear" w:color="auto" w:fill="FFFFFF"/>
        <w:spacing w:after="0" w:line="293" w:lineRule="atLeast"/>
        <w:jc w:val="both"/>
        <w:rPr>
          <w:rFonts w:ascii="Book Antiqua" w:eastAsia="Times New Roman" w:hAnsi="Book Antiqua" w:cs="Times New Roman"/>
          <w:color w:val="333333"/>
          <w:sz w:val="24"/>
          <w:szCs w:val="24"/>
        </w:rPr>
      </w:pPr>
      <w:r w:rsidRPr="00FC3138">
        <w:rPr>
          <w:rFonts w:ascii="Book Antiqua" w:eastAsia="Times New Roman" w:hAnsi="Book Antiqua" w:cs="Arial"/>
          <w:color w:val="333333"/>
          <w:sz w:val="24"/>
          <w:szCs w:val="24"/>
          <w:bdr w:val="none" w:sz="0" w:space="0" w:color="auto" w:frame="1"/>
        </w:rPr>
        <w:t>In its continuing efforts to help market participants to tide over challenges due to COVID 19, Securities and Exchange Board of India (SEBI) has decided to reduce broker turnover fees and filing fees on offer documents for Public issue, Rights issue and Buyback of shares.</w:t>
      </w:r>
    </w:p>
    <w:p w14:paraId="26957535" w14:textId="0E34D7AE" w:rsidR="00FC3138" w:rsidRPr="00FC3138" w:rsidRDefault="00FC3138" w:rsidP="00FC3138">
      <w:pPr>
        <w:shd w:val="clear" w:color="auto" w:fill="FFFFFF"/>
        <w:spacing w:after="0" w:line="293" w:lineRule="atLeast"/>
        <w:ind w:firstLine="75"/>
        <w:jc w:val="both"/>
        <w:rPr>
          <w:rFonts w:ascii="Book Antiqua" w:eastAsia="Times New Roman" w:hAnsi="Book Antiqua" w:cs="Times New Roman"/>
          <w:color w:val="333333"/>
          <w:sz w:val="24"/>
          <w:szCs w:val="24"/>
        </w:rPr>
      </w:pPr>
    </w:p>
    <w:p w14:paraId="4EBE377D" w14:textId="77777777" w:rsidR="00FC3138" w:rsidRPr="00FC3138" w:rsidRDefault="00FC3138" w:rsidP="00FC3138">
      <w:pPr>
        <w:pStyle w:val="ListParagraph"/>
        <w:numPr>
          <w:ilvl w:val="0"/>
          <w:numId w:val="9"/>
        </w:numPr>
        <w:shd w:val="clear" w:color="auto" w:fill="FFFFFF"/>
        <w:spacing w:after="0" w:line="293" w:lineRule="atLeast"/>
        <w:jc w:val="both"/>
        <w:rPr>
          <w:rFonts w:ascii="Book Antiqua" w:eastAsia="Times New Roman" w:hAnsi="Book Antiqua" w:cs="Times New Roman"/>
          <w:color w:val="333333"/>
          <w:sz w:val="24"/>
          <w:szCs w:val="24"/>
        </w:rPr>
      </w:pPr>
      <w:r w:rsidRPr="00FC3138">
        <w:rPr>
          <w:rFonts w:ascii="Book Antiqua" w:eastAsia="Times New Roman" w:hAnsi="Book Antiqua" w:cs="Arial"/>
          <w:color w:val="333333"/>
          <w:sz w:val="24"/>
          <w:szCs w:val="24"/>
          <w:bdr w:val="none" w:sz="0" w:space="0" w:color="auto" w:frame="1"/>
        </w:rPr>
        <w:t>The broker turnover fee will be reduced to 50% of the existing fee structure for the period June 2020 to March 2021. The benefit of the above reduction in fees will automatically be passed on to the investors as well.</w:t>
      </w:r>
    </w:p>
    <w:p w14:paraId="726389F4" w14:textId="54A8FF37" w:rsidR="00FC3138" w:rsidRPr="00FC3138" w:rsidRDefault="00FC3138" w:rsidP="00FC3138">
      <w:pPr>
        <w:shd w:val="clear" w:color="auto" w:fill="FFFFFF"/>
        <w:spacing w:after="0" w:line="293" w:lineRule="atLeast"/>
        <w:ind w:firstLine="60"/>
        <w:jc w:val="both"/>
        <w:rPr>
          <w:rFonts w:ascii="Book Antiqua" w:eastAsia="Times New Roman" w:hAnsi="Book Antiqua" w:cs="Times New Roman"/>
          <w:color w:val="333333"/>
          <w:sz w:val="24"/>
          <w:szCs w:val="24"/>
        </w:rPr>
      </w:pPr>
    </w:p>
    <w:p w14:paraId="6FB043C8" w14:textId="77777777" w:rsidR="00FC3138" w:rsidRPr="00FC3138" w:rsidRDefault="00FC3138" w:rsidP="00FC3138">
      <w:pPr>
        <w:pStyle w:val="ListParagraph"/>
        <w:numPr>
          <w:ilvl w:val="0"/>
          <w:numId w:val="9"/>
        </w:numPr>
        <w:shd w:val="clear" w:color="auto" w:fill="FFFFFF"/>
        <w:spacing w:after="0" w:line="293" w:lineRule="atLeast"/>
        <w:jc w:val="both"/>
        <w:rPr>
          <w:rFonts w:ascii="Book Antiqua" w:eastAsia="Times New Roman" w:hAnsi="Book Antiqua" w:cs="Times New Roman"/>
          <w:color w:val="333333"/>
          <w:sz w:val="24"/>
          <w:szCs w:val="24"/>
        </w:rPr>
      </w:pPr>
      <w:r w:rsidRPr="00FC3138">
        <w:rPr>
          <w:rFonts w:ascii="Book Antiqua" w:eastAsia="Times New Roman" w:hAnsi="Book Antiqua" w:cs="Arial"/>
          <w:color w:val="333333"/>
          <w:sz w:val="24"/>
          <w:szCs w:val="24"/>
          <w:bdr w:val="none" w:sz="0" w:space="0" w:color="auto" w:frame="1"/>
        </w:rPr>
        <w:t>Filing fees on offer documents for Public issue, Rights issue and Buyback of shares will be reduced to 50% of the existing fee structure. This will be effective for documents filed from June 1, 2020 to December 31, 2020.</w:t>
      </w:r>
    </w:p>
    <w:p w14:paraId="7429CC12" w14:textId="2F522A01" w:rsidR="00BF62CC" w:rsidRPr="00FA5358" w:rsidRDefault="00BF62CC" w:rsidP="00CD3202">
      <w:pPr>
        <w:tabs>
          <w:tab w:val="left" w:pos="2160"/>
        </w:tabs>
        <w:spacing w:after="0" w:line="240" w:lineRule="auto"/>
        <w:jc w:val="both"/>
        <w:rPr>
          <w:rFonts w:asciiTheme="majorHAnsi" w:hAnsiTheme="majorHAnsi" w:cs="Times New Roman"/>
          <w:b/>
          <w:bCs/>
          <w:color w:val="002060"/>
          <w:sz w:val="28"/>
          <w:szCs w:val="28"/>
          <w:highlight w:val="yellow"/>
        </w:rPr>
      </w:pPr>
    </w:p>
    <w:p w14:paraId="2E8C7F52" w14:textId="77777777" w:rsidR="00FA7B58" w:rsidRPr="00FA5358" w:rsidRDefault="00FA7B58" w:rsidP="00CD3202">
      <w:pPr>
        <w:tabs>
          <w:tab w:val="left" w:pos="2160"/>
        </w:tabs>
        <w:spacing w:after="0" w:line="240" w:lineRule="auto"/>
        <w:jc w:val="both"/>
        <w:rPr>
          <w:rFonts w:asciiTheme="majorHAnsi" w:hAnsiTheme="majorHAnsi" w:cs="Times New Roman"/>
          <w:b/>
          <w:bCs/>
          <w:color w:val="002060"/>
          <w:sz w:val="28"/>
          <w:szCs w:val="28"/>
          <w:highlight w:val="yellow"/>
        </w:rPr>
      </w:pPr>
    </w:p>
    <w:p w14:paraId="2BA04E3B" w14:textId="77777777" w:rsidR="00CD3202" w:rsidRPr="00FA5358" w:rsidRDefault="00CD3202" w:rsidP="00CD3202">
      <w:pPr>
        <w:tabs>
          <w:tab w:val="left" w:pos="2160"/>
        </w:tabs>
        <w:spacing w:after="0" w:line="240" w:lineRule="auto"/>
        <w:jc w:val="both"/>
        <w:rPr>
          <w:rFonts w:asciiTheme="majorHAnsi" w:hAnsiTheme="majorHAnsi" w:cs="Times New Roman"/>
          <w:b/>
          <w:bCs/>
          <w:color w:val="002060"/>
          <w:sz w:val="28"/>
          <w:szCs w:val="28"/>
        </w:rPr>
      </w:pPr>
      <w:r w:rsidRPr="00FA5358">
        <w:rPr>
          <w:rFonts w:asciiTheme="majorHAnsi" w:hAnsiTheme="majorHAnsi" w:cs="Times New Roman"/>
          <w:b/>
          <w:bCs/>
          <w:color w:val="002060"/>
          <w:sz w:val="28"/>
          <w:szCs w:val="28"/>
          <w:shd w:val="clear" w:color="auto" w:fill="FFC000"/>
        </w:rPr>
        <w:t>Source</w:t>
      </w:r>
      <w:r w:rsidRPr="00FA5358">
        <w:rPr>
          <w:rFonts w:asciiTheme="majorHAnsi" w:hAnsiTheme="majorHAnsi" w:cs="Times New Roman"/>
          <w:b/>
          <w:bCs/>
          <w:color w:val="002060"/>
          <w:sz w:val="28"/>
          <w:szCs w:val="28"/>
        </w:rPr>
        <w:t xml:space="preserve">: </w:t>
      </w:r>
    </w:p>
    <w:p w14:paraId="2E497EAB" w14:textId="4BAD79F6" w:rsidR="00DF0DC1" w:rsidRDefault="00697EF1" w:rsidP="00CD3202">
      <w:pPr>
        <w:spacing w:after="0" w:line="240" w:lineRule="auto"/>
        <w:jc w:val="both"/>
      </w:pPr>
      <w:hyperlink r:id="rId7" w:history="1">
        <w:r w:rsidRPr="00695BBB">
          <w:rPr>
            <w:rStyle w:val="Hyperlink"/>
          </w:rPr>
          <w:t>https://www.sebi.gov.in/media/press-releases/apr-2020/sebi-reduces-broker-turnover-fees-and-filing-fees-for-issuers_46571.html</w:t>
        </w:r>
      </w:hyperlink>
      <w:r>
        <w:t xml:space="preserve"> </w:t>
      </w:r>
    </w:p>
    <w:p w14:paraId="592C9D4B" w14:textId="77777777" w:rsidR="00697EF1" w:rsidRPr="00FA5358" w:rsidRDefault="00697EF1" w:rsidP="00CD3202">
      <w:pPr>
        <w:spacing w:after="0" w:line="240" w:lineRule="auto"/>
        <w:jc w:val="both"/>
        <w:rPr>
          <w:color w:val="002060"/>
        </w:rPr>
      </w:pPr>
    </w:p>
    <w:p w14:paraId="7CD3FED4" w14:textId="77777777" w:rsidR="00CD3202" w:rsidRPr="00FA5358" w:rsidRDefault="00CD3202" w:rsidP="00CD3202">
      <w:pPr>
        <w:spacing w:after="0" w:line="240" w:lineRule="auto"/>
        <w:jc w:val="both"/>
        <w:rPr>
          <w:rFonts w:ascii="Georgia" w:eastAsia="Times New Roman" w:hAnsi="Georgia" w:cs="Times New Roman"/>
          <w:color w:val="002060"/>
          <w:sz w:val="23"/>
          <w:szCs w:val="23"/>
        </w:rPr>
      </w:pPr>
      <w:r w:rsidRPr="00FA5358">
        <w:rPr>
          <w:rFonts w:ascii="Cambria" w:eastAsia="Times New Roman" w:hAnsi="Cambria" w:cs="Times New Roman"/>
          <w:b/>
          <w:bCs/>
          <w:color w:val="002060"/>
          <w:sz w:val="28"/>
          <w:szCs w:val="28"/>
        </w:rPr>
        <w:t>Disclaimer:</w:t>
      </w:r>
    </w:p>
    <w:p w14:paraId="6BE3F616" w14:textId="77777777" w:rsidR="00CD3202" w:rsidRPr="00FA5358" w:rsidRDefault="00CD3202" w:rsidP="00CD3202">
      <w:pPr>
        <w:spacing w:after="0" w:line="240" w:lineRule="auto"/>
        <w:jc w:val="both"/>
        <w:rPr>
          <w:rFonts w:ascii="Cambria" w:eastAsia="Times New Roman" w:hAnsi="Cambria" w:cs="Times New Roman"/>
          <w:color w:val="002060"/>
          <w:sz w:val="20"/>
          <w:szCs w:val="20"/>
        </w:rPr>
      </w:pPr>
      <w:r w:rsidRPr="00FA5358">
        <w:rPr>
          <w:rFonts w:ascii="Cambria" w:eastAsia="Times New Roman" w:hAnsi="Cambria" w:cs="Times New Roman"/>
          <w:color w:val="002060"/>
          <w:sz w:val="20"/>
          <w:szCs w:val="20"/>
        </w:rPr>
        <w:t>IN NO EVENT THE AUTHOR SHALL BE LIABLE FOR ANY DIRECT, INDIRECT, SPECIAL OR INCIDENTAL DAMAGE RESULTING FROM OR ARISING OUT OF OR IN CONNECTION WITH THE USE OF THIS INFORMATION.</w:t>
      </w:r>
    </w:p>
    <w:sectPr w:rsidR="00CD3202" w:rsidRPr="00FA5358" w:rsidSect="008B3C1D">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4140" w14:textId="77777777" w:rsidR="00C22AB1" w:rsidRDefault="00C22AB1" w:rsidP="00880398">
      <w:pPr>
        <w:spacing w:after="0" w:line="240" w:lineRule="auto"/>
      </w:pPr>
      <w:r>
        <w:separator/>
      </w:r>
    </w:p>
  </w:endnote>
  <w:endnote w:type="continuationSeparator" w:id="0">
    <w:p w14:paraId="489F35E4" w14:textId="77777777" w:rsidR="00C22AB1" w:rsidRDefault="00C22AB1" w:rsidP="0088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51AA2" w14:textId="77777777" w:rsidR="00C22AB1" w:rsidRDefault="00C22AB1" w:rsidP="00880398">
      <w:pPr>
        <w:spacing w:after="0" w:line="240" w:lineRule="auto"/>
      </w:pPr>
      <w:r>
        <w:separator/>
      </w:r>
    </w:p>
  </w:footnote>
  <w:footnote w:type="continuationSeparator" w:id="0">
    <w:p w14:paraId="0E3393D3" w14:textId="77777777" w:rsidR="00C22AB1" w:rsidRDefault="00C22AB1" w:rsidP="00880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4CE8"/>
    <w:multiLevelType w:val="hybridMultilevel"/>
    <w:tmpl w:val="B4AE0456"/>
    <w:lvl w:ilvl="0" w:tplc="99FE3258">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7FE0"/>
    <w:multiLevelType w:val="hybridMultilevel"/>
    <w:tmpl w:val="C116084A"/>
    <w:lvl w:ilvl="0" w:tplc="66A8B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D4B6D"/>
    <w:multiLevelType w:val="hybridMultilevel"/>
    <w:tmpl w:val="C4D60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F6085"/>
    <w:multiLevelType w:val="hybridMultilevel"/>
    <w:tmpl w:val="1870D5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C6518"/>
    <w:multiLevelType w:val="hybridMultilevel"/>
    <w:tmpl w:val="201405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2A554FE"/>
    <w:multiLevelType w:val="hybridMultilevel"/>
    <w:tmpl w:val="549AF38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21BA7"/>
    <w:multiLevelType w:val="hybridMultilevel"/>
    <w:tmpl w:val="098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A62F7"/>
    <w:multiLevelType w:val="hybridMultilevel"/>
    <w:tmpl w:val="70CA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97C63"/>
    <w:multiLevelType w:val="hybridMultilevel"/>
    <w:tmpl w:val="67965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2BF4"/>
    <w:multiLevelType w:val="hybridMultilevel"/>
    <w:tmpl w:val="BA4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A092F"/>
    <w:multiLevelType w:val="hybridMultilevel"/>
    <w:tmpl w:val="07D019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5DB4C2E"/>
    <w:multiLevelType w:val="hybridMultilevel"/>
    <w:tmpl w:val="CBFE7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52811"/>
    <w:multiLevelType w:val="hybridMultilevel"/>
    <w:tmpl w:val="9426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61B5B"/>
    <w:multiLevelType w:val="hybridMultilevel"/>
    <w:tmpl w:val="5852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B0A96"/>
    <w:multiLevelType w:val="hybridMultilevel"/>
    <w:tmpl w:val="DF64B560"/>
    <w:lvl w:ilvl="0" w:tplc="93B29522">
      <w:start w:val="1"/>
      <w:numFmt w:val="lowerLetter"/>
      <w:lvlText w:val="%1)"/>
      <w:lvlJc w:val="left"/>
      <w:pPr>
        <w:ind w:left="720" w:hanging="360"/>
      </w:pPr>
      <w:rPr>
        <w:rFonts w:ascii="Times New Roman" w:hAnsi="Times New Roman" w:cs="Times New Roman"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A58AC"/>
    <w:multiLevelType w:val="hybridMultilevel"/>
    <w:tmpl w:val="117031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540F9"/>
    <w:multiLevelType w:val="hybridMultilevel"/>
    <w:tmpl w:val="B46413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DD73F0"/>
    <w:multiLevelType w:val="hybridMultilevel"/>
    <w:tmpl w:val="D33AF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C3257"/>
    <w:multiLevelType w:val="multilevel"/>
    <w:tmpl w:val="F508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F0094"/>
    <w:multiLevelType w:val="hybridMultilevel"/>
    <w:tmpl w:val="B0E27A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A358F"/>
    <w:multiLevelType w:val="hybridMultilevel"/>
    <w:tmpl w:val="8FC643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64304"/>
    <w:multiLevelType w:val="hybridMultilevel"/>
    <w:tmpl w:val="67D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05682"/>
    <w:multiLevelType w:val="hybridMultilevel"/>
    <w:tmpl w:val="145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56361"/>
    <w:multiLevelType w:val="hybridMultilevel"/>
    <w:tmpl w:val="7DDE38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FB514B3"/>
    <w:multiLevelType w:val="multilevel"/>
    <w:tmpl w:val="3702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21"/>
  </w:num>
  <w:num w:numId="4">
    <w:abstractNumId w:val="6"/>
  </w:num>
  <w:num w:numId="5">
    <w:abstractNumId w:val="13"/>
  </w:num>
  <w:num w:numId="6">
    <w:abstractNumId w:val="11"/>
  </w:num>
  <w:num w:numId="7">
    <w:abstractNumId w:val="19"/>
  </w:num>
  <w:num w:numId="8">
    <w:abstractNumId w:val="14"/>
  </w:num>
  <w:num w:numId="9">
    <w:abstractNumId w:val="20"/>
  </w:num>
  <w:num w:numId="10">
    <w:abstractNumId w:val="15"/>
  </w:num>
  <w:num w:numId="11">
    <w:abstractNumId w:val="3"/>
  </w:num>
  <w:num w:numId="12">
    <w:abstractNumId w:val="5"/>
  </w:num>
  <w:num w:numId="13">
    <w:abstractNumId w:val="1"/>
  </w:num>
  <w:num w:numId="14">
    <w:abstractNumId w:val="16"/>
  </w:num>
  <w:num w:numId="15">
    <w:abstractNumId w:val="7"/>
  </w:num>
  <w:num w:numId="16">
    <w:abstractNumId w:val="0"/>
  </w:num>
  <w:num w:numId="17">
    <w:abstractNumId w:val="17"/>
  </w:num>
  <w:num w:numId="18">
    <w:abstractNumId w:val="9"/>
  </w:num>
  <w:num w:numId="19">
    <w:abstractNumId w:val="2"/>
  </w:num>
  <w:num w:numId="20">
    <w:abstractNumId w:val="22"/>
  </w:num>
  <w:num w:numId="21">
    <w:abstractNumId w:val="8"/>
  </w:num>
  <w:num w:numId="22">
    <w:abstractNumId w:val="12"/>
  </w:num>
  <w:num w:numId="23">
    <w:abstractNumId w:val="23"/>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0"/>
    <w:rsid w:val="00001D30"/>
    <w:rsid w:val="00004CE5"/>
    <w:rsid w:val="0000691C"/>
    <w:rsid w:val="00056D6C"/>
    <w:rsid w:val="00060175"/>
    <w:rsid w:val="00061152"/>
    <w:rsid w:val="00072D6E"/>
    <w:rsid w:val="00080C44"/>
    <w:rsid w:val="000941DB"/>
    <w:rsid w:val="000A41EF"/>
    <w:rsid w:val="000C6ED0"/>
    <w:rsid w:val="00110FC1"/>
    <w:rsid w:val="00136718"/>
    <w:rsid w:val="0015285F"/>
    <w:rsid w:val="0016720F"/>
    <w:rsid w:val="00172A82"/>
    <w:rsid w:val="001732F3"/>
    <w:rsid w:val="00177084"/>
    <w:rsid w:val="0018189F"/>
    <w:rsid w:val="00182C3E"/>
    <w:rsid w:val="001D0A66"/>
    <w:rsid w:val="001D3FA2"/>
    <w:rsid w:val="001D4880"/>
    <w:rsid w:val="001D6987"/>
    <w:rsid w:val="001F198E"/>
    <w:rsid w:val="00224C3B"/>
    <w:rsid w:val="00253227"/>
    <w:rsid w:val="00255C3E"/>
    <w:rsid w:val="00277657"/>
    <w:rsid w:val="002B612F"/>
    <w:rsid w:val="002C531A"/>
    <w:rsid w:val="002E4DB4"/>
    <w:rsid w:val="002F2D87"/>
    <w:rsid w:val="00350A33"/>
    <w:rsid w:val="00385B48"/>
    <w:rsid w:val="003A6373"/>
    <w:rsid w:val="003C043A"/>
    <w:rsid w:val="003D3FF8"/>
    <w:rsid w:val="00410962"/>
    <w:rsid w:val="00413D73"/>
    <w:rsid w:val="00434D8E"/>
    <w:rsid w:val="004360CA"/>
    <w:rsid w:val="004371C1"/>
    <w:rsid w:val="00460258"/>
    <w:rsid w:val="00474325"/>
    <w:rsid w:val="00474988"/>
    <w:rsid w:val="004773D0"/>
    <w:rsid w:val="00490D0F"/>
    <w:rsid w:val="004A1E0D"/>
    <w:rsid w:val="00504B17"/>
    <w:rsid w:val="00506EBF"/>
    <w:rsid w:val="0058059E"/>
    <w:rsid w:val="00585E89"/>
    <w:rsid w:val="005A7F2C"/>
    <w:rsid w:val="005D60ED"/>
    <w:rsid w:val="005E270B"/>
    <w:rsid w:val="005F3C7E"/>
    <w:rsid w:val="00604BBB"/>
    <w:rsid w:val="0063229B"/>
    <w:rsid w:val="006429F8"/>
    <w:rsid w:val="0067414C"/>
    <w:rsid w:val="006910D8"/>
    <w:rsid w:val="00695A45"/>
    <w:rsid w:val="00697EF1"/>
    <w:rsid w:val="006C034B"/>
    <w:rsid w:val="006D49DF"/>
    <w:rsid w:val="006E3C41"/>
    <w:rsid w:val="006F475F"/>
    <w:rsid w:val="00707352"/>
    <w:rsid w:val="0072322D"/>
    <w:rsid w:val="0073614E"/>
    <w:rsid w:val="00772B62"/>
    <w:rsid w:val="0077444A"/>
    <w:rsid w:val="0077540F"/>
    <w:rsid w:val="00780665"/>
    <w:rsid w:val="00785C28"/>
    <w:rsid w:val="007B753E"/>
    <w:rsid w:val="007C44B4"/>
    <w:rsid w:val="007C643B"/>
    <w:rsid w:val="007F340B"/>
    <w:rsid w:val="00806B95"/>
    <w:rsid w:val="008232E5"/>
    <w:rsid w:val="00827F7D"/>
    <w:rsid w:val="00841572"/>
    <w:rsid w:val="00856434"/>
    <w:rsid w:val="00861CFE"/>
    <w:rsid w:val="00871F6F"/>
    <w:rsid w:val="00873541"/>
    <w:rsid w:val="00880398"/>
    <w:rsid w:val="0088725C"/>
    <w:rsid w:val="008B2F63"/>
    <w:rsid w:val="008B3C1D"/>
    <w:rsid w:val="008E2FDA"/>
    <w:rsid w:val="008F3D2F"/>
    <w:rsid w:val="00902B61"/>
    <w:rsid w:val="009245D7"/>
    <w:rsid w:val="0095337A"/>
    <w:rsid w:val="00986C49"/>
    <w:rsid w:val="009A0B32"/>
    <w:rsid w:val="009A4C7C"/>
    <w:rsid w:val="009A5BC5"/>
    <w:rsid w:val="009B7E9F"/>
    <w:rsid w:val="009E3E14"/>
    <w:rsid w:val="00A166AC"/>
    <w:rsid w:val="00A63412"/>
    <w:rsid w:val="00A92810"/>
    <w:rsid w:val="00AA7AEA"/>
    <w:rsid w:val="00AB53B0"/>
    <w:rsid w:val="00B13FAA"/>
    <w:rsid w:val="00B24ED3"/>
    <w:rsid w:val="00B333F5"/>
    <w:rsid w:val="00B4408B"/>
    <w:rsid w:val="00B53DCE"/>
    <w:rsid w:val="00B72FFE"/>
    <w:rsid w:val="00B81FDA"/>
    <w:rsid w:val="00BA600F"/>
    <w:rsid w:val="00BE2C40"/>
    <w:rsid w:val="00BF3A37"/>
    <w:rsid w:val="00BF62CC"/>
    <w:rsid w:val="00C22AB1"/>
    <w:rsid w:val="00C25C67"/>
    <w:rsid w:val="00C31F4E"/>
    <w:rsid w:val="00C4722A"/>
    <w:rsid w:val="00C5023B"/>
    <w:rsid w:val="00C8649C"/>
    <w:rsid w:val="00CB3EBE"/>
    <w:rsid w:val="00CC4127"/>
    <w:rsid w:val="00CC7079"/>
    <w:rsid w:val="00CC7788"/>
    <w:rsid w:val="00CD3202"/>
    <w:rsid w:val="00CD5A2E"/>
    <w:rsid w:val="00CF294F"/>
    <w:rsid w:val="00CF50DA"/>
    <w:rsid w:val="00D21AD0"/>
    <w:rsid w:val="00D458DA"/>
    <w:rsid w:val="00D47105"/>
    <w:rsid w:val="00D56C23"/>
    <w:rsid w:val="00D6045A"/>
    <w:rsid w:val="00D61E72"/>
    <w:rsid w:val="00D93D91"/>
    <w:rsid w:val="00DA0C35"/>
    <w:rsid w:val="00DA49FF"/>
    <w:rsid w:val="00DD07BE"/>
    <w:rsid w:val="00DD5173"/>
    <w:rsid w:val="00DE2842"/>
    <w:rsid w:val="00DF0DC1"/>
    <w:rsid w:val="00DF4AA6"/>
    <w:rsid w:val="00E61E71"/>
    <w:rsid w:val="00E950FE"/>
    <w:rsid w:val="00E97E52"/>
    <w:rsid w:val="00EC6470"/>
    <w:rsid w:val="00ED2E3B"/>
    <w:rsid w:val="00EF5E3D"/>
    <w:rsid w:val="00F0153F"/>
    <w:rsid w:val="00F07D62"/>
    <w:rsid w:val="00F14F2B"/>
    <w:rsid w:val="00F26ADC"/>
    <w:rsid w:val="00F42899"/>
    <w:rsid w:val="00F43563"/>
    <w:rsid w:val="00F46DAD"/>
    <w:rsid w:val="00F51460"/>
    <w:rsid w:val="00F67E49"/>
    <w:rsid w:val="00F832F9"/>
    <w:rsid w:val="00FA5358"/>
    <w:rsid w:val="00FA7B58"/>
    <w:rsid w:val="00FB6AE4"/>
    <w:rsid w:val="00FB7F7A"/>
    <w:rsid w:val="00FC3138"/>
    <w:rsid w:val="00FD3EA0"/>
    <w:rsid w:val="00FD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CE7A"/>
  <w15:docId w15:val="{3A7E34F1-CB25-456D-9B4C-14FC0034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7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B48"/>
    <w:rPr>
      <w:b/>
      <w:bCs/>
    </w:rPr>
  </w:style>
  <w:style w:type="paragraph" w:styleId="ListParagraph">
    <w:name w:val="List Paragraph"/>
    <w:basedOn w:val="Normal"/>
    <w:uiPriority w:val="34"/>
    <w:qFormat/>
    <w:rsid w:val="00001D30"/>
    <w:pPr>
      <w:ind w:left="720"/>
      <w:contextualSpacing/>
    </w:pPr>
  </w:style>
  <w:style w:type="paragraph" w:styleId="Header">
    <w:name w:val="header"/>
    <w:basedOn w:val="Normal"/>
    <w:link w:val="HeaderChar"/>
    <w:uiPriority w:val="99"/>
    <w:unhideWhenUsed/>
    <w:rsid w:val="0088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98"/>
  </w:style>
  <w:style w:type="paragraph" w:styleId="Footer">
    <w:name w:val="footer"/>
    <w:basedOn w:val="Normal"/>
    <w:link w:val="FooterChar"/>
    <w:uiPriority w:val="99"/>
    <w:unhideWhenUsed/>
    <w:rsid w:val="0088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98"/>
  </w:style>
  <w:style w:type="paragraph" w:styleId="NoSpacing">
    <w:name w:val="No Spacing"/>
    <w:uiPriority w:val="1"/>
    <w:qFormat/>
    <w:rsid w:val="00490D0F"/>
    <w:pPr>
      <w:spacing w:after="0" w:line="240" w:lineRule="auto"/>
    </w:pPr>
  </w:style>
  <w:style w:type="character" w:styleId="Hyperlink">
    <w:name w:val="Hyperlink"/>
    <w:basedOn w:val="DefaultParagraphFont"/>
    <w:uiPriority w:val="99"/>
    <w:unhideWhenUsed/>
    <w:rsid w:val="00B4408B"/>
    <w:rPr>
      <w:color w:val="0000FF" w:themeColor="hyperlink"/>
      <w:u w:val="single"/>
    </w:rPr>
  </w:style>
  <w:style w:type="table" w:styleId="TableGrid">
    <w:name w:val="Table Grid"/>
    <w:basedOn w:val="TableNormal"/>
    <w:uiPriority w:val="59"/>
    <w:rsid w:val="00E9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7F7A"/>
    <w:rPr>
      <w:color w:val="605E5C"/>
      <w:shd w:val="clear" w:color="auto" w:fill="E1DFDD"/>
    </w:rPr>
  </w:style>
  <w:style w:type="paragraph" w:customStyle="1" w:styleId="Default">
    <w:name w:val="Default"/>
    <w:rsid w:val="00B333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2933">
      <w:bodyDiv w:val="1"/>
      <w:marLeft w:val="0"/>
      <w:marRight w:val="0"/>
      <w:marTop w:val="0"/>
      <w:marBottom w:val="0"/>
      <w:divBdr>
        <w:top w:val="none" w:sz="0" w:space="0" w:color="auto"/>
        <w:left w:val="none" w:sz="0" w:space="0" w:color="auto"/>
        <w:bottom w:val="none" w:sz="0" w:space="0" w:color="auto"/>
        <w:right w:val="none" w:sz="0" w:space="0" w:color="auto"/>
      </w:divBdr>
    </w:div>
    <w:div w:id="441844223">
      <w:bodyDiv w:val="1"/>
      <w:marLeft w:val="0"/>
      <w:marRight w:val="0"/>
      <w:marTop w:val="0"/>
      <w:marBottom w:val="0"/>
      <w:divBdr>
        <w:top w:val="none" w:sz="0" w:space="0" w:color="auto"/>
        <w:left w:val="none" w:sz="0" w:space="0" w:color="auto"/>
        <w:bottom w:val="none" w:sz="0" w:space="0" w:color="auto"/>
        <w:right w:val="none" w:sz="0" w:space="0" w:color="auto"/>
      </w:divBdr>
      <w:divsChild>
        <w:div w:id="731658377">
          <w:marLeft w:val="0"/>
          <w:marRight w:val="991"/>
          <w:marTop w:val="0"/>
          <w:marBottom w:val="0"/>
          <w:divBdr>
            <w:top w:val="none" w:sz="0" w:space="0" w:color="auto"/>
            <w:left w:val="none" w:sz="0" w:space="0" w:color="auto"/>
            <w:bottom w:val="none" w:sz="0" w:space="0" w:color="auto"/>
            <w:right w:val="none" w:sz="0" w:space="0" w:color="auto"/>
          </w:divBdr>
        </w:div>
        <w:div w:id="1978367999">
          <w:marLeft w:val="0"/>
          <w:marRight w:val="991"/>
          <w:marTop w:val="0"/>
          <w:marBottom w:val="0"/>
          <w:divBdr>
            <w:top w:val="none" w:sz="0" w:space="0" w:color="auto"/>
            <w:left w:val="none" w:sz="0" w:space="0" w:color="auto"/>
            <w:bottom w:val="none" w:sz="0" w:space="0" w:color="auto"/>
            <w:right w:val="none" w:sz="0" w:space="0" w:color="auto"/>
          </w:divBdr>
        </w:div>
      </w:divsChild>
    </w:div>
    <w:div w:id="1778593848">
      <w:bodyDiv w:val="1"/>
      <w:marLeft w:val="0"/>
      <w:marRight w:val="0"/>
      <w:marTop w:val="0"/>
      <w:marBottom w:val="0"/>
      <w:divBdr>
        <w:top w:val="none" w:sz="0" w:space="0" w:color="auto"/>
        <w:left w:val="none" w:sz="0" w:space="0" w:color="auto"/>
        <w:bottom w:val="none" w:sz="0" w:space="0" w:color="auto"/>
        <w:right w:val="none" w:sz="0" w:space="0" w:color="auto"/>
      </w:divBdr>
    </w:div>
    <w:div w:id="2056853412">
      <w:bodyDiv w:val="1"/>
      <w:marLeft w:val="0"/>
      <w:marRight w:val="0"/>
      <w:marTop w:val="0"/>
      <w:marBottom w:val="0"/>
      <w:divBdr>
        <w:top w:val="none" w:sz="0" w:space="0" w:color="auto"/>
        <w:left w:val="none" w:sz="0" w:space="0" w:color="auto"/>
        <w:bottom w:val="none" w:sz="0" w:space="0" w:color="auto"/>
        <w:right w:val="none" w:sz="0" w:space="0" w:color="auto"/>
      </w:divBdr>
    </w:div>
    <w:div w:id="20614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bi.gov.in/media/press-releases/apr-2020/sebi-reduces-broker-turnover-fees-and-filing-fees-for-issuers_465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Home</cp:lastModifiedBy>
  <cp:revision>107</cp:revision>
  <dcterms:created xsi:type="dcterms:W3CDTF">2020-01-24T17:23:00Z</dcterms:created>
  <dcterms:modified xsi:type="dcterms:W3CDTF">2020-04-27T13:56:00Z</dcterms:modified>
</cp:coreProperties>
</file>