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EE1D9"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32"/>
          <w:szCs w:val="32"/>
          <w:u w:val="single"/>
        </w:rPr>
      </w:pPr>
      <w:r>
        <w:rPr>
          <w:rFonts w:ascii="Times New Roman" w:eastAsia="Times New Roman" w:hAnsi="Times New Roman" w:cs="Times New Roman"/>
          <w:b/>
          <w:i/>
          <w:color w:val="000000"/>
          <w:sz w:val="32"/>
          <w:szCs w:val="32"/>
          <w:u w:val="single"/>
        </w:rPr>
        <w:t>FASTRACK MERGER</w:t>
      </w:r>
    </w:p>
    <w:p w14:paraId="3E40C56B" w14:textId="77777777" w:rsidR="0063137E" w:rsidRDefault="0063137E">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32"/>
          <w:szCs w:val="32"/>
          <w:u w:val="single"/>
        </w:rPr>
      </w:pPr>
      <w:bookmarkStart w:id="0" w:name="_GoBack"/>
      <w:bookmarkEnd w:id="0"/>
    </w:p>
    <w:tbl>
      <w:tblPr>
        <w:tblStyle w:val="a"/>
        <w:tblW w:w="101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6"/>
        <w:gridCol w:w="5246"/>
        <w:gridCol w:w="2551"/>
      </w:tblGrid>
      <w:tr w:rsidR="0063137E" w14:paraId="2815BB35" w14:textId="77777777">
        <w:tc>
          <w:tcPr>
            <w:tcW w:w="2376" w:type="dxa"/>
            <w:shd w:val="clear" w:color="auto" w:fill="auto"/>
            <w:tcMar>
              <w:top w:w="0" w:type="dxa"/>
              <w:left w:w="108" w:type="dxa"/>
              <w:bottom w:w="0" w:type="dxa"/>
              <w:right w:w="108" w:type="dxa"/>
            </w:tcMar>
          </w:tcPr>
          <w:p w14:paraId="55E27881"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Points</w:t>
            </w:r>
          </w:p>
        </w:tc>
        <w:tc>
          <w:tcPr>
            <w:tcW w:w="5245" w:type="dxa"/>
            <w:shd w:val="clear" w:color="auto" w:fill="auto"/>
            <w:tcMar>
              <w:top w:w="0" w:type="dxa"/>
              <w:left w:w="108" w:type="dxa"/>
              <w:bottom w:w="0" w:type="dxa"/>
              <w:right w:w="108" w:type="dxa"/>
            </w:tcMar>
          </w:tcPr>
          <w:p w14:paraId="6C35D683"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Particulars</w:t>
            </w:r>
          </w:p>
        </w:tc>
        <w:tc>
          <w:tcPr>
            <w:tcW w:w="2551" w:type="dxa"/>
            <w:shd w:val="clear" w:color="auto" w:fill="auto"/>
            <w:tcMar>
              <w:top w:w="0" w:type="dxa"/>
              <w:left w:w="108" w:type="dxa"/>
              <w:bottom w:w="0" w:type="dxa"/>
              <w:right w:w="108" w:type="dxa"/>
            </w:tcMar>
          </w:tcPr>
          <w:p w14:paraId="68733DC6"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Forms and Time lines</w:t>
            </w:r>
          </w:p>
        </w:tc>
      </w:tr>
      <w:tr w:rsidR="0063137E" w14:paraId="12C4E7C9" w14:textId="77777777">
        <w:tc>
          <w:tcPr>
            <w:tcW w:w="2376" w:type="dxa"/>
            <w:shd w:val="clear" w:color="auto" w:fill="auto"/>
            <w:tcMar>
              <w:top w:w="0" w:type="dxa"/>
              <w:left w:w="108" w:type="dxa"/>
              <w:bottom w:w="0" w:type="dxa"/>
              <w:right w:w="108" w:type="dxa"/>
            </w:tcMar>
          </w:tcPr>
          <w:p w14:paraId="64BBB7C5" w14:textId="77777777" w:rsidR="0063137E" w:rsidRDefault="0052038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Sections Applicable</w:t>
            </w:r>
          </w:p>
        </w:tc>
        <w:tc>
          <w:tcPr>
            <w:tcW w:w="5245" w:type="dxa"/>
            <w:shd w:val="clear" w:color="auto" w:fill="auto"/>
            <w:tcMar>
              <w:top w:w="0" w:type="dxa"/>
              <w:left w:w="108" w:type="dxa"/>
              <w:bottom w:w="0" w:type="dxa"/>
              <w:right w:w="108" w:type="dxa"/>
            </w:tcMar>
          </w:tcPr>
          <w:p w14:paraId="1085E067"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 of Companies Act, 2013 and Rule 25 of Companies (Compromises, Arrangements and Amalgamations) Rules, 2016</w:t>
            </w:r>
          </w:p>
        </w:tc>
        <w:tc>
          <w:tcPr>
            <w:tcW w:w="2551" w:type="dxa"/>
            <w:shd w:val="clear" w:color="auto" w:fill="auto"/>
            <w:tcMar>
              <w:top w:w="0" w:type="dxa"/>
              <w:left w:w="108" w:type="dxa"/>
              <w:bottom w:w="0" w:type="dxa"/>
              <w:right w:w="108" w:type="dxa"/>
            </w:tcMar>
          </w:tcPr>
          <w:p w14:paraId="7AFE8F1B"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63137E" w14:paraId="5C2A38F6" w14:textId="77777777">
        <w:tc>
          <w:tcPr>
            <w:tcW w:w="2376" w:type="dxa"/>
            <w:shd w:val="clear" w:color="auto" w:fill="auto"/>
            <w:tcMar>
              <w:top w:w="0" w:type="dxa"/>
              <w:left w:w="108" w:type="dxa"/>
              <w:bottom w:w="0" w:type="dxa"/>
              <w:right w:w="108" w:type="dxa"/>
            </w:tcMar>
          </w:tcPr>
          <w:p w14:paraId="26FCCFEE" w14:textId="77777777" w:rsidR="0063137E" w:rsidRDefault="0052038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Authorities</w:t>
            </w:r>
          </w:p>
        </w:tc>
        <w:tc>
          <w:tcPr>
            <w:tcW w:w="5245" w:type="dxa"/>
            <w:shd w:val="clear" w:color="auto" w:fill="auto"/>
            <w:tcMar>
              <w:top w:w="0" w:type="dxa"/>
              <w:left w:w="108" w:type="dxa"/>
              <w:bottom w:w="0" w:type="dxa"/>
              <w:right w:w="108" w:type="dxa"/>
            </w:tcMar>
          </w:tcPr>
          <w:p w14:paraId="4BC1A2FE"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Regional Directors, Registrar of Companies (</w:t>
            </w:r>
            <w:proofErr w:type="spellStart"/>
            <w:r>
              <w:rPr>
                <w:rFonts w:ascii="Times New Roman" w:eastAsia="Times New Roman" w:hAnsi="Times New Roman" w:cs="Times New Roman"/>
                <w:color w:val="000000"/>
                <w:sz w:val="24"/>
                <w:szCs w:val="24"/>
              </w:rPr>
              <w:t>RoC</w:t>
            </w:r>
            <w:proofErr w:type="spellEnd"/>
            <w:r>
              <w:rPr>
                <w:rFonts w:ascii="Times New Roman" w:eastAsia="Times New Roman" w:hAnsi="Times New Roman" w:cs="Times New Roman"/>
                <w:color w:val="000000"/>
                <w:sz w:val="24"/>
                <w:szCs w:val="24"/>
              </w:rPr>
              <w:t>) and Official Liquidator</w:t>
            </w:r>
          </w:p>
        </w:tc>
        <w:tc>
          <w:tcPr>
            <w:tcW w:w="2551" w:type="dxa"/>
            <w:shd w:val="clear" w:color="auto" w:fill="auto"/>
            <w:tcMar>
              <w:top w:w="0" w:type="dxa"/>
              <w:left w:w="108" w:type="dxa"/>
              <w:bottom w:w="0" w:type="dxa"/>
              <w:right w:w="108" w:type="dxa"/>
            </w:tcMar>
          </w:tcPr>
          <w:p w14:paraId="5E96D9B1"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63137E" w14:paraId="317257C1" w14:textId="77777777">
        <w:tc>
          <w:tcPr>
            <w:tcW w:w="2376" w:type="dxa"/>
            <w:shd w:val="clear" w:color="auto" w:fill="auto"/>
            <w:tcMar>
              <w:top w:w="0" w:type="dxa"/>
              <w:left w:w="108" w:type="dxa"/>
              <w:bottom w:w="0" w:type="dxa"/>
              <w:right w:w="108" w:type="dxa"/>
            </w:tcMar>
          </w:tcPr>
          <w:p w14:paraId="5AD81127" w14:textId="77777777" w:rsidR="0063137E" w:rsidRDefault="0052038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Applicability </w:t>
            </w:r>
          </w:p>
        </w:tc>
        <w:tc>
          <w:tcPr>
            <w:tcW w:w="5245" w:type="dxa"/>
            <w:shd w:val="clear" w:color="auto" w:fill="auto"/>
            <w:tcMar>
              <w:top w:w="0" w:type="dxa"/>
              <w:left w:w="108" w:type="dxa"/>
              <w:bottom w:w="0" w:type="dxa"/>
              <w:right w:w="108" w:type="dxa"/>
            </w:tcMar>
          </w:tcPr>
          <w:p w14:paraId="2E16F291"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Mergers between “Small Company” under Section 2(85) of the Companies Act, 2013 and Holding Subsidiary Companies.</w:t>
            </w:r>
          </w:p>
          <w:p w14:paraId="41645FA5" w14:textId="77777777" w:rsidR="0063137E" w:rsidRDefault="0063137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2B614E8"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Small company means company other than Public Company-</w:t>
            </w:r>
          </w:p>
          <w:p w14:paraId="5E4CEB8F" w14:textId="77777777" w:rsidR="0063137E" w:rsidRDefault="00520385">
            <w:pPr>
              <w:numPr>
                <w:ilvl w:val="0"/>
                <w:numId w:val="1"/>
              </w:numPr>
              <w:pBdr>
                <w:top w:val="nil"/>
                <w:left w:val="nil"/>
                <w:bottom w:val="nil"/>
                <w:right w:val="nil"/>
                <w:between w:val="nil"/>
              </w:pBdr>
              <w:spacing w:after="0" w:line="240" w:lineRule="auto"/>
              <w:ind w:hanging="720"/>
            </w:pPr>
            <w:r>
              <w:rPr>
                <w:rFonts w:ascii="Times New Roman" w:eastAsia="Times New Roman" w:hAnsi="Times New Roman" w:cs="Times New Roman"/>
                <w:color w:val="000000"/>
                <w:sz w:val="24"/>
                <w:szCs w:val="24"/>
              </w:rPr>
              <w:t>Paid-up share capital does not exceed 50 lakh rupees and</w:t>
            </w:r>
          </w:p>
          <w:p w14:paraId="47F5C0A3" w14:textId="77777777" w:rsidR="0063137E" w:rsidRDefault="00520385">
            <w:pPr>
              <w:numPr>
                <w:ilvl w:val="0"/>
                <w:numId w:val="1"/>
              </w:numPr>
              <w:pBdr>
                <w:top w:val="nil"/>
                <w:left w:val="nil"/>
                <w:bottom w:val="nil"/>
                <w:right w:val="nil"/>
                <w:between w:val="nil"/>
              </w:pBdr>
              <w:spacing w:after="0" w:line="240" w:lineRule="auto"/>
              <w:ind w:hanging="720"/>
              <w:jc w:val="both"/>
            </w:pPr>
            <w:r>
              <w:rPr>
                <w:rFonts w:ascii="Times New Roman" w:eastAsia="Times New Roman" w:hAnsi="Times New Roman" w:cs="Times New Roman"/>
                <w:color w:val="000000"/>
                <w:sz w:val="24"/>
                <w:szCs w:val="24"/>
              </w:rPr>
              <w:t>Turnover does not exceed 2 crore rupees</w:t>
            </w:r>
          </w:p>
        </w:tc>
        <w:tc>
          <w:tcPr>
            <w:tcW w:w="2551" w:type="dxa"/>
            <w:shd w:val="clear" w:color="auto" w:fill="auto"/>
            <w:tcMar>
              <w:top w:w="0" w:type="dxa"/>
              <w:left w:w="108" w:type="dxa"/>
              <w:bottom w:w="0" w:type="dxa"/>
              <w:right w:w="108" w:type="dxa"/>
            </w:tcMar>
          </w:tcPr>
          <w:p w14:paraId="39EC1870"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63137E" w14:paraId="76AF3C72" w14:textId="77777777">
        <w:tc>
          <w:tcPr>
            <w:tcW w:w="2376" w:type="dxa"/>
            <w:shd w:val="clear" w:color="auto" w:fill="auto"/>
            <w:tcMar>
              <w:top w:w="0" w:type="dxa"/>
              <w:left w:w="108" w:type="dxa"/>
              <w:bottom w:w="0" w:type="dxa"/>
              <w:right w:w="108" w:type="dxa"/>
            </w:tcMar>
          </w:tcPr>
          <w:p w14:paraId="0A9D6381"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Check Articles of Association of Company</w:t>
            </w:r>
          </w:p>
        </w:tc>
        <w:tc>
          <w:tcPr>
            <w:tcW w:w="5245" w:type="dxa"/>
            <w:shd w:val="clear" w:color="auto" w:fill="auto"/>
            <w:tcMar>
              <w:top w:w="0" w:type="dxa"/>
              <w:left w:w="108" w:type="dxa"/>
              <w:bottom w:w="0" w:type="dxa"/>
              <w:right w:w="108" w:type="dxa"/>
            </w:tcMar>
          </w:tcPr>
          <w:p w14:paraId="52FEFDEA"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assess whether the companies have proper authorities under AOA to enter into merger.</w:t>
            </w:r>
          </w:p>
          <w:p w14:paraId="1B5FE0BD"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such authority is absent then alter AOA.</w:t>
            </w:r>
          </w:p>
        </w:tc>
        <w:tc>
          <w:tcPr>
            <w:tcW w:w="2551" w:type="dxa"/>
            <w:shd w:val="clear" w:color="auto" w:fill="auto"/>
            <w:tcMar>
              <w:top w:w="0" w:type="dxa"/>
              <w:left w:w="108" w:type="dxa"/>
              <w:bottom w:w="0" w:type="dxa"/>
              <w:right w:w="108" w:type="dxa"/>
            </w:tcMar>
          </w:tcPr>
          <w:p w14:paraId="483D6742"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63137E" w14:paraId="0930F9DF" w14:textId="77777777">
        <w:tc>
          <w:tcPr>
            <w:tcW w:w="2376" w:type="dxa"/>
            <w:shd w:val="clear" w:color="auto" w:fill="auto"/>
            <w:tcMar>
              <w:top w:w="0" w:type="dxa"/>
              <w:left w:w="108" w:type="dxa"/>
              <w:bottom w:w="0" w:type="dxa"/>
              <w:right w:w="108" w:type="dxa"/>
            </w:tcMar>
          </w:tcPr>
          <w:p w14:paraId="3BAEC9B7"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Draft Scheme</w:t>
            </w:r>
          </w:p>
        </w:tc>
        <w:tc>
          <w:tcPr>
            <w:tcW w:w="5245" w:type="dxa"/>
            <w:shd w:val="clear" w:color="auto" w:fill="auto"/>
            <w:tcMar>
              <w:top w:w="0" w:type="dxa"/>
              <w:left w:w="108" w:type="dxa"/>
              <w:bottom w:w="0" w:type="dxa"/>
              <w:right w:w="108" w:type="dxa"/>
            </w:tcMar>
          </w:tcPr>
          <w:p w14:paraId="3B7D4553"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prepare draft scheme to be placed in Board Meeting for approval.</w:t>
            </w:r>
          </w:p>
          <w:p w14:paraId="4FD964CE" w14:textId="77777777" w:rsidR="0063137E" w:rsidRDefault="0063137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1FD2300"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Points to be covered under the scheme:</w:t>
            </w:r>
          </w:p>
          <w:p w14:paraId="4734B3FB"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Basic details of Transferor and Transferee Companies</w:t>
            </w:r>
          </w:p>
          <w:p w14:paraId="4BE97D20"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Main objects as per MOA of both Companies</w:t>
            </w:r>
          </w:p>
          <w:p w14:paraId="5771FF67"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Jurisdiction</w:t>
            </w:r>
          </w:p>
          <w:p w14:paraId="4B5FF6E5"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Limitation</w:t>
            </w:r>
          </w:p>
          <w:p w14:paraId="3B8F9F49"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Facts of the case</w:t>
            </w:r>
          </w:p>
          <w:p w14:paraId="0FDE832C"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Definition</w:t>
            </w:r>
          </w:p>
          <w:p w14:paraId="665AE5AE"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Pre and Post merger share capital</w:t>
            </w:r>
          </w:p>
          <w:p w14:paraId="482A34FA"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Transfer and vesting of Assets and Liabilities</w:t>
            </w:r>
          </w:p>
          <w:p w14:paraId="163F42D3"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Appointed date of the Scheme</w:t>
            </w:r>
          </w:p>
          <w:p w14:paraId="13F350A0"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Accounting Treatment</w:t>
            </w:r>
          </w:p>
          <w:p w14:paraId="7868D7E6"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Company Staff, Workmen and Employees their benefits</w:t>
            </w:r>
          </w:p>
          <w:p w14:paraId="692F8139"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Legal Proceedings</w:t>
            </w:r>
          </w:p>
          <w:p w14:paraId="5E7D4C7C"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Cancellation of the shares of the transferor company</w:t>
            </w:r>
          </w:p>
          <w:p w14:paraId="07EC16A7"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Consolidation of Authorised Share Capital</w:t>
            </w:r>
          </w:p>
          <w:p w14:paraId="072DC3D6"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Dissolution without Winding Up</w:t>
            </w:r>
          </w:p>
        </w:tc>
        <w:tc>
          <w:tcPr>
            <w:tcW w:w="2551" w:type="dxa"/>
            <w:shd w:val="clear" w:color="auto" w:fill="auto"/>
            <w:tcMar>
              <w:top w:w="0" w:type="dxa"/>
              <w:left w:w="108" w:type="dxa"/>
              <w:bottom w:w="0" w:type="dxa"/>
              <w:right w:w="108" w:type="dxa"/>
            </w:tcMar>
          </w:tcPr>
          <w:p w14:paraId="01BEA0F1" w14:textId="77777777" w:rsidR="0063137E" w:rsidRDefault="0063137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r>
      <w:tr w:rsidR="0063137E" w14:paraId="44542FD5" w14:textId="77777777">
        <w:tc>
          <w:tcPr>
            <w:tcW w:w="2376" w:type="dxa"/>
            <w:shd w:val="clear" w:color="auto" w:fill="auto"/>
            <w:tcMar>
              <w:top w:w="0" w:type="dxa"/>
              <w:left w:w="108" w:type="dxa"/>
              <w:bottom w:w="0" w:type="dxa"/>
              <w:right w:w="108" w:type="dxa"/>
            </w:tcMar>
          </w:tcPr>
          <w:p w14:paraId="36EE9BF5"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Convene Board Meeting </w:t>
            </w:r>
          </w:p>
        </w:tc>
        <w:tc>
          <w:tcPr>
            <w:tcW w:w="5245" w:type="dxa"/>
            <w:shd w:val="clear" w:color="auto" w:fill="auto"/>
            <w:tcMar>
              <w:top w:w="0" w:type="dxa"/>
              <w:left w:w="108" w:type="dxa"/>
              <w:bottom w:w="0" w:type="dxa"/>
              <w:right w:w="108" w:type="dxa"/>
            </w:tcMar>
          </w:tcPr>
          <w:p w14:paraId="7AE1DC75" w14:textId="77777777" w:rsidR="0063137E" w:rsidRDefault="00520385">
            <w:pPr>
              <w:numPr>
                <w:ilvl w:val="0"/>
                <w:numId w:val="2"/>
              </w:numPr>
              <w:pBdr>
                <w:top w:val="nil"/>
                <w:left w:val="nil"/>
                <w:bottom w:val="nil"/>
                <w:right w:val="nil"/>
                <w:between w:val="nil"/>
              </w:pBdr>
              <w:spacing w:after="0" w:line="240" w:lineRule="auto"/>
              <w:ind w:left="178" w:hanging="178"/>
              <w:jc w:val="both"/>
            </w:pPr>
            <w:r>
              <w:rPr>
                <w:rFonts w:ascii="Times New Roman" w:eastAsia="Times New Roman" w:hAnsi="Times New Roman" w:cs="Times New Roman"/>
                <w:color w:val="000000"/>
                <w:sz w:val="24"/>
                <w:szCs w:val="24"/>
              </w:rPr>
              <w:t>Approval of Scheme</w:t>
            </w:r>
          </w:p>
          <w:p w14:paraId="45D37CF3" w14:textId="77777777" w:rsidR="0063137E" w:rsidRDefault="00520385">
            <w:pPr>
              <w:numPr>
                <w:ilvl w:val="0"/>
                <w:numId w:val="2"/>
              </w:numPr>
              <w:pBdr>
                <w:top w:val="nil"/>
                <w:left w:val="nil"/>
                <w:bottom w:val="nil"/>
                <w:right w:val="nil"/>
                <w:between w:val="nil"/>
              </w:pBdr>
              <w:spacing w:after="0" w:line="240" w:lineRule="auto"/>
              <w:ind w:left="178" w:hanging="178"/>
              <w:jc w:val="both"/>
            </w:pPr>
            <w:r>
              <w:rPr>
                <w:rFonts w:ascii="Times New Roman" w:eastAsia="Times New Roman" w:hAnsi="Times New Roman" w:cs="Times New Roman"/>
                <w:color w:val="000000"/>
                <w:sz w:val="24"/>
                <w:szCs w:val="24"/>
              </w:rPr>
              <w:t>Fix date and time for shareholders and creditors meeting.</w:t>
            </w:r>
          </w:p>
        </w:tc>
        <w:tc>
          <w:tcPr>
            <w:tcW w:w="2551" w:type="dxa"/>
            <w:shd w:val="clear" w:color="auto" w:fill="auto"/>
            <w:tcMar>
              <w:top w:w="0" w:type="dxa"/>
              <w:left w:w="108" w:type="dxa"/>
              <w:bottom w:w="0" w:type="dxa"/>
              <w:right w:w="108" w:type="dxa"/>
            </w:tcMar>
          </w:tcPr>
          <w:p w14:paraId="5D6D4746"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63137E" w14:paraId="3D8D8A17" w14:textId="77777777">
        <w:tc>
          <w:tcPr>
            <w:tcW w:w="2376" w:type="dxa"/>
            <w:shd w:val="clear" w:color="auto" w:fill="auto"/>
            <w:tcMar>
              <w:top w:w="0" w:type="dxa"/>
              <w:left w:w="108" w:type="dxa"/>
              <w:bottom w:w="0" w:type="dxa"/>
              <w:right w:w="108" w:type="dxa"/>
            </w:tcMar>
          </w:tcPr>
          <w:p w14:paraId="6CBBCB54"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Notice of Proposed Scheme</w:t>
            </w:r>
          </w:p>
        </w:tc>
        <w:tc>
          <w:tcPr>
            <w:tcW w:w="5245" w:type="dxa"/>
            <w:shd w:val="clear" w:color="auto" w:fill="auto"/>
            <w:tcMar>
              <w:top w:w="0" w:type="dxa"/>
              <w:left w:w="108" w:type="dxa"/>
              <w:bottom w:w="0" w:type="dxa"/>
              <w:right w:w="108" w:type="dxa"/>
            </w:tcMar>
          </w:tcPr>
          <w:p w14:paraId="452D5C9A" w14:textId="78BBAC7A" w:rsidR="0063137E" w:rsidRDefault="009E123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transferor and transferee companies both shall file notice of the proposed scheme with the Registrar where registered offices of both the companies are situated and Official Liquidator for inviting objections/ suggestions, if any, from the respective registrars within 30 days of the issue of Notice</w:t>
            </w:r>
          </w:p>
        </w:tc>
        <w:tc>
          <w:tcPr>
            <w:tcW w:w="2551" w:type="dxa"/>
            <w:shd w:val="clear" w:color="auto" w:fill="auto"/>
            <w:tcMar>
              <w:top w:w="0" w:type="dxa"/>
              <w:left w:w="108" w:type="dxa"/>
              <w:bottom w:w="0" w:type="dxa"/>
              <w:right w:w="108" w:type="dxa"/>
            </w:tcMar>
          </w:tcPr>
          <w:p w14:paraId="7846573C"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Notice inviting objection in Form CAA 9 is to be filed in E-Form GNL-1</w:t>
            </w:r>
          </w:p>
        </w:tc>
      </w:tr>
      <w:tr w:rsidR="0063137E" w14:paraId="68DD6B67" w14:textId="77777777">
        <w:tc>
          <w:tcPr>
            <w:tcW w:w="2376" w:type="dxa"/>
            <w:shd w:val="clear" w:color="auto" w:fill="auto"/>
            <w:tcMar>
              <w:top w:w="0" w:type="dxa"/>
              <w:left w:w="108" w:type="dxa"/>
              <w:bottom w:w="0" w:type="dxa"/>
              <w:right w:w="108" w:type="dxa"/>
            </w:tcMar>
          </w:tcPr>
          <w:p w14:paraId="79F76068"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Attachments with CAA 9</w:t>
            </w:r>
          </w:p>
        </w:tc>
        <w:tc>
          <w:tcPr>
            <w:tcW w:w="5245" w:type="dxa"/>
            <w:shd w:val="clear" w:color="auto" w:fill="auto"/>
            <w:tcMar>
              <w:top w:w="0" w:type="dxa"/>
              <w:left w:w="108" w:type="dxa"/>
              <w:bottom w:w="0" w:type="dxa"/>
              <w:right w:w="108" w:type="dxa"/>
            </w:tcMar>
          </w:tcPr>
          <w:p w14:paraId="223A5DA2" w14:textId="77777777" w:rsidR="0063137E" w:rsidRDefault="00520385">
            <w:pPr>
              <w:numPr>
                <w:ilvl w:val="0"/>
                <w:numId w:val="2"/>
              </w:numPr>
              <w:pBdr>
                <w:top w:val="nil"/>
                <w:left w:val="nil"/>
                <w:bottom w:val="nil"/>
                <w:right w:val="nil"/>
                <w:between w:val="nil"/>
              </w:pBdr>
              <w:spacing w:after="0" w:line="240" w:lineRule="auto"/>
              <w:ind w:left="313" w:hanging="284"/>
              <w:jc w:val="both"/>
            </w:pPr>
            <w:r>
              <w:rPr>
                <w:rFonts w:ascii="Times New Roman" w:eastAsia="Times New Roman" w:hAnsi="Times New Roman" w:cs="Times New Roman"/>
                <w:color w:val="000000"/>
                <w:sz w:val="24"/>
                <w:szCs w:val="24"/>
              </w:rPr>
              <w:t>Copy of schem</w:t>
            </w:r>
            <w:r>
              <w:rPr>
                <w:rFonts w:ascii="Times New Roman" w:eastAsia="Times New Roman" w:hAnsi="Times New Roman" w:cs="Times New Roman"/>
                <w:sz w:val="24"/>
                <w:szCs w:val="24"/>
              </w:rPr>
              <w:t xml:space="preserve">e </w:t>
            </w:r>
          </w:p>
          <w:p w14:paraId="3426E067" w14:textId="77777777" w:rsidR="0063137E" w:rsidRDefault="00520385">
            <w:pPr>
              <w:numPr>
                <w:ilvl w:val="0"/>
                <w:numId w:val="2"/>
              </w:numPr>
              <w:pBdr>
                <w:top w:val="nil"/>
                <w:left w:val="nil"/>
                <w:bottom w:val="nil"/>
                <w:right w:val="nil"/>
                <w:between w:val="nil"/>
              </w:pBdr>
              <w:spacing w:after="0" w:line="240" w:lineRule="auto"/>
              <w:ind w:left="313" w:hanging="284"/>
              <w:jc w:val="both"/>
            </w:pPr>
            <w:r>
              <w:rPr>
                <w:rFonts w:ascii="Times New Roman" w:eastAsia="Times New Roman" w:hAnsi="Times New Roman" w:cs="Times New Roman"/>
                <w:sz w:val="24"/>
                <w:szCs w:val="24"/>
              </w:rPr>
              <w:t xml:space="preserve">Board </w:t>
            </w:r>
            <w:r>
              <w:rPr>
                <w:rFonts w:ascii="Times New Roman" w:eastAsia="Times New Roman" w:hAnsi="Times New Roman" w:cs="Times New Roman"/>
                <w:color w:val="000000"/>
                <w:sz w:val="24"/>
                <w:szCs w:val="24"/>
              </w:rPr>
              <w:t>resolution</w:t>
            </w:r>
          </w:p>
        </w:tc>
        <w:tc>
          <w:tcPr>
            <w:tcW w:w="2551" w:type="dxa"/>
            <w:shd w:val="clear" w:color="auto" w:fill="auto"/>
            <w:tcMar>
              <w:top w:w="0" w:type="dxa"/>
              <w:left w:w="108" w:type="dxa"/>
              <w:bottom w:w="0" w:type="dxa"/>
              <w:right w:w="108" w:type="dxa"/>
            </w:tcMar>
          </w:tcPr>
          <w:p w14:paraId="527B8D02"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63137E" w14:paraId="0809E70C" w14:textId="77777777">
        <w:tc>
          <w:tcPr>
            <w:tcW w:w="2376" w:type="dxa"/>
            <w:shd w:val="clear" w:color="auto" w:fill="auto"/>
            <w:tcMar>
              <w:top w:w="0" w:type="dxa"/>
              <w:left w:w="108" w:type="dxa"/>
              <w:bottom w:w="0" w:type="dxa"/>
              <w:right w:w="108" w:type="dxa"/>
            </w:tcMar>
          </w:tcPr>
          <w:p w14:paraId="116E3AEB"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Declaration of Solvency</w:t>
            </w:r>
          </w:p>
        </w:tc>
        <w:tc>
          <w:tcPr>
            <w:tcW w:w="5245" w:type="dxa"/>
            <w:shd w:val="clear" w:color="auto" w:fill="auto"/>
            <w:tcMar>
              <w:top w:w="0" w:type="dxa"/>
              <w:left w:w="108" w:type="dxa"/>
              <w:bottom w:w="0" w:type="dxa"/>
              <w:right w:w="108" w:type="dxa"/>
            </w:tcMar>
          </w:tcPr>
          <w:p w14:paraId="4CD6FD72"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Both the companies shall file declaration of solvency before the meeting of members and creditors.</w:t>
            </w:r>
          </w:p>
          <w:p w14:paraId="6EC5E177" w14:textId="77777777" w:rsidR="0063137E" w:rsidRDefault="0063137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679761"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same shall be accompanied by the Board resolution, statement of Assets and Liabilities and Auditors Report.</w:t>
            </w:r>
          </w:p>
        </w:tc>
        <w:tc>
          <w:tcPr>
            <w:tcW w:w="2551" w:type="dxa"/>
            <w:shd w:val="clear" w:color="auto" w:fill="auto"/>
            <w:tcMar>
              <w:top w:w="0" w:type="dxa"/>
              <w:left w:w="108" w:type="dxa"/>
              <w:bottom w:w="0" w:type="dxa"/>
              <w:right w:w="108" w:type="dxa"/>
            </w:tcMar>
          </w:tcPr>
          <w:p w14:paraId="79273588"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CAA 10 in Form </w:t>
            </w:r>
          </w:p>
          <w:p w14:paraId="703DA5AE"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GNL - 2</w:t>
            </w:r>
          </w:p>
        </w:tc>
      </w:tr>
      <w:tr w:rsidR="0063137E" w14:paraId="433A943A" w14:textId="77777777">
        <w:tc>
          <w:tcPr>
            <w:tcW w:w="2376" w:type="dxa"/>
            <w:shd w:val="clear" w:color="auto" w:fill="auto"/>
            <w:tcMar>
              <w:top w:w="0" w:type="dxa"/>
              <w:left w:w="108" w:type="dxa"/>
              <w:bottom w:w="0" w:type="dxa"/>
              <w:right w:w="108" w:type="dxa"/>
            </w:tcMar>
          </w:tcPr>
          <w:p w14:paraId="7EF15AF2"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Convening Meeting of Members or class of Members by both Companies</w:t>
            </w:r>
          </w:p>
        </w:tc>
        <w:tc>
          <w:tcPr>
            <w:tcW w:w="5245" w:type="dxa"/>
            <w:shd w:val="clear" w:color="auto" w:fill="auto"/>
            <w:tcMar>
              <w:top w:w="0" w:type="dxa"/>
              <w:left w:w="108" w:type="dxa"/>
              <w:bottom w:w="0" w:type="dxa"/>
              <w:right w:w="108" w:type="dxa"/>
            </w:tcMar>
          </w:tcPr>
          <w:p w14:paraId="0C3B00D6"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notice should contain </w:t>
            </w:r>
          </w:p>
          <w:p w14:paraId="4E9BBC3A" w14:textId="77777777" w:rsidR="0063137E" w:rsidRDefault="00520385">
            <w:pPr>
              <w:numPr>
                <w:ilvl w:val="0"/>
                <w:numId w:val="2"/>
              </w:numPr>
              <w:pBdr>
                <w:top w:val="nil"/>
                <w:left w:val="nil"/>
                <w:bottom w:val="nil"/>
                <w:right w:val="nil"/>
                <w:between w:val="nil"/>
              </w:pBdr>
              <w:spacing w:after="0" w:line="240" w:lineRule="auto"/>
              <w:ind w:left="313" w:hanging="360"/>
              <w:jc w:val="both"/>
            </w:pPr>
            <w:r>
              <w:rPr>
                <w:rFonts w:ascii="Times New Roman" w:eastAsia="Times New Roman" w:hAnsi="Times New Roman" w:cs="Times New Roman"/>
                <w:color w:val="000000"/>
                <w:sz w:val="24"/>
                <w:szCs w:val="24"/>
              </w:rPr>
              <w:t>Statement disclosing details of merger</w:t>
            </w:r>
          </w:p>
          <w:p w14:paraId="4790D689" w14:textId="77777777" w:rsidR="0063137E" w:rsidRDefault="00520385">
            <w:pPr>
              <w:numPr>
                <w:ilvl w:val="0"/>
                <w:numId w:val="2"/>
              </w:numPr>
              <w:pBdr>
                <w:top w:val="nil"/>
                <w:left w:val="nil"/>
                <w:bottom w:val="nil"/>
                <w:right w:val="nil"/>
                <w:between w:val="nil"/>
              </w:pBdr>
              <w:spacing w:after="0" w:line="240" w:lineRule="auto"/>
              <w:ind w:left="313" w:hanging="360"/>
              <w:jc w:val="both"/>
            </w:pPr>
            <w:r>
              <w:rPr>
                <w:rFonts w:ascii="Times New Roman" w:eastAsia="Times New Roman" w:hAnsi="Times New Roman" w:cs="Times New Roman"/>
                <w:color w:val="000000"/>
                <w:sz w:val="24"/>
                <w:szCs w:val="24"/>
              </w:rPr>
              <w:t>Copy of Valuation report</w:t>
            </w:r>
          </w:p>
          <w:p w14:paraId="1A831AF7" w14:textId="77777777" w:rsidR="0063137E" w:rsidRDefault="00520385">
            <w:pPr>
              <w:numPr>
                <w:ilvl w:val="0"/>
                <w:numId w:val="2"/>
              </w:numPr>
              <w:pBdr>
                <w:top w:val="nil"/>
                <w:left w:val="nil"/>
                <w:bottom w:val="nil"/>
                <w:right w:val="nil"/>
                <w:between w:val="nil"/>
              </w:pBdr>
              <w:spacing w:after="0" w:line="240" w:lineRule="auto"/>
              <w:ind w:left="313" w:hanging="360"/>
              <w:jc w:val="both"/>
            </w:pPr>
            <w:r>
              <w:rPr>
                <w:rFonts w:ascii="Times New Roman" w:eastAsia="Times New Roman" w:hAnsi="Times New Roman" w:cs="Times New Roman"/>
                <w:color w:val="000000"/>
                <w:sz w:val="24"/>
                <w:szCs w:val="24"/>
              </w:rPr>
              <w:t>Copy of Scheme</w:t>
            </w:r>
          </w:p>
          <w:p w14:paraId="32AE3D5D" w14:textId="77777777" w:rsidR="0063137E" w:rsidRDefault="00520385">
            <w:pPr>
              <w:numPr>
                <w:ilvl w:val="0"/>
                <w:numId w:val="2"/>
              </w:numPr>
              <w:pBdr>
                <w:top w:val="nil"/>
                <w:left w:val="nil"/>
                <w:bottom w:val="nil"/>
                <w:right w:val="nil"/>
                <w:between w:val="nil"/>
              </w:pBdr>
              <w:spacing w:after="0" w:line="240" w:lineRule="auto"/>
              <w:ind w:left="313" w:hanging="360"/>
              <w:jc w:val="both"/>
            </w:pPr>
            <w:r>
              <w:rPr>
                <w:rFonts w:ascii="Times New Roman" w:eastAsia="Times New Roman" w:hAnsi="Times New Roman" w:cs="Times New Roman"/>
                <w:color w:val="000000"/>
                <w:sz w:val="24"/>
                <w:szCs w:val="24"/>
              </w:rPr>
              <w:t>Copy of Declaration of Solvency</w:t>
            </w:r>
          </w:p>
          <w:p w14:paraId="6174E523" w14:textId="77777777" w:rsidR="0063137E" w:rsidRDefault="0063137E">
            <w:pPr>
              <w:pBdr>
                <w:top w:val="nil"/>
                <w:left w:val="nil"/>
                <w:bottom w:val="nil"/>
                <w:right w:val="nil"/>
                <w:between w:val="nil"/>
              </w:pBdr>
              <w:spacing w:after="0" w:line="240" w:lineRule="auto"/>
              <w:ind w:left="313"/>
              <w:jc w:val="both"/>
              <w:rPr>
                <w:rFonts w:ascii="Times New Roman" w:eastAsia="Times New Roman" w:hAnsi="Times New Roman" w:cs="Times New Roman"/>
                <w:color w:val="000000"/>
                <w:sz w:val="24"/>
                <w:szCs w:val="24"/>
              </w:rPr>
            </w:pPr>
          </w:p>
          <w:p w14:paraId="5C874D13" w14:textId="77777777" w:rsidR="0063137E" w:rsidRDefault="00520385">
            <w:pPr>
              <w:pBdr>
                <w:top w:val="nil"/>
                <w:left w:val="nil"/>
                <w:bottom w:val="nil"/>
                <w:right w:val="nil"/>
                <w:between w:val="nil"/>
              </w:pBdr>
              <w:spacing w:after="0" w:line="240" w:lineRule="auto"/>
              <w:ind w:left="-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objections/suggestions received by the company from the registrar would be discussed and voted upon in this meeting.</w:t>
            </w:r>
          </w:p>
        </w:tc>
        <w:tc>
          <w:tcPr>
            <w:tcW w:w="2551" w:type="dxa"/>
            <w:shd w:val="clear" w:color="auto" w:fill="auto"/>
            <w:tcMar>
              <w:top w:w="0" w:type="dxa"/>
              <w:left w:w="108" w:type="dxa"/>
              <w:bottom w:w="0" w:type="dxa"/>
              <w:right w:w="108" w:type="dxa"/>
            </w:tcMar>
          </w:tcPr>
          <w:p w14:paraId="4DA4B82E"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Notice to be sent 21 clear days prior to meeting</w:t>
            </w:r>
          </w:p>
        </w:tc>
      </w:tr>
      <w:tr w:rsidR="0063137E" w14:paraId="4F9E4F11" w14:textId="77777777">
        <w:tc>
          <w:tcPr>
            <w:tcW w:w="2376" w:type="dxa"/>
            <w:shd w:val="clear" w:color="auto" w:fill="auto"/>
            <w:tcMar>
              <w:top w:w="0" w:type="dxa"/>
              <w:left w:w="108" w:type="dxa"/>
              <w:bottom w:w="0" w:type="dxa"/>
              <w:right w:w="108" w:type="dxa"/>
            </w:tcMar>
          </w:tcPr>
          <w:p w14:paraId="395554E8"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Convening meeting of Creditors and Class of Creditors by both Companies</w:t>
            </w:r>
          </w:p>
        </w:tc>
        <w:tc>
          <w:tcPr>
            <w:tcW w:w="5245" w:type="dxa"/>
            <w:shd w:val="clear" w:color="auto" w:fill="auto"/>
            <w:tcMar>
              <w:top w:w="0" w:type="dxa"/>
              <w:left w:w="108" w:type="dxa"/>
              <w:bottom w:w="0" w:type="dxa"/>
              <w:right w:w="108" w:type="dxa"/>
            </w:tcMar>
          </w:tcPr>
          <w:p w14:paraId="19A707F9"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notice should contain </w:t>
            </w:r>
          </w:p>
          <w:p w14:paraId="37E99E12" w14:textId="77777777" w:rsidR="0063137E" w:rsidRDefault="00520385">
            <w:pPr>
              <w:numPr>
                <w:ilvl w:val="0"/>
                <w:numId w:val="2"/>
              </w:numPr>
              <w:pBdr>
                <w:top w:val="nil"/>
                <w:left w:val="nil"/>
                <w:bottom w:val="nil"/>
                <w:right w:val="nil"/>
                <w:between w:val="nil"/>
              </w:pBdr>
              <w:spacing w:after="0" w:line="240" w:lineRule="auto"/>
              <w:ind w:left="313" w:hanging="360"/>
              <w:jc w:val="both"/>
            </w:pPr>
            <w:r>
              <w:rPr>
                <w:rFonts w:ascii="Times New Roman" w:eastAsia="Times New Roman" w:hAnsi="Times New Roman" w:cs="Times New Roman"/>
                <w:color w:val="000000"/>
                <w:sz w:val="24"/>
                <w:szCs w:val="24"/>
              </w:rPr>
              <w:t>Statement disclosing details of merger</w:t>
            </w:r>
          </w:p>
          <w:p w14:paraId="1861DE60" w14:textId="77777777" w:rsidR="0063137E" w:rsidRDefault="00520385">
            <w:pPr>
              <w:numPr>
                <w:ilvl w:val="0"/>
                <w:numId w:val="2"/>
              </w:numPr>
              <w:pBdr>
                <w:top w:val="nil"/>
                <w:left w:val="nil"/>
                <w:bottom w:val="nil"/>
                <w:right w:val="nil"/>
                <w:between w:val="nil"/>
              </w:pBdr>
              <w:spacing w:after="0" w:line="240" w:lineRule="auto"/>
              <w:ind w:left="313" w:hanging="360"/>
              <w:jc w:val="both"/>
            </w:pPr>
            <w:r>
              <w:rPr>
                <w:rFonts w:ascii="Times New Roman" w:eastAsia="Times New Roman" w:hAnsi="Times New Roman" w:cs="Times New Roman"/>
                <w:color w:val="000000"/>
                <w:sz w:val="24"/>
                <w:szCs w:val="24"/>
              </w:rPr>
              <w:t>Copy of Scheme</w:t>
            </w:r>
          </w:p>
          <w:p w14:paraId="7D9CC770" w14:textId="77777777" w:rsidR="0063137E" w:rsidRDefault="00520385">
            <w:pPr>
              <w:numPr>
                <w:ilvl w:val="0"/>
                <w:numId w:val="2"/>
              </w:numPr>
              <w:pBdr>
                <w:top w:val="nil"/>
                <w:left w:val="nil"/>
                <w:bottom w:val="nil"/>
                <w:right w:val="nil"/>
                <w:between w:val="nil"/>
              </w:pBdr>
              <w:spacing w:after="0" w:line="240" w:lineRule="auto"/>
              <w:ind w:left="313" w:hanging="360"/>
              <w:jc w:val="both"/>
            </w:pPr>
            <w:r>
              <w:rPr>
                <w:rFonts w:ascii="Times New Roman" w:eastAsia="Times New Roman" w:hAnsi="Times New Roman" w:cs="Times New Roman"/>
                <w:color w:val="000000"/>
                <w:sz w:val="24"/>
                <w:szCs w:val="24"/>
              </w:rPr>
              <w:t>Copy of Declaration of Solvency</w:t>
            </w:r>
          </w:p>
          <w:p w14:paraId="029C073B" w14:textId="77777777" w:rsidR="0063137E" w:rsidRDefault="0063137E">
            <w:pPr>
              <w:pBdr>
                <w:top w:val="nil"/>
                <w:left w:val="nil"/>
                <w:bottom w:val="nil"/>
                <w:right w:val="nil"/>
                <w:between w:val="nil"/>
              </w:pBdr>
              <w:spacing w:after="0" w:line="240" w:lineRule="auto"/>
              <w:ind w:left="313"/>
              <w:jc w:val="both"/>
              <w:rPr>
                <w:rFonts w:ascii="Times New Roman" w:eastAsia="Times New Roman" w:hAnsi="Times New Roman" w:cs="Times New Roman"/>
                <w:color w:val="000000"/>
                <w:sz w:val="24"/>
                <w:szCs w:val="24"/>
              </w:rPr>
            </w:pPr>
          </w:p>
          <w:p w14:paraId="16DBB793" w14:textId="31268AE8" w:rsidR="0063137E" w:rsidRDefault="00365FF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scheme is to be approved by a majority that is 9/10</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in value of the creditors or class of creditors of the respective companies.</w:t>
            </w:r>
          </w:p>
        </w:tc>
        <w:tc>
          <w:tcPr>
            <w:tcW w:w="2551" w:type="dxa"/>
            <w:shd w:val="clear" w:color="auto" w:fill="auto"/>
            <w:tcMar>
              <w:top w:w="0" w:type="dxa"/>
              <w:left w:w="108" w:type="dxa"/>
              <w:bottom w:w="0" w:type="dxa"/>
              <w:right w:w="108" w:type="dxa"/>
            </w:tcMar>
          </w:tcPr>
          <w:p w14:paraId="061E332F"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Notice to be sent 21 clear days prior to meeting</w:t>
            </w:r>
          </w:p>
        </w:tc>
      </w:tr>
      <w:tr w:rsidR="0063137E" w14:paraId="4871A9AC" w14:textId="77777777">
        <w:tc>
          <w:tcPr>
            <w:tcW w:w="2376" w:type="dxa"/>
            <w:shd w:val="clear" w:color="auto" w:fill="auto"/>
            <w:tcMar>
              <w:top w:w="0" w:type="dxa"/>
              <w:left w:w="108" w:type="dxa"/>
              <w:bottom w:w="0" w:type="dxa"/>
              <w:right w:w="108" w:type="dxa"/>
            </w:tcMar>
          </w:tcPr>
          <w:p w14:paraId="074C1379"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Filing of MGT 14</w:t>
            </w:r>
          </w:p>
        </w:tc>
        <w:tc>
          <w:tcPr>
            <w:tcW w:w="5245" w:type="dxa"/>
            <w:shd w:val="clear" w:color="auto" w:fill="auto"/>
            <w:tcMar>
              <w:top w:w="0" w:type="dxa"/>
              <w:left w:w="108" w:type="dxa"/>
              <w:bottom w:w="0" w:type="dxa"/>
              <w:right w:w="108" w:type="dxa"/>
            </w:tcMar>
          </w:tcPr>
          <w:p w14:paraId="0C93C9B3"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Both the Transferor and Transferee Companies shall file the special resolution as approved by the members and creditors.</w:t>
            </w:r>
          </w:p>
        </w:tc>
        <w:tc>
          <w:tcPr>
            <w:tcW w:w="2551" w:type="dxa"/>
            <w:shd w:val="clear" w:color="auto" w:fill="auto"/>
            <w:tcMar>
              <w:top w:w="0" w:type="dxa"/>
              <w:left w:w="108" w:type="dxa"/>
              <w:bottom w:w="0" w:type="dxa"/>
              <w:right w:w="108" w:type="dxa"/>
            </w:tcMar>
          </w:tcPr>
          <w:p w14:paraId="1CAD891C"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Within 30 days of passing of Special resolution</w:t>
            </w:r>
          </w:p>
        </w:tc>
      </w:tr>
      <w:tr w:rsidR="0063137E" w14:paraId="5D8B72E6" w14:textId="77777777">
        <w:tc>
          <w:tcPr>
            <w:tcW w:w="2376" w:type="dxa"/>
            <w:shd w:val="clear" w:color="auto" w:fill="auto"/>
            <w:tcMar>
              <w:top w:w="0" w:type="dxa"/>
              <w:left w:w="108" w:type="dxa"/>
              <w:bottom w:w="0" w:type="dxa"/>
              <w:right w:w="108" w:type="dxa"/>
            </w:tcMar>
          </w:tcPr>
          <w:p w14:paraId="4B8715A8"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Filing of Scheme and Results of meeting with Regional Director</w:t>
            </w:r>
          </w:p>
        </w:tc>
        <w:tc>
          <w:tcPr>
            <w:tcW w:w="5245" w:type="dxa"/>
            <w:shd w:val="clear" w:color="auto" w:fill="auto"/>
            <w:tcMar>
              <w:top w:w="0" w:type="dxa"/>
              <w:left w:w="108" w:type="dxa"/>
              <w:bottom w:w="0" w:type="dxa"/>
              <w:right w:w="108" w:type="dxa"/>
            </w:tcMar>
          </w:tcPr>
          <w:p w14:paraId="1856B6A2"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Transferee Company shall file copy of scheme as agreed by members and creditors and Report of results of each of the meetings</w:t>
            </w:r>
          </w:p>
        </w:tc>
        <w:tc>
          <w:tcPr>
            <w:tcW w:w="2551" w:type="dxa"/>
            <w:shd w:val="clear" w:color="auto" w:fill="auto"/>
            <w:tcMar>
              <w:top w:w="0" w:type="dxa"/>
              <w:left w:w="108" w:type="dxa"/>
              <w:bottom w:w="0" w:type="dxa"/>
              <w:right w:w="108" w:type="dxa"/>
            </w:tcMar>
          </w:tcPr>
          <w:p w14:paraId="51A92E35"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Within 7 days of conclusion of meeting of members or creditors in Form CAA 11</w:t>
            </w:r>
          </w:p>
          <w:p w14:paraId="625E7A6C"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ROC in Form GNL 1, Regional Director in Form RD 1 and Official Liquidator through hand delivery or Registered Post or Speed Post)</w:t>
            </w:r>
          </w:p>
        </w:tc>
      </w:tr>
      <w:tr w:rsidR="0063137E" w14:paraId="0069D5B4" w14:textId="77777777">
        <w:tc>
          <w:tcPr>
            <w:tcW w:w="2376" w:type="dxa"/>
            <w:shd w:val="clear" w:color="auto" w:fill="auto"/>
            <w:tcMar>
              <w:top w:w="0" w:type="dxa"/>
              <w:left w:w="108" w:type="dxa"/>
              <w:bottom w:w="0" w:type="dxa"/>
              <w:right w:w="108" w:type="dxa"/>
            </w:tcMar>
          </w:tcPr>
          <w:p w14:paraId="49C3D073"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Objections to be Communicated to Regional Director</w:t>
            </w:r>
          </w:p>
        </w:tc>
        <w:tc>
          <w:tcPr>
            <w:tcW w:w="5245" w:type="dxa"/>
            <w:shd w:val="clear" w:color="auto" w:fill="auto"/>
            <w:tcMar>
              <w:top w:w="0" w:type="dxa"/>
              <w:left w:w="108" w:type="dxa"/>
              <w:bottom w:w="0" w:type="dxa"/>
              <w:right w:w="108" w:type="dxa"/>
            </w:tcMar>
          </w:tcPr>
          <w:p w14:paraId="78209F05"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ROC or the Official Liquidator has any objections then may communicate the same to Regional Director.</w:t>
            </w:r>
          </w:p>
        </w:tc>
        <w:tc>
          <w:tcPr>
            <w:tcW w:w="2551" w:type="dxa"/>
            <w:shd w:val="clear" w:color="auto" w:fill="auto"/>
            <w:tcMar>
              <w:top w:w="0" w:type="dxa"/>
              <w:left w:w="108" w:type="dxa"/>
              <w:bottom w:w="0" w:type="dxa"/>
              <w:right w:w="108" w:type="dxa"/>
            </w:tcMar>
          </w:tcPr>
          <w:p w14:paraId="16817B74"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63137E" w14:paraId="00322008" w14:textId="77777777">
        <w:tc>
          <w:tcPr>
            <w:tcW w:w="2376" w:type="dxa"/>
            <w:shd w:val="clear" w:color="auto" w:fill="auto"/>
            <w:tcMar>
              <w:top w:w="0" w:type="dxa"/>
              <w:left w:w="108" w:type="dxa"/>
              <w:bottom w:w="0" w:type="dxa"/>
              <w:right w:w="108" w:type="dxa"/>
            </w:tcMar>
          </w:tcPr>
          <w:p w14:paraId="77381595"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Scheme not in Public interest</w:t>
            </w:r>
          </w:p>
        </w:tc>
        <w:tc>
          <w:tcPr>
            <w:tcW w:w="5245" w:type="dxa"/>
            <w:shd w:val="clear" w:color="auto" w:fill="auto"/>
            <w:tcMar>
              <w:top w:w="0" w:type="dxa"/>
              <w:left w:w="108" w:type="dxa"/>
              <w:bottom w:w="0" w:type="dxa"/>
              <w:right w:w="108" w:type="dxa"/>
            </w:tcMar>
          </w:tcPr>
          <w:p w14:paraId="305E82E8" w14:textId="77777777" w:rsidR="002D1A88" w:rsidRDefault="002D1A88" w:rsidP="002D1A8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Regional Director, if is of the opinion that the scheme is not in public interest then it may file an application before the Tribunal, to consider the scheme under section 232 (regular merger process). </w:t>
            </w:r>
          </w:p>
          <w:p w14:paraId="34D0D340" w14:textId="77777777" w:rsidR="002D1A88" w:rsidRDefault="002D1A88" w:rsidP="002D1A8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82710C" w14:textId="4A451757" w:rsidR="0063137E" w:rsidRDefault="002D1A88" w:rsidP="002D1A8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 Tribunal is of the opinion that the scheme should be considered under section 232 it should direct accordingly otherwise the scheme shall be approved.</w:t>
            </w:r>
          </w:p>
        </w:tc>
        <w:tc>
          <w:tcPr>
            <w:tcW w:w="2551" w:type="dxa"/>
            <w:shd w:val="clear" w:color="auto" w:fill="auto"/>
            <w:tcMar>
              <w:top w:w="0" w:type="dxa"/>
              <w:left w:w="108" w:type="dxa"/>
              <w:bottom w:w="0" w:type="dxa"/>
              <w:right w:w="108" w:type="dxa"/>
            </w:tcMar>
          </w:tcPr>
          <w:p w14:paraId="3337D6A4"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CAA 12</w:t>
            </w:r>
          </w:p>
        </w:tc>
      </w:tr>
      <w:tr w:rsidR="0063137E" w14:paraId="2B814526" w14:textId="77777777">
        <w:tc>
          <w:tcPr>
            <w:tcW w:w="2376" w:type="dxa"/>
            <w:shd w:val="clear" w:color="auto" w:fill="auto"/>
            <w:tcMar>
              <w:top w:w="0" w:type="dxa"/>
              <w:left w:w="108" w:type="dxa"/>
              <w:bottom w:w="0" w:type="dxa"/>
              <w:right w:w="108" w:type="dxa"/>
            </w:tcMar>
          </w:tcPr>
          <w:p w14:paraId="1E038D34"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Approval of the Scheme and filing the Order</w:t>
            </w:r>
          </w:p>
        </w:tc>
        <w:tc>
          <w:tcPr>
            <w:tcW w:w="5245" w:type="dxa"/>
            <w:shd w:val="clear" w:color="auto" w:fill="auto"/>
            <w:tcMar>
              <w:top w:w="0" w:type="dxa"/>
              <w:left w:w="108" w:type="dxa"/>
              <w:bottom w:w="0" w:type="dxa"/>
              <w:right w:w="108" w:type="dxa"/>
            </w:tcMar>
          </w:tcPr>
          <w:p w14:paraId="094CC383"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ROC and Official Liquidator approves the scheme then the Regional Director shall consider the same and approve the scheme.</w:t>
            </w:r>
          </w:p>
          <w:p w14:paraId="60F51C41" w14:textId="77777777" w:rsidR="0063137E" w:rsidRDefault="0063137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649D523"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Both the Companies shall file the confirmation of the Scheme.</w:t>
            </w:r>
          </w:p>
        </w:tc>
        <w:tc>
          <w:tcPr>
            <w:tcW w:w="2551" w:type="dxa"/>
            <w:shd w:val="clear" w:color="auto" w:fill="auto"/>
            <w:tcMar>
              <w:top w:w="0" w:type="dxa"/>
              <w:left w:w="108" w:type="dxa"/>
              <w:bottom w:w="0" w:type="dxa"/>
              <w:right w:w="108" w:type="dxa"/>
            </w:tcMar>
          </w:tcPr>
          <w:p w14:paraId="49826C4B"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 28 within 30 days of receipt of the Confirmation of the Scheme</w:t>
            </w:r>
          </w:p>
        </w:tc>
      </w:tr>
      <w:tr w:rsidR="0063137E" w14:paraId="44F7177C" w14:textId="77777777">
        <w:tc>
          <w:tcPr>
            <w:tcW w:w="10172" w:type="dxa"/>
            <w:gridSpan w:val="3"/>
            <w:shd w:val="clear" w:color="auto" w:fill="auto"/>
            <w:tcMar>
              <w:top w:w="0" w:type="dxa"/>
              <w:left w:w="108" w:type="dxa"/>
              <w:bottom w:w="0" w:type="dxa"/>
              <w:right w:w="108" w:type="dxa"/>
            </w:tcMar>
          </w:tcPr>
          <w:p w14:paraId="19469CB9" w14:textId="77777777" w:rsidR="0063137E" w:rsidRPr="00520385" w:rsidRDefault="00520385">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proofErr w:type="spellStart"/>
            <w:r w:rsidRPr="00520385">
              <w:rPr>
                <w:rFonts w:ascii="Times New Roman" w:eastAsia="Times New Roman" w:hAnsi="Times New Roman" w:cs="Times New Roman"/>
                <w:b/>
                <w:bCs/>
                <w:color w:val="000000"/>
                <w:sz w:val="28"/>
                <w:szCs w:val="28"/>
              </w:rPr>
              <w:t>Post Merger</w:t>
            </w:r>
            <w:proofErr w:type="spellEnd"/>
            <w:r w:rsidRPr="00520385">
              <w:rPr>
                <w:rFonts w:ascii="Times New Roman" w:eastAsia="Times New Roman" w:hAnsi="Times New Roman" w:cs="Times New Roman"/>
                <w:b/>
                <w:bCs/>
                <w:color w:val="000000"/>
                <w:sz w:val="28"/>
                <w:szCs w:val="28"/>
              </w:rPr>
              <w:t xml:space="preserve"> Steps</w:t>
            </w:r>
          </w:p>
        </w:tc>
      </w:tr>
      <w:tr w:rsidR="0063137E" w14:paraId="11C16BC7" w14:textId="77777777">
        <w:tc>
          <w:tcPr>
            <w:tcW w:w="7621" w:type="dxa"/>
            <w:gridSpan w:val="2"/>
            <w:shd w:val="clear" w:color="auto" w:fill="auto"/>
            <w:tcMar>
              <w:top w:w="0" w:type="dxa"/>
              <w:left w:w="108" w:type="dxa"/>
              <w:bottom w:w="0" w:type="dxa"/>
              <w:right w:w="108" w:type="dxa"/>
            </w:tcMar>
          </w:tcPr>
          <w:p w14:paraId="564CC550"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convene EGM for passing special resolution for change of object clause of transferee company to carry on the business of transferor company and increase of Authorised Share Capital of Transferee Company (Optional</w:t>
            </w:r>
            <w:r>
              <w:rPr>
                <w:rFonts w:ascii="Times New Roman" w:eastAsia="Times New Roman" w:hAnsi="Times New Roman" w:cs="Times New Roman"/>
                <w:sz w:val="24"/>
                <w:szCs w:val="24"/>
              </w:rPr>
              <w:t>)</w:t>
            </w:r>
          </w:p>
        </w:tc>
        <w:tc>
          <w:tcPr>
            <w:tcW w:w="2551" w:type="dxa"/>
            <w:shd w:val="clear" w:color="auto" w:fill="auto"/>
            <w:tcMar>
              <w:top w:w="0" w:type="dxa"/>
              <w:left w:w="108" w:type="dxa"/>
              <w:bottom w:w="0" w:type="dxa"/>
              <w:right w:w="108" w:type="dxa"/>
            </w:tcMar>
          </w:tcPr>
          <w:p w14:paraId="5A3A8306"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After Confirmation to the Scheme of Merger is received from Regional Director</w:t>
            </w:r>
          </w:p>
        </w:tc>
      </w:tr>
      <w:tr w:rsidR="0063137E" w14:paraId="41A19EDD" w14:textId="77777777">
        <w:tc>
          <w:tcPr>
            <w:tcW w:w="7621" w:type="dxa"/>
            <w:gridSpan w:val="2"/>
            <w:shd w:val="clear" w:color="auto" w:fill="auto"/>
            <w:tcMar>
              <w:top w:w="0" w:type="dxa"/>
              <w:left w:w="108" w:type="dxa"/>
              <w:bottom w:w="0" w:type="dxa"/>
              <w:right w:w="108" w:type="dxa"/>
            </w:tcMar>
          </w:tcPr>
          <w:p w14:paraId="445068AA"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Amend MOA and AOA</w:t>
            </w:r>
          </w:p>
        </w:tc>
        <w:tc>
          <w:tcPr>
            <w:tcW w:w="2551" w:type="dxa"/>
            <w:shd w:val="clear" w:color="auto" w:fill="auto"/>
            <w:tcMar>
              <w:top w:w="0" w:type="dxa"/>
              <w:left w:w="108" w:type="dxa"/>
              <w:bottom w:w="0" w:type="dxa"/>
              <w:right w:w="108" w:type="dxa"/>
            </w:tcMar>
          </w:tcPr>
          <w:p w14:paraId="5BCC2483" w14:textId="77777777" w:rsidR="0063137E" w:rsidRDefault="0063137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r>
      <w:tr w:rsidR="0063137E" w14:paraId="5D758298" w14:textId="77777777">
        <w:tc>
          <w:tcPr>
            <w:tcW w:w="7621" w:type="dxa"/>
            <w:gridSpan w:val="2"/>
            <w:shd w:val="clear" w:color="auto" w:fill="auto"/>
            <w:tcMar>
              <w:top w:w="0" w:type="dxa"/>
              <w:left w:w="108" w:type="dxa"/>
              <w:bottom w:w="0" w:type="dxa"/>
              <w:right w:w="108" w:type="dxa"/>
            </w:tcMar>
          </w:tcPr>
          <w:p w14:paraId="705865FD"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MGT 14 for special resolution</w:t>
            </w:r>
          </w:p>
        </w:tc>
        <w:tc>
          <w:tcPr>
            <w:tcW w:w="2551" w:type="dxa"/>
            <w:shd w:val="clear" w:color="auto" w:fill="auto"/>
            <w:tcMar>
              <w:top w:w="0" w:type="dxa"/>
              <w:left w:w="108" w:type="dxa"/>
              <w:bottom w:w="0" w:type="dxa"/>
              <w:right w:w="108" w:type="dxa"/>
            </w:tcMar>
          </w:tcPr>
          <w:p w14:paraId="0A4D95B9"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Within 30 days of passing of special resolution</w:t>
            </w:r>
          </w:p>
        </w:tc>
      </w:tr>
      <w:tr w:rsidR="0063137E" w14:paraId="13485A03" w14:textId="77777777">
        <w:tc>
          <w:tcPr>
            <w:tcW w:w="7621" w:type="dxa"/>
            <w:gridSpan w:val="2"/>
            <w:shd w:val="clear" w:color="auto" w:fill="auto"/>
            <w:tcMar>
              <w:top w:w="0" w:type="dxa"/>
              <w:left w:w="108" w:type="dxa"/>
              <w:bottom w:w="0" w:type="dxa"/>
              <w:right w:w="108" w:type="dxa"/>
            </w:tcMar>
          </w:tcPr>
          <w:p w14:paraId="001FD764"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Convening Board Meeting for allotment of transferor Company and Issue Share Certificates to the allottees </w:t>
            </w:r>
          </w:p>
        </w:tc>
        <w:tc>
          <w:tcPr>
            <w:tcW w:w="2551" w:type="dxa"/>
            <w:shd w:val="clear" w:color="auto" w:fill="auto"/>
            <w:tcMar>
              <w:top w:w="0" w:type="dxa"/>
              <w:left w:w="108" w:type="dxa"/>
              <w:bottom w:w="0" w:type="dxa"/>
              <w:right w:w="108" w:type="dxa"/>
            </w:tcMar>
          </w:tcPr>
          <w:p w14:paraId="6096C675" w14:textId="77777777" w:rsidR="0063137E" w:rsidRDefault="0063137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3137E" w14:paraId="6C27627B" w14:textId="77777777">
        <w:tc>
          <w:tcPr>
            <w:tcW w:w="7621" w:type="dxa"/>
            <w:gridSpan w:val="2"/>
            <w:shd w:val="clear" w:color="auto" w:fill="auto"/>
            <w:tcMar>
              <w:top w:w="0" w:type="dxa"/>
              <w:left w:w="108" w:type="dxa"/>
              <w:bottom w:w="0" w:type="dxa"/>
              <w:right w:w="108" w:type="dxa"/>
            </w:tcMar>
          </w:tcPr>
          <w:p w14:paraId="59B1EF58"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Filing Return of Allotment</w:t>
            </w:r>
          </w:p>
        </w:tc>
        <w:tc>
          <w:tcPr>
            <w:tcW w:w="2551" w:type="dxa"/>
            <w:shd w:val="clear" w:color="auto" w:fill="auto"/>
            <w:tcMar>
              <w:top w:w="0" w:type="dxa"/>
              <w:left w:w="108" w:type="dxa"/>
              <w:bottom w:w="0" w:type="dxa"/>
              <w:right w:w="108" w:type="dxa"/>
            </w:tcMar>
          </w:tcPr>
          <w:p w14:paraId="1A37DD09"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 3 within 30 days of Allotment</w:t>
            </w:r>
          </w:p>
        </w:tc>
      </w:tr>
      <w:tr w:rsidR="0063137E" w14:paraId="7F0962CC" w14:textId="77777777">
        <w:tc>
          <w:tcPr>
            <w:tcW w:w="7621" w:type="dxa"/>
            <w:gridSpan w:val="2"/>
            <w:shd w:val="clear" w:color="auto" w:fill="auto"/>
            <w:tcMar>
              <w:top w:w="0" w:type="dxa"/>
              <w:left w:w="108" w:type="dxa"/>
              <w:bottom w:w="0" w:type="dxa"/>
              <w:right w:w="108" w:type="dxa"/>
            </w:tcMar>
          </w:tcPr>
          <w:p w14:paraId="3DF9FC13"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Stamp duty adjudication</w:t>
            </w:r>
          </w:p>
        </w:tc>
        <w:tc>
          <w:tcPr>
            <w:tcW w:w="2551" w:type="dxa"/>
            <w:shd w:val="clear" w:color="auto" w:fill="auto"/>
            <w:tcMar>
              <w:top w:w="0" w:type="dxa"/>
              <w:left w:w="108" w:type="dxa"/>
              <w:bottom w:w="0" w:type="dxa"/>
              <w:right w:w="108" w:type="dxa"/>
            </w:tcMar>
          </w:tcPr>
          <w:p w14:paraId="3A483441"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Within 30 days of receiving Order of Merger</w:t>
            </w:r>
          </w:p>
        </w:tc>
      </w:tr>
      <w:tr w:rsidR="0063137E" w14:paraId="2D5B1207" w14:textId="77777777">
        <w:tc>
          <w:tcPr>
            <w:tcW w:w="7621" w:type="dxa"/>
            <w:gridSpan w:val="2"/>
            <w:shd w:val="clear" w:color="auto" w:fill="auto"/>
            <w:tcMar>
              <w:top w:w="0" w:type="dxa"/>
              <w:left w:w="108" w:type="dxa"/>
              <w:bottom w:w="0" w:type="dxa"/>
              <w:right w:w="108" w:type="dxa"/>
            </w:tcMar>
          </w:tcPr>
          <w:p w14:paraId="26202D5D"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Intimation to various other stakeholders about approved Scheme of amalgamation including banks</w:t>
            </w:r>
          </w:p>
        </w:tc>
        <w:tc>
          <w:tcPr>
            <w:tcW w:w="2551" w:type="dxa"/>
            <w:shd w:val="clear" w:color="auto" w:fill="auto"/>
            <w:tcMar>
              <w:top w:w="0" w:type="dxa"/>
              <w:left w:w="108" w:type="dxa"/>
              <w:bottom w:w="0" w:type="dxa"/>
              <w:right w:w="108" w:type="dxa"/>
            </w:tcMar>
          </w:tcPr>
          <w:p w14:paraId="3B790900"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63137E" w14:paraId="34483B21" w14:textId="77777777">
        <w:tc>
          <w:tcPr>
            <w:tcW w:w="7621" w:type="dxa"/>
            <w:gridSpan w:val="2"/>
            <w:shd w:val="clear" w:color="auto" w:fill="auto"/>
            <w:tcMar>
              <w:top w:w="0" w:type="dxa"/>
              <w:left w:w="108" w:type="dxa"/>
              <w:bottom w:w="0" w:type="dxa"/>
              <w:right w:w="108" w:type="dxa"/>
            </w:tcMar>
          </w:tcPr>
          <w:p w14:paraId="19CF65E5" w14:textId="77777777" w:rsidR="0063137E" w:rsidRDefault="005203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Surrender of PAN/ TAN of Transferor Company</w:t>
            </w:r>
          </w:p>
        </w:tc>
        <w:tc>
          <w:tcPr>
            <w:tcW w:w="2551" w:type="dxa"/>
            <w:shd w:val="clear" w:color="auto" w:fill="auto"/>
            <w:tcMar>
              <w:top w:w="0" w:type="dxa"/>
              <w:left w:w="108" w:type="dxa"/>
              <w:bottom w:w="0" w:type="dxa"/>
              <w:right w:w="108" w:type="dxa"/>
            </w:tcMar>
          </w:tcPr>
          <w:p w14:paraId="4484C361" w14:textId="77777777" w:rsidR="0063137E" w:rsidRDefault="005203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52112120" w14:textId="77777777" w:rsidR="0063137E" w:rsidRDefault="0063137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sectPr w:rsidR="0063137E">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750A9"/>
    <w:multiLevelType w:val="multilevel"/>
    <w:tmpl w:val="2EE42884"/>
    <w:lvl w:ilvl="0">
      <w:start w:val="1"/>
      <w:numFmt w:val="lowerRoman"/>
      <w:lvlText w:val="%1)"/>
      <w:lvlJc w:val="left"/>
      <w:pPr>
        <w:ind w:left="1080" w:hanging="10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68512BAC"/>
    <w:multiLevelType w:val="multilevel"/>
    <w:tmpl w:val="24985550"/>
    <w:lvl w:ilvl="0">
      <w:start w:val="1"/>
      <w:numFmt w:val="bullet"/>
      <w:lvlText w:val="-"/>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440" w:hanging="144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hanging="2160"/>
      </w:pPr>
      <w:rPr>
        <w:rFonts w:ascii="Verdana" w:eastAsia="Verdana" w:hAnsi="Verdana" w:cs="Verdana"/>
        <w:b w:val="0"/>
        <w:i w:val="0"/>
        <w:smallCaps w:val="0"/>
        <w:strike w:val="0"/>
        <w:color w:val="000000"/>
        <w:sz w:val="20"/>
        <w:szCs w:val="20"/>
        <w:u w:val="none"/>
        <w:shd w:val="clear" w:color="auto" w:fill="auto"/>
        <w:vertAlign w:val="baseline"/>
      </w:rPr>
    </w:lvl>
    <w:lvl w:ilvl="3">
      <w:start w:val="1"/>
      <w:numFmt w:val="bullet"/>
      <w:lvlText w:val="∙"/>
      <w:lvlJc w:val="left"/>
      <w:pPr>
        <w:ind w:left="2880" w:hanging="2880"/>
      </w:pPr>
      <w:rPr>
        <w:rFonts w:ascii="Verdana" w:eastAsia="Verdana" w:hAnsi="Verdana" w:cs="Verdana"/>
        <w:b w:val="0"/>
        <w:i w:val="0"/>
        <w:smallCaps w:val="0"/>
        <w:strike w:val="0"/>
        <w:color w:val="000000"/>
        <w:sz w:val="20"/>
        <w:szCs w:val="20"/>
        <w:u w:val="none"/>
        <w:shd w:val="clear" w:color="auto" w:fill="auto"/>
        <w:vertAlign w:val="baseline"/>
      </w:rPr>
    </w:lvl>
    <w:lvl w:ilvl="4">
      <w:start w:val="1"/>
      <w:numFmt w:val="bullet"/>
      <w:lvlText w:val="○"/>
      <w:lvlJc w:val="left"/>
      <w:pPr>
        <w:ind w:left="3600" w:hanging="360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hanging="4320"/>
      </w:pPr>
      <w:rPr>
        <w:rFonts w:ascii="Verdana" w:eastAsia="Verdana" w:hAnsi="Verdana" w:cs="Verdana"/>
        <w:b w:val="0"/>
        <w:i w:val="0"/>
        <w:smallCaps w:val="0"/>
        <w:strike w:val="0"/>
        <w:color w:val="000000"/>
        <w:sz w:val="20"/>
        <w:szCs w:val="20"/>
        <w:u w:val="none"/>
        <w:shd w:val="clear" w:color="auto" w:fill="auto"/>
        <w:vertAlign w:val="baseline"/>
      </w:rPr>
    </w:lvl>
    <w:lvl w:ilvl="6">
      <w:start w:val="1"/>
      <w:numFmt w:val="bullet"/>
      <w:lvlText w:val="∙"/>
      <w:lvlJc w:val="left"/>
      <w:pPr>
        <w:ind w:left="5040" w:hanging="5040"/>
      </w:pPr>
      <w:rPr>
        <w:rFonts w:ascii="Verdana" w:eastAsia="Verdana" w:hAnsi="Verdana" w:cs="Verdana"/>
        <w:b w:val="0"/>
        <w:i w:val="0"/>
        <w:smallCaps w:val="0"/>
        <w:strike w:val="0"/>
        <w:color w:val="000000"/>
        <w:sz w:val="20"/>
        <w:szCs w:val="20"/>
        <w:u w:val="none"/>
        <w:shd w:val="clear" w:color="auto" w:fill="auto"/>
        <w:vertAlign w:val="baseline"/>
      </w:rPr>
    </w:lvl>
    <w:lvl w:ilvl="7">
      <w:start w:val="1"/>
      <w:numFmt w:val="bullet"/>
      <w:lvlText w:val="○"/>
      <w:lvlJc w:val="left"/>
      <w:pPr>
        <w:ind w:left="5760" w:hanging="57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hanging="6480"/>
      </w:pPr>
      <w:rPr>
        <w:rFonts w:ascii="Verdana" w:eastAsia="Verdana" w:hAnsi="Verdana" w:cs="Verdana"/>
        <w:b w:val="0"/>
        <w:i w:val="0"/>
        <w:smallCaps w:val="0"/>
        <w:strike w:val="0"/>
        <w:color w:val="000000"/>
        <w:sz w:val="20"/>
        <w:szCs w:val="20"/>
        <w:u w:val="none"/>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37E"/>
    <w:rsid w:val="002D1A88"/>
    <w:rsid w:val="00365FFC"/>
    <w:rsid w:val="00520385"/>
    <w:rsid w:val="0063137E"/>
    <w:rsid w:val="009E123F"/>
    <w:rsid w:val="00CB54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E60D4"/>
  <w15:docId w15:val="{1C63A3C8-B5CD-4FA2-B619-80CB426D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775</Words>
  <Characters>4423</Characters>
  <Application>Microsoft Office Word</Application>
  <DocSecurity>0</DocSecurity>
  <Lines>36</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Aishwarya Parekh</cp:lastModifiedBy>
  <cp:revision>6</cp:revision>
  <dcterms:created xsi:type="dcterms:W3CDTF">2020-04-08T08:59:00Z</dcterms:created>
  <dcterms:modified xsi:type="dcterms:W3CDTF">2020-04-08T09:03:00Z</dcterms:modified>
</cp:coreProperties>
</file>