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 w:after="1"/>
        <w:rPr>
          <w:rFonts w:ascii="Times New Roman"/>
          <w:sz w:val="20"/>
        </w:rPr>
      </w:pPr>
    </w:p>
    <w:p>
      <w:pPr>
        <w:pStyle w:val="BodyText"/>
        <w:spacing w:line="20" w:lineRule="exact"/>
        <w:ind w:left="92"/>
        <w:rPr>
          <w:rFonts w:ascii="Times New Roman"/>
          <w:sz w:val="2"/>
        </w:rPr>
      </w:pPr>
      <w:r>
        <w:rPr>
          <w:rFonts w:ascii="Times New Roman"/>
          <w:sz w:val="2"/>
        </w:rPr>
        <w:pict>
          <v:group style="width:449.05pt;height:.75pt;mso-position-horizontal-relative:char;mso-position-vertical-relative:line" coordorigin="0,0" coordsize="8981,15">
            <v:line style="position:absolute" from="0,7" to="8980,7" stroked="true" strokeweight=".71691pt" strokecolor="#000000">
              <v:stroke dashstyle="solid"/>
            </v:line>
          </v:group>
        </w:pict>
      </w:r>
      <w:r>
        <w:rPr>
          <w:rFonts w:ascii="Times New Roman"/>
          <w:sz w:val="2"/>
        </w:rPr>
      </w:r>
    </w:p>
    <w:p>
      <w:pPr>
        <w:pStyle w:val="BodyText"/>
        <w:spacing w:before="5"/>
        <w:rPr>
          <w:rFonts w:ascii="Times New Roman"/>
          <w:sz w:val="15"/>
        </w:rPr>
      </w:pPr>
    </w:p>
    <w:p>
      <w:pPr>
        <w:pStyle w:val="Heading1"/>
        <w:spacing w:line="259" w:lineRule="auto" w:before="103"/>
        <w:ind w:left="316" w:right="997" w:firstLine="10"/>
      </w:pPr>
      <w:r>
        <w:rPr/>
        <w:t>Practical Approach - Sabka Vishwas (Legacy Dispute Resolution) Scheme, 2019</w:t>
      </w:r>
    </w:p>
    <w:p>
      <w:pPr>
        <w:spacing w:before="160"/>
        <w:ind w:left="118" w:right="799" w:firstLine="0"/>
        <w:jc w:val="center"/>
        <w:rPr>
          <w:rFonts w:ascii="Arial Black"/>
          <w:sz w:val="42"/>
        </w:rPr>
      </w:pPr>
      <w:r>
        <w:rPr>
          <w:rFonts w:ascii="Arial Black"/>
          <w:sz w:val="42"/>
        </w:rPr>
        <w:t>----------------------------------------------------------------</w:t>
      </w:r>
    </w:p>
    <w:p>
      <w:pPr>
        <w:pStyle w:val="BodyText"/>
        <w:spacing w:before="51"/>
        <w:ind w:left="118" w:right="789"/>
        <w:jc w:val="center"/>
        <w:rPr>
          <w:rFonts w:ascii="Arial Rounded MT Bold" w:hAnsi="Arial Rounded MT Bold"/>
        </w:rPr>
      </w:pPr>
      <w:r>
        <w:rPr>
          <w:rFonts w:ascii="Arial Rounded MT Bold" w:hAnsi="Arial Rounded MT Bold"/>
          <w:color w:val="333333"/>
        </w:rPr>
        <w:t>Long Awaited and Vital scheme for Taxpayers…….</w:t>
      </w:r>
    </w:p>
    <w:p>
      <w:pPr>
        <w:pStyle w:val="BodyText"/>
        <w:spacing w:before="11"/>
        <w:rPr>
          <w:rFonts w:ascii="Arial Rounded MT Bold"/>
          <w:sz w:val="24"/>
        </w:rPr>
      </w:pPr>
    </w:p>
    <w:p>
      <w:pPr>
        <w:pStyle w:val="Heading2"/>
        <w:spacing w:line="237" w:lineRule="auto"/>
      </w:pPr>
      <w:r>
        <w:rPr>
          <w:color w:val="333333"/>
        </w:rPr>
        <w:t>Finally, in the Union Budget 2019-20, the Hon’ble Finance Minister announced the </w:t>
      </w:r>
      <w:r>
        <w:rPr>
          <w:b/>
          <w:color w:val="333333"/>
        </w:rPr>
        <w:t>Sabka Vishwas-Legacy Dispute Resolution Scheme, 2019. </w:t>
      </w:r>
      <w:r>
        <w:rPr>
          <w:color w:val="333333"/>
        </w:rPr>
        <w:t>The Scheme has now been notified and operationalized</w:t>
      </w:r>
      <w:r>
        <w:rPr>
          <w:color w:val="333333"/>
          <w:spacing w:val="-11"/>
        </w:rPr>
        <w:t> </w:t>
      </w:r>
      <w:r>
        <w:rPr>
          <w:color w:val="333333"/>
        </w:rPr>
        <w:t>from</w:t>
      </w:r>
      <w:r>
        <w:rPr>
          <w:color w:val="333333"/>
          <w:spacing w:val="-24"/>
        </w:rPr>
        <w:t> </w:t>
      </w:r>
      <w:r>
        <w:rPr>
          <w:color w:val="333333"/>
        </w:rPr>
        <w:t>1</w:t>
      </w:r>
      <w:r>
        <w:rPr>
          <w:color w:val="333333"/>
          <w:position w:val="9"/>
          <w:sz w:val="16"/>
        </w:rPr>
        <w:t>st</w:t>
      </w:r>
      <w:r>
        <w:rPr>
          <w:color w:val="333333"/>
          <w:spacing w:val="18"/>
          <w:position w:val="9"/>
          <w:sz w:val="16"/>
        </w:rPr>
        <w:t> </w:t>
      </w:r>
      <w:r>
        <w:rPr>
          <w:color w:val="333333"/>
        </w:rPr>
        <w:t>September</w:t>
      </w:r>
      <w:r>
        <w:rPr>
          <w:color w:val="333333"/>
          <w:spacing w:val="-13"/>
        </w:rPr>
        <w:t> </w:t>
      </w:r>
      <w:r>
        <w:rPr>
          <w:color w:val="333333"/>
        </w:rPr>
        <w:t>2019.</w:t>
      </w:r>
      <w:r>
        <w:rPr>
          <w:color w:val="333333"/>
          <w:spacing w:val="-13"/>
        </w:rPr>
        <w:t> </w:t>
      </w:r>
      <w:r>
        <w:rPr>
          <w:color w:val="333333"/>
        </w:rPr>
        <w:t>The</w:t>
      </w:r>
      <w:r>
        <w:rPr>
          <w:color w:val="333333"/>
          <w:spacing w:val="-15"/>
        </w:rPr>
        <w:t> </w:t>
      </w:r>
      <w:r>
        <w:rPr>
          <w:color w:val="333333"/>
        </w:rPr>
        <w:t>Scheme</w:t>
      </w:r>
      <w:r>
        <w:rPr>
          <w:color w:val="333333"/>
          <w:spacing w:val="-16"/>
        </w:rPr>
        <w:t> </w:t>
      </w:r>
      <w:r>
        <w:rPr>
          <w:color w:val="333333"/>
        </w:rPr>
        <w:t>would</w:t>
      </w:r>
      <w:r>
        <w:rPr>
          <w:color w:val="333333"/>
          <w:spacing w:val="-14"/>
        </w:rPr>
        <w:t> </w:t>
      </w:r>
      <w:r>
        <w:rPr>
          <w:color w:val="333333"/>
        </w:rPr>
        <w:t>continue</w:t>
      </w:r>
      <w:r>
        <w:rPr>
          <w:color w:val="333333"/>
          <w:spacing w:val="-15"/>
        </w:rPr>
        <w:t> </w:t>
      </w:r>
      <w:r>
        <w:rPr>
          <w:color w:val="333333"/>
        </w:rPr>
        <w:t>till</w:t>
      </w:r>
      <w:r>
        <w:rPr>
          <w:color w:val="333333"/>
          <w:spacing w:val="-19"/>
        </w:rPr>
        <w:t> </w:t>
      </w:r>
      <w:r>
        <w:rPr>
          <w:color w:val="333333"/>
        </w:rPr>
        <w:t>31</w:t>
      </w:r>
      <w:r>
        <w:rPr>
          <w:color w:val="333333"/>
          <w:position w:val="9"/>
          <w:sz w:val="16"/>
        </w:rPr>
        <w:t>st</w:t>
      </w:r>
      <w:r>
        <w:rPr>
          <w:color w:val="333333"/>
          <w:spacing w:val="18"/>
          <w:position w:val="9"/>
          <w:sz w:val="16"/>
        </w:rPr>
        <w:t> </w:t>
      </w:r>
      <w:r>
        <w:rPr>
          <w:color w:val="333333"/>
        </w:rPr>
        <w:t>December</w:t>
      </w:r>
      <w:r>
        <w:rPr>
          <w:color w:val="333333"/>
          <w:spacing w:val="-13"/>
        </w:rPr>
        <w:t> </w:t>
      </w:r>
      <w:r>
        <w:rPr>
          <w:color w:val="333333"/>
        </w:rPr>
        <w:t>2019. Government</w:t>
      </w:r>
      <w:r>
        <w:rPr>
          <w:color w:val="333333"/>
          <w:spacing w:val="-1"/>
        </w:rPr>
        <w:t> </w:t>
      </w:r>
      <w:r>
        <w:rPr>
          <w:color w:val="333333"/>
        </w:rPr>
        <w:t>expects</w:t>
      </w:r>
      <w:r>
        <w:rPr>
          <w:color w:val="333333"/>
          <w:spacing w:val="-9"/>
        </w:rPr>
        <w:t> </w:t>
      </w:r>
      <w:r>
        <w:rPr>
          <w:color w:val="333333"/>
        </w:rPr>
        <w:t>the</w:t>
      </w:r>
      <w:r>
        <w:rPr>
          <w:color w:val="333333"/>
          <w:spacing w:val="-7"/>
        </w:rPr>
        <w:t> </w:t>
      </w:r>
      <w:r>
        <w:rPr>
          <w:color w:val="333333"/>
        </w:rPr>
        <w:t>Scheme</w:t>
      </w:r>
      <w:r>
        <w:rPr>
          <w:color w:val="333333"/>
          <w:spacing w:val="-8"/>
        </w:rPr>
        <w:t> </w:t>
      </w:r>
      <w:r>
        <w:rPr>
          <w:color w:val="333333"/>
        </w:rPr>
        <w:t>will</w:t>
      </w:r>
      <w:r>
        <w:rPr>
          <w:color w:val="333333"/>
          <w:spacing w:val="-3"/>
        </w:rPr>
        <w:t> be</w:t>
      </w:r>
      <w:r>
        <w:rPr>
          <w:color w:val="333333"/>
          <w:spacing w:val="-8"/>
        </w:rPr>
        <w:t> </w:t>
      </w:r>
      <w:r>
        <w:rPr>
          <w:color w:val="333333"/>
        </w:rPr>
        <w:t>availed</w:t>
      </w:r>
      <w:r>
        <w:rPr>
          <w:color w:val="333333"/>
          <w:spacing w:val="-7"/>
        </w:rPr>
        <w:t> </w:t>
      </w:r>
      <w:r>
        <w:rPr>
          <w:color w:val="333333"/>
        </w:rPr>
        <w:t>by</w:t>
      </w:r>
      <w:r>
        <w:rPr>
          <w:color w:val="333333"/>
          <w:spacing w:val="-7"/>
        </w:rPr>
        <w:t> </w:t>
      </w:r>
      <w:r>
        <w:rPr>
          <w:color w:val="333333"/>
        </w:rPr>
        <w:t>large</w:t>
      </w:r>
      <w:r>
        <w:rPr>
          <w:color w:val="333333"/>
          <w:spacing w:val="-7"/>
        </w:rPr>
        <w:t> </w:t>
      </w:r>
      <w:r>
        <w:rPr>
          <w:color w:val="333333"/>
        </w:rPr>
        <w:t>number</w:t>
      </w:r>
      <w:r>
        <w:rPr>
          <w:color w:val="333333"/>
          <w:spacing w:val="-5"/>
        </w:rPr>
        <w:t> </w:t>
      </w:r>
      <w:r>
        <w:rPr>
          <w:color w:val="333333"/>
        </w:rPr>
        <w:t>of</w:t>
      </w:r>
      <w:r>
        <w:rPr>
          <w:color w:val="333333"/>
          <w:spacing w:val="-15"/>
        </w:rPr>
        <w:t> </w:t>
      </w:r>
      <w:r>
        <w:rPr>
          <w:color w:val="333333"/>
        </w:rPr>
        <w:t>taxpayers</w:t>
      </w:r>
      <w:r>
        <w:rPr>
          <w:color w:val="333333"/>
          <w:spacing w:val="-4"/>
        </w:rPr>
        <w:t> </w:t>
      </w:r>
      <w:r>
        <w:rPr>
          <w:color w:val="333333"/>
        </w:rPr>
        <w:t>for</w:t>
      </w:r>
      <w:r>
        <w:rPr>
          <w:color w:val="333333"/>
          <w:spacing w:val="-5"/>
        </w:rPr>
        <w:t> </w:t>
      </w:r>
      <w:r>
        <w:rPr>
          <w:color w:val="333333"/>
        </w:rPr>
        <w:t>closing</w:t>
      </w:r>
      <w:r>
        <w:rPr>
          <w:color w:val="333333"/>
          <w:spacing w:val="-7"/>
        </w:rPr>
        <w:t> </w:t>
      </w:r>
      <w:r>
        <w:rPr>
          <w:color w:val="333333"/>
        </w:rPr>
        <w:t>their pending disputes relating to legacy Service Tax and Central Excise cases that are now subsumed under GST so that they can focus on GST. Over 1.50 </w:t>
      </w:r>
      <w:r>
        <w:rPr>
          <w:color w:val="333333"/>
          <w:spacing w:val="-3"/>
        </w:rPr>
        <w:t>lacs </w:t>
      </w:r>
      <w:r>
        <w:rPr>
          <w:color w:val="333333"/>
        </w:rPr>
        <w:t>cases are disputed involving</w:t>
      </w:r>
      <w:r>
        <w:rPr>
          <w:color w:val="333333"/>
          <w:spacing w:val="-13"/>
        </w:rPr>
        <w:t> </w:t>
      </w:r>
      <w:r>
        <w:rPr>
          <w:color w:val="333333"/>
        </w:rPr>
        <w:t>more</w:t>
      </w:r>
      <w:r>
        <w:rPr>
          <w:color w:val="333333"/>
          <w:spacing w:val="-16"/>
        </w:rPr>
        <w:t> </w:t>
      </w:r>
      <w:r>
        <w:rPr>
          <w:color w:val="333333"/>
        </w:rPr>
        <w:t>than</w:t>
      </w:r>
      <w:r>
        <w:rPr>
          <w:color w:val="333333"/>
          <w:spacing w:val="-20"/>
        </w:rPr>
        <w:t> </w:t>
      </w:r>
      <w:r>
        <w:rPr>
          <w:color w:val="333333"/>
        </w:rPr>
        <w:t>Rs.3.80</w:t>
      </w:r>
      <w:r>
        <w:rPr>
          <w:color w:val="333333"/>
          <w:spacing w:val="-16"/>
        </w:rPr>
        <w:t> </w:t>
      </w:r>
      <w:r>
        <w:rPr>
          <w:color w:val="333333"/>
        </w:rPr>
        <w:t>lacs</w:t>
      </w:r>
      <w:r>
        <w:rPr>
          <w:color w:val="333333"/>
          <w:spacing w:val="-19"/>
        </w:rPr>
        <w:t> </w:t>
      </w:r>
      <w:r>
        <w:rPr>
          <w:color w:val="333333"/>
        </w:rPr>
        <w:t>crores</w:t>
      </w:r>
      <w:r>
        <w:rPr>
          <w:color w:val="333333"/>
          <w:spacing w:val="-18"/>
        </w:rPr>
        <w:t> </w:t>
      </w:r>
      <w:r>
        <w:rPr>
          <w:color w:val="333333"/>
        </w:rPr>
        <w:t>demand</w:t>
      </w:r>
      <w:r>
        <w:rPr>
          <w:color w:val="333333"/>
          <w:spacing w:val="-16"/>
        </w:rPr>
        <w:t> </w:t>
      </w:r>
      <w:r>
        <w:rPr>
          <w:color w:val="333333"/>
        </w:rPr>
        <w:t>and</w:t>
      </w:r>
      <w:r>
        <w:rPr>
          <w:color w:val="333333"/>
          <w:spacing w:val="-13"/>
        </w:rPr>
        <w:t> </w:t>
      </w:r>
      <w:r>
        <w:rPr>
          <w:color w:val="333333"/>
        </w:rPr>
        <w:t>pending</w:t>
      </w:r>
      <w:r>
        <w:rPr>
          <w:color w:val="333333"/>
          <w:spacing w:val="-15"/>
        </w:rPr>
        <w:t> </w:t>
      </w:r>
      <w:r>
        <w:rPr>
          <w:color w:val="333333"/>
        </w:rPr>
        <w:t>at</w:t>
      </w:r>
      <w:r>
        <w:rPr>
          <w:color w:val="333333"/>
          <w:spacing w:val="-12"/>
        </w:rPr>
        <w:t> </w:t>
      </w:r>
      <w:r>
        <w:rPr>
          <w:color w:val="333333"/>
        </w:rPr>
        <w:t>various</w:t>
      </w:r>
      <w:r>
        <w:rPr>
          <w:color w:val="333333"/>
          <w:spacing w:val="-13"/>
        </w:rPr>
        <w:t> </w:t>
      </w:r>
      <w:r>
        <w:rPr>
          <w:color w:val="333333"/>
        </w:rPr>
        <w:t>forums</w:t>
      </w:r>
      <w:r>
        <w:rPr>
          <w:color w:val="333333"/>
          <w:spacing w:val="-14"/>
        </w:rPr>
        <w:t> </w:t>
      </w:r>
      <w:r>
        <w:rPr>
          <w:color w:val="333333"/>
        </w:rPr>
        <w:t>since</w:t>
      </w:r>
      <w:r>
        <w:rPr>
          <w:color w:val="333333"/>
          <w:spacing w:val="-13"/>
        </w:rPr>
        <w:t> </w:t>
      </w:r>
      <w:r>
        <w:rPr>
          <w:color w:val="333333"/>
        </w:rPr>
        <w:t>long</w:t>
      </w:r>
      <w:r>
        <w:rPr>
          <w:color w:val="333333"/>
          <w:spacing w:val="-16"/>
        </w:rPr>
        <w:t> </w:t>
      </w:r>
      <w:r>
        <w:rPr>
          <w:color w:val="333333"/>
        </w:rPr>
        <w:t>time.</w:t>
      </w:r>
    </w:p>
    <w:p>
      <w:pPr>
        <w:pStyle w:val="BodyText"/>
        <w:spacing w:before="7"/>
        <w:rPr>
          <w:rFonts w:ascii="Times New Roman"/>
          <w:sz w:val="24"/>
        </w:rPr>
      </w:pPr>
    </w:p>
    <w:p>
      <w:pPr>
        <w:spacing w:line="240" w:lineRule="auto" w:before="1"/>
        <w:ind w:left="100" w:right="774" w:firstLine="0"/>
        <w:jc w:val="both"/>
        <w:rPr>
          <w:rFonts w:ascii="Times New Roman"/>
          <w:sz w:val="24"/>
        </w:rPr>
      </w:pPr>
      <w:r>
        <w:rPr>
          <w:rFonts w:ascii="Times New Roman"/>
          <w:b/>
          <w:color w:val="333333"/>
          <w:sz w:val="24"/>
        </w:rPr>
        <w:t>The</w:t>
      </w:r>
      <w:r>
        <w:rPr>
          <w:rFonts w:ascii="Times New Roman"/>
          <w:b/>
          <w:color w:val="333333"/>
          <w:spacing w:val="-7"/>
          <w:sz w:val="24"/>
        </w:rPr>
        <w:t> </w:t>
      </w:r>
      <w:r>
        <w:rPr>
          <w:rFonts w:ascii="Times New Roman"/>
          <w:b/>
          <w:color w:val="333333"/>
          <w:sz w:val="24"/>
        </w:rPr>
        <w:t>two</w:t>
      </w:r>
      <w:r>
        <w:rPr>
          <w:rFonts w:ascii="Times New Roman"/>
          <w:b/>
          <w:color w:val="333333"/>
          <w:spacing w:val="-6"/>
          <w:sz w:val="24"/>
        </w:rPr>
        <w:t> </w:t>
      </w:r>
      <w:r>
        <w:rPr>
          <w:rFonts w:ascii="Times New Roman"/>
          <w:b/>
          <w:color w:val="333333"/>
          <w:sz w:val="24"/>
        </w:rPr>
        <w:t>main</w:t>
      </w:r>
      <w:r>
        <w:rPr>
          <w:rFonts w:ascii="Times New Roman"/>
          <w:b/>
          <w:color w:val="333333"/>
          <w:spacing w:val="-4"/>
          <w:sz w:val="24"/>
        </w:rPr>
        <w:t> </w:t>
      </w:r>
      <w:r>
        <w:rPr>
          <w:rFonts w:ascii="Times New Roman"/>
          <w:b/>
          <w:color w:val="333333"/>
          <w:sz w:val="24"/>
        </w:rPr>
        <w:t>components</w:t>
      </w:r>
      <w:r>
        <w:rPr>
          <w:rFonts w:ascii="Times New Roman"/>
          <w:b/>
          <w:color w:val="333333"/>
          <w:spacing w:val="-8"/>
          <w:sz w:val="24"/>
        </w:rPr>
        <w:t> </w:t>
      </w:r>
      <w:r>
        <w:rPr>
          <w:rFonts w:ascii="Times New Roman"/>
          <w:b/>
          <w:color w:val="333333"/>
          <w:sz w:val="24"/>
        </w:rPr>
        <w:t>of</w:t>
      </w:r>
      <w:r>
        <w:rPr>
          <w:rFonts w:ascii="Times New Roman"/>
          <w:b/>
          <w:color w:val="333333"/>
          <w:spacing w:val="-8"/>
          <w:sz w:val="24"/>
        </w:rPr>
        <w:t> </w:t>
      </w:r>
      <w:r>
        <w:rPr>
          <w:rFonts w:ascii="Times New Roman"/>
          <w:b/>
          <w:color w:val="333333"/>
          <w:sz w:val="24"/>
        </w:rPr>
        <w:t>the</w:t>
      </w:r>
      <w:r>
        <w:rPr>
          <w:rFonts w:ascii="Times New Roman"/>
          <w:b/>
          <w:color w:val="333333"/>
          <w:spacing w:val="-7"/>
          <w:sz w:val="24"/>
        </w:rPr>
        <w:t> </w:t>
      </w:r>
      <w:r>
        <w:rPr>
          <w:rFonts w:ascii="Times New Roman"/>
          <w:b/>
          <w:color w:val="333333"/>
          <w:sz w:val="24"/>
        </w:rPr>
        <w:t>Scheme</w:t>
      </w:r>
      <w:r>
        <w:rPr>
          <w:rFonts w:ascii="Times New Roman"/>
          <w:b/>
          <w:color w:val="333333"/>
          <w:spacing w:val="-7"/>
          <w:sz w:val="24"/>
        </w:rPr>
        <w:t> </w:t>
      </w:r>
      <w:r>
        <w:rPr>
          <w:rFonts w:ascii="Times New Roman"/>
          <w:b/>
          <w:color w:val="333333"/>
          <w:sz w:val="24"/>
        </w:rPr>
        <w:t>are</w:t>
      </w:r>
      <w:r>
        <w:rPr>
          <w:rFonts w:ascii="Times New Roman"/>
          <w:b/>
          <w:color w:val="333333"/>
          <w:spacing w:val="-6"/>
          <w:sz w:val="24"/>
        </w:rPr>
        <w:t> </w:t>
      </w:r>
      <w:r>
        <w:rPr>
          <w:rFonts w:ascii="Times New Roman"/>
          <w:b/>
          <w:color w:val="333333"/>
          <w:sz w:val="24"/>
        </w:rPr>
        <w:t>dispute</w:t>
      </w:r>
      <w:r>
        <w:rPr>
          <w:rFonts w:ascii="Times New Roman"/>
          <w:b/>
          <w:color w:val="333333"/>
          <w:spacing w:val="-7"/>
          <w:sz w:val="24"/>
        </w:rPr>
        <w:t> </w:t>
      </w:r>
      <w:r>
        <w:rPr>
          <w:rFonts w:ascii="Times New Roman"/>
          <w:b/>
          <w:color w:val="333333"/>
          <w:sz w:val="24"/>
        </w:rPr>
        <w:t>resolution</w:t>
      </w:r>
      <w:r>
        <w:rPr>
          <w:rFonts w:ascii="Times New Roman"/>
          <w:b/>
          <w:color w:val="333333"/>
          <w:spacing w:val="-5"/>
          <w:sz w:val="24"/>
        </w:rPr>
        <w:t> </w:t>
      </w:r>
      <w:r>
        <w:rPr>
          <w:rFonts w:ascii="Times New Roman"/>
          <w:b/>
          <w:color w:val="333333"/>
          <w:sz w:val="24"/>
        </w:rPr>
        <w:t>and</w:t>
      </w:r>
      <w:r>
        <w:rPr>
          <w:rFonts w:ascii="Times New Roman"/>
          <w:b/>
          <w:color w:val="333333"/>
          <w:spacing w:val="-4"/>
          <w:sz w:val="24"/>
        </w:rPr>
        <w:t> </w:t>
      </w:r>
      <w:r>
        <w:rPr>
          <w:rFonts w:ascii="Times New Roman"/>
          <w:b/>
          <w:color w:val="333333"/>
          <w:sz w:val="24"/>
        </w:rPr>
        <w:t>amnesty</w:t>
      </w:r>
      <w:r>
        <w:rPr>
          <w:rFonts w:ascii="Times New Roman"/>
          <w:color w:val="333333"/>
          <w:sz w:val="24"/>
        </w:rPr>
        <w:t>.</w:t>
      </w:r>
      <w:r>
        <w:rPr>
          <w:rFonts w:ascii="Times New Roman"/>
          <w:color w:val="333333"/>
          <w:spacing w:val="-9"/>
          <w:sz w:val="24"/>
        </w:rPr>
        <w:t> </w:t>
      </w:r>
      <w:r>
        <w:rPr>
          <w:rFonts w:ascii="Times New Roman"/>
          <w:color w:val="333333"/>
          <w:sz w:val="24"/>
        </w:rPr>
        <w:t>The</w:t>
      </w:r>
      <w:r>
        <w:rPr>
          <w:rFonts w:ascii="Times New Roman"/>
          <w:color w:val="333333"/>
          <w:spacing w:val="-6"/>
          <w:sz w:val="24"/>
        </w:rPr>
        <w:t> </w:t>
      </w:r>
      <w:r>
        <w:rPr>
          <w:rFonts w:ascii="Times New Roman"/>
          <w:color w:val="333333"/>
          <w:sz w:val="24"/>
        </w:rPr>
        <w:t>dispute resolution component </w:t>
      </w:r>
      <w:r>
        <w:rPr>
          <w:rFonts w:ascii="Times New Roman"/>
          <w:color w:val="333333"/>
          <w:spacing w:val="-3"/>
          <w:sz w:val="24"/>
        </w:rPr>
        <w:t>is </w:t>
      </w:r>
      <w:r>
        <w:rPr>
          <w:rFonts w:ascii="Times New Roman"/>
          <w:color w:val="333333"/>
          <w:sz w:val="24"/>
        </w:rPr>
        <w:t>aimed at liquidating the legacy cases of Central Excise and Service Tax that are subsumed </w:t>
      </w:r>
      <w:r>
        <w:rPr>
          <w:rFonts w:ascii="Times New Roman"/>
          <w:color w:val="333333"/>
          <w:spacing w:val="-3"/>
          <w:sz w:val="24"/>
        </w:rPr>
        <w:t>in </w:t>
      </w:r>
      <w:r>
        <w:rPr>
          <w:rFonts w:ascii="Times New Roman"/>
          <w:color w:val="333333"/>
          <w:sz w:val="24"/>
        </w:rPr>
        <w:t>GST and are pending </w:t>
      </w:r>
      <w:r>
        <w:rPr>
          <w:rFonts w:ascii="Times New Roman"/>
          <w:color w:val="333333"/>
          <w:spacing w:val="-3"/>
          <w:sz w:val="24"/>
        </w:rPr>
        <w:t>in </w:t>
      </w:r>
      <w:r>
        <w:rPr>
          <w:rFonts w:ascii="Times New Roman"/>
          <w:color w:val="333333"/>
          <w:sz w:val="24"/>
        </w:rPr>
        <w:t>litigation at various forums. The amnesty component</w:t>
      </w:r>
      <w:r>
        <w:rPr>
          <w:rFonts w:ascii="Times New Roman"/>
          <w:color w:val="333333"/>
          <w:spacing w:val="-5"/>
          <w:sz w:val="24"/>
        </w:rPr>
        <w:t> </w:t>
      </w:r>
      <w:r>
        <w:rPr>
          <w:rFonts w:ascii="Times New Roman"/>
          <w:color w:val="333333"/>
          <w:sz w:val="24"/>
        </w:rPr>
        <w:t>of</w:t>
      </w:r>
      <w:r>
        <w:rPr>
          <w:rFonts w:ascii="Times New Roman"/>
          <w:color w:val="333333"/>
          <w:spacing w:val="-12"/>
          <w:sz w:val="24"/>
        </w:rPr>
        <w:t> </w:t>
      </w:r>
      <w:r>
        <w:rPr>
          <w:rFonts w:ascii="Times New Roman"/>
          <w:color w:val="333333"/>
          <w:sz w:val="24"/>
        </w:rPr>
        <w:t>the</w:t>
      </w:r>
      <w:r>
        <w:rPr>
          <w:rFonts w:ascii="Times New Roman"/>
          <w:color w:val="333333"/>
          <w:spacing w:val="-6"/>
          <w:sz w:val="24"/>
        </w:rPr>
        <w:t> </w:t>
      </w:r>
      <w:r>
        <w:rPr>
          <w:rFonts w:ascii="Times New Roman"/>
          <w:color w:val="333333"/>
          <w:sz w:val="24"/>
        </w:rPr>
        <w:t>Scheme</w:t>
      </w:r>
      <w:r>
        <w:rPr>
          <w:rFonts w:ascii="Times New Roman"/>
          <w:color w:val="333333"/>
          <w:spacing w:val="-6"/>
          <w:sz w:val="24"/>
        </w:rPr>
        <w:t> </w:t>
      </w:r>
      <w:r>
        <w:rPr>
          <w:rFonts w:ascii="Times New Roman"/>
          <w:color w:val="333333"/>
          <w:sz w:val="24"/>
        </w:rPr>
        <w:t>offers</w:t>
      </w:r>
      <w:r>
        <w:rPr>
          <w:rFonts w:ascii="Times New Roman"/>
          <w:color w:val="333333"/>
          <w:spacing w:val="-6"/>
          <w:sz w:val="24"/>
        </w:rPr>
        <w:t> </w:t>
      </w:r>
      <w:r>
        <w:rPr>
          <w:rFonts w:ascii="Times New Roman"/>
          <w:color w:val="333333"/>
          <w:sz w:val="24"/>
        </w:rPr>
        <w:t>an</w:t>
      </w:r>
      <w:r>
        <w:rPr>
          <w:rFonts w:ascii="Times New Roman"/>
          <w:color w:val="333333"/>
          <w:spacing w:val="-10"/>
          <w:sz w:val="24"/>
        </w:rPr>
        <w:t> </w:t>
      </w:r>
      <w:r>
        <w:rPr>
          <w:rFonts w:ascii="Times New Roman"/>
          <w:color w:val="333333"/>
          <w:sz w:val="24"/>
        </w:rPr>
        <w:t>opportunity</w:t>
      </w:r>
      <w:r>
        <w:rPr>
          <w:rFonts w:ascii="Times New Roman"/>
          <w:color w:val="333333"/>
          <w:spacing w:val="-13"/>
          <w:sz w:val="24"/>
        </w:rPr>
        <w:t> </w:t>
      </w:r>
      <w:r>
        <w:rPr>
          <w:rFonts w:ascii="Times New Roman"/>
          <w:color w:val="333333"/>
          <w:sz w:val="24"/>
        </w:rPr>
        <w:t>to</w:t>
      </w:r>
      <w:r>
        <w:rPr>
          <w:rFonts w:ascii="Times New Roman"/>
          <w:color w:val="333333"/>
          <w:spacing w:val="-5"/>
          <w:sz w:val="24"/>
        </w:rPr>
        <w:t> </w:t>
      </w:r>
      <w:r>
        <w:rPr>
          <w:rFonts w:ascii="Times New Roman"/>
          <w:color w:val="333333"/>
          <w:spacing w:val="-4"/>
          <w:sz w:val="24"/>
        </w:rPr>
        <w:t>the</w:t>
      </w:r>
      <w:r>
        <w:rPr>
          <w:rFonts w:ascii="Times New Roman"/>
          <w:color w:val="333333"/>
          <w:spacing w:val="-5"/>
          <w:sz w:val="24"/>
        </w:rPr>
        <w:t> </w:t>
      </w:r>
      <w:r>
        <w:rPr>
          <w:rFonts w:ascii="Times New Roman"/>
          <w:color w:val="333333"/>
          <w:sz w:val="24"/>
        </w:rPr>
        <w:t>taxpayers</w:t>
      </w:r>
      <w:r>
        <w:rPr>
          <w:rFonts w:ascii="Times New Roman"/>
          <w:color w:val="333333"/>
          <w:spacing w:val="-7"/>
          <w:sz w:val="24"/>
        </w:rPr>
        <w:t> </w:t>
      </w:r>
      <w:r>
        <w:rPr>
          <w:rFonts w:ascii="Times New Roman"/>
          <w:color w:val="333333"/>
          <w:spacing w:val="3"/>
          <w:sz w:val="24"/>
        </w:rPr>
        <w:t>to</w:t>
      </w:r>
      <w:r>
        <w:rPr>
          <w:rFonts w:ascii="Times New Roman"/>
          <w:color w:val="333333"/>
          <w:sz w:val="24"/>
        </w:rPr>
        <w:t> pay</w:t>
      </w:r>
      <w:r>
        <w:rPr>
          <w:rFonts w:ascii="Times New Roman"/>
          <w:color w:val="333333"/>
          <w:spacing w:val="-13"/>
          <w:sz w:val="24"/>
        </w:rPr>
        <w:t> </w:t>
      </w:r>
      <w:r>
        <w:rPr>
          <w:rFonts w:ascii="Times New Roman"/>
          <w:color w:val="333333"/>
          <w:sz w:val="24"/>
        </w:rPr>
        <w:t>the</w:t>
      </w:r>
      <w:r>
        <w:rPr>
          <w:rFonts w:ascii="Times New Roman"/>
          <w:color w:val="333333"/>
          <w:spacing w:val="-10"/>
          <w:sz w:val="24"/>
        </w:rPr>
        <w:t> </w:t>
      </w:r>
      <w:r>
        <w:rPr>
          <w:rFonts w:ascii="Times New Roman"/>
          <w:color w:val="333333"/>
          <w:sz w:val="24"/>
        </w:rPr>
        <w:t>outstanding</w:t>
      </w:r>
      <w:r>
        <w:rPr>
          <w:rFonts w:ascii="Times New Roman"/>
          <w:color w:val="333333"/>
          <w:spacing w:val="-5"/>
          <w:sz w:val="24"/>
        </w:rPr>
        <w:t> </w:t>
      </w:r>
      <w:r>
        <w:rPr>
          <w:rFonts w:ascii="Times New Roman"/>
          <w:color w:val="333333"/>
          <w:sz w:val="24"/>
        </w:rPr>
        <w:t>tax</w:t>
      </w:r>
      <w:r>
        <w:rPr>
          <w:rFonts w:ascii="Times New Roman"/>
          <w:color w:val="333333"/>
          <w:spacing w:val="-9"/>
          <w:sz w:val="24"/>
        </w:rPr>
        <w:t> </w:t>
      </w:r>
      <w:r>
        <w:rPr>
          <w:rFonts w:ascii="Times New Roman"/>
          <w:color w:val="333333"/>
          <w:sz w:val="24"/>
        </w:rPr>
        <w:t>and remain free from any other consequence under the law. The </w:t>
      </w:r>
      <w:r>
        <w:rPr>
          <w:rFonts w:ascii="Times New Roman"/>
          <w:color w:val="333333"/>
          <w:spacing w:val="-3"/>
          <w:sz w:val="24"/>
        </w:rPr>
        <w:t>most </w:t>
      </w:r>
      <w:r>
        <w:rPr>
          <w:rFonts w:ascii="Times New Roman"/>
          <w:color w:val="333333"/>
          <w:sz w:val="24"/>
        </w:rPr>
        <w:t>attractive aspect of the Scheme </w:t>
      </w:r>
      <w:r>
        <w:rPr>
          <w:rFonts w:ascii="Times New Roman"/>
          <w:color w:val="333333"/>
          <w:spacing w:val="-3"/>
          <w:sz w:val="24"/>
        </w:rPr>
        <w:t>is</w:t>
      </w:r>
      <w:r>
        <w:rPr>
          <w:rFonts w:ascii="Times New Roman"/>
          <w:color w:val="333333"/>
          <w:spacing w:val="-6"/>
          <w:sz w:val="24"/>
        </w:rPr>
        <w:t> </w:t>
      </w:r>
      <w:r>
        <w:rPr>
          <w:rFonts w:ascii="Times New Roman"/>
          <w:color w:val="333333"/>
          <w:sz w:val="24"/>
        </w:rPr>
        <w:t>that</w:t>
      </w:r>
      <w:r>
        <w:rPr>
          <w:rFonts w:ascii="Times New Roman"/>
          <w:color w:val="333333"/>
          <w:spacing w:val="6"/>
          <w:sz w:val="24"/>
        </w:rPr>
        <w:t> </w:t>
      </w:r>
      <w:r>
        <w:rPr>
          <w:rFonts w:ascii="Times New Roman"/>
          <w:color w:val="333333"/>
          <w:spacing w:val="-5"/>
          <w:sz w:val="24"/>
        </w:rPr>
        <w:t>it</w:t>
      </w:r>
      <w:r>
        <w:rPr>
          <w:rFonts w:ascii="Times New Roman"/>
          <w:color w:val="333333"/>
          <w:spacing w:val="1"/>
          <w:sz w:val="24"/>
        </w:rPr>
        <w:t> </w:t>
      </w:r>
      <w:r>
        <w:rPr>
          <w:rFonts w:ascii="Times New Roman"/>
          <w:color w:val="333333"/>
          <w:sz w:val="24"/>
        </w:rPr>
        <w:t>provides</w:t>
      </w:r>
      <w:r>
        <w:rPr>
          <w:rFonts w:ascii="Times New Roman"/>
          <w:color w:val="333333"/>
          <w:spacing w:val="-6"/>
          <w:sz w:val="24"/>
        </w:rPr>
        <w:t> </w:t>
      </w:r>
      <w:r>
        <w:rPr>
          <w:rFonts w:ascii="Times New Roman"/>
          <w:color w:val="333333"/>
          <w:sz w:val="24"/>
        </w:rPr>
        <w:t>substantial</w:t>
      </w:r>
      <w:r>
        <w:rPr>
          <w:rFonts w:ascii="Times New Roman"/>
          <w:color w:val="333333"/>
          <w:spacing w:val="-8"/>
          <w:sz w:val="24"/>
        </w:rPr>
        <w:t> </w:t>
      </w:r>
      <w:r>
        <w:rPr>
          <w:rFonts w:ascii="Times New Roman"/>
          <w:color w:val="333333"/>
          <w:sz w:val="24"/>
        </w:rPr>
        <w:t>relief</w:t>
      </w:r>
      <w:r>
        <w:rPr>
          <w:rFonts w:ascii="Times New Roman"/>
          <w:color w:val="333333"/>
          <w:spacing w:val="-2"/>
          <w:sz w:val="24"/>
        </w:rPr>
        <w:t> </w:t>
      </w:r>
      <w:r>
        <w:rPr>
          <w:rFonts w:ascii="Times New Roman"/>
          <w:color w:val="333333"/>
          <w:spacing w:val="-3"/>
          <w:sz w:val="24"/>
        </w:rPr>
        <w:t>in</w:t>
      </w:r>
      <w:r>
        <w:rPr>
          <w:rFonts w:ascii="Times New Roman"/>
          <w:color w:val="333333"/>
          <w:spacing w:val="-4"/>
          <w:sz w:val="24"/>
        </w:rPr>
        <w:t> </w:t>
      </w:r>
      <w:r>
        <w:rPr>
          <w:rFonts w:ascii="Times New Roman"/>
          <w:color w:val="333333"/>
          <w:sz w:val="24"/>
        </w:rPr>
        <w:t>the</w:t>
      </w:r>
      <w:r>
        <w:rPr>
          <w:rFonts w:ascii="Times New Roman"/>
          <w:color w:val="333333"/>
          <w:spacing w:val="-5"/>
          <w:sz w:val="24"/>
        </w:rPr>
        <w:t> </w:t>
      </w:r>
      <w:r>
        <w:rPr>
          <w:rFonts w:ascii="Times New Roman"/>
          <w:color w:val="333333"/>
          <w:sz w:val="24"/>
        </w:rPr>
        <w:t>tax</w:t>
      </w:r>
      <w:r>
        <w:rPr>
          <w:rFonts w:ascii="Times New Roman"/>
          <w:color w:val="333333"/>
          <w:spacing w:val="-9"/>
          <w:sz w:val="24"/>
        </w:rPr>
        <w:t> </w:t>
      </w:r>
      <w:r>
        <w:rPr>
          <w:rFonts w:ascii="Times New Roman"/>
          <w:color w:val="333333"/>
          <w:sz w:val="24"/>
        </w:rPr>
        <w:t>dues</w:t>
      </w:r>
      <w:r>
        <w:rPr>
          <w:rFonts w:ascii="Times New Roman"/>
          <w:color w:val="333333"/>
          <w:spacing w:val="-1"/>
          <w:sz w:val="24"/>
        </w:rPr>
        <w:t> </w:t>
      </w:r>
      <w:r>
        <w:rPr>
          <w:rFonts w:ascii="Times New Roman"/>
          <w:color w:val="333333"/>
          <w:sz w:val="24"/>
        </w:rPr>
        <w:t>for</w:t>
      </w:r>
      <w:r>
        <w:rPr>
          <w:rFonts w:ascii="Times New Roman"/>
          <w:color w:val="333333"/>
          <w:spacing w:val="-2"/>
          <w:sz w:val="24"/>
        </w:rPr>
        <w:t> </w:t>
      </w:r>
      <w:r>
        <w:rPr>
          <w:rFonts w:ascii="Times New Roman"/>
          <w:color w:val="333333"/>
          <w:sz w:val="24"/>
        </w:rPr>
        <w:t>all</w:t>
      </w:r>
      <w:r>
        <w:rPr>
          <w:rFonts w:ascii="Times New Roman"/>
          <w:color w:val="333333"/>
          <w:spacing w:val="-8"/>
          <w:sz w:val="24"/>
        </w:rPr>
        <w:t> </w:t>
      </w:r>
      <w:r>
        <w:rPr>
          <w:rFonts w:ascii="Times New Roman"/>
          <w:color w:val="333333"/>
          <w:sz w:val="24"/>
        </w:rPr>
        <w:t>categories</w:t>
      </w:r>
      <w:r>
        <w:rPr>
          <w:rFonts w:ascii="Times New Roman"/>
          <w:color w:val="333333"/>
          <w:spacing w:val="-6"/>
          <w:sz w:val="24"/>
        </w:rPr>
        <w:t> </w:t>
      </w:r>
      <w:r>
        <w:rPr>
          <w:rFonts w:ascii="Times New Roman"/>
          <w:color w:val="333333"/>
          <w:spacing w:val="4"/>
          <w:sz w:val="24"/>
        </w:rPr>
        <w:t>of</w:t>
      </w:r>
      <w:r>
        <w:rPr>
          <w:rFonts w:ascii="Times New Roman"/>
          <w:color w:val="333333"/>
          <w:spacing w:val="-11"/>
          <w:sz w:val="24"/>
        </w:rPr>
        <w:t> </w:t>
      </w:r>
      <w:r>
        <w:rPr>
          <w:rFonts w:ascii="Times New Roman"/>
          <w:color w:val="333333"/>
          <w:sz w:val="24"/>
        </w:rPr>
        <w:t>cases</w:t>
      </w:r>
      <w:r>
        <w:rPr>
          <w:rFonts w:ascii="Times New Roman"/>
          <w:color w:val="333333"/>
          <w:spacing w:val="-6"/>
          <w:sz w:val="24"/>
        </w:rPr>
        <w:t> </w:t>
      </w:r>
      <w:r>
        <w:rPr>
          <w:rFonts w:ascii="Times New Roman"/>
          <w:color w:val="333333"/>
          <w:sz w:val="24"/>
        </w:rPr>
        <w:t>as</w:t>
      </w:r>
      <w:r>
        <w:rPr>
          <w:rFonts w:ascii="Times New Roman"/>
          <w:color w:val="333333"/>
          <w:spacing w:val="-6"/>
          <w:sz w:val="24"/>
        </w:rPr>
        <w:t> </w:t>
      </w:r>
      <w:r>
        <w:rPr>
          <w:rFonts w:ascii="Times New Roman"/>
          <w:color w:val="333333"/>
          <w:sz w:val="24"/>
        </w:rPr>
        <w:t>well</w:t>
      </w:r>
      <w:r>
        <w:rPr>
          <w:rFonts w:ascii="Times New Roman"/>
          <w:color w:val="333333"/>
          <w:spacing w:val="-8"/>
          <w:sz w:val="24"/>
        </w:rPr>
        <w:t> </w:t>
      </w:r>
      <w:r>
        <w:rPr>
          <w:rFonts w:ascii="Times New Roman"/>
          <w:color w:val="333333"/>
          <w:sz w:val="24"/>
        </w:rPr>
        <w:t>as full waiver of interest, </w:t>
      </w:r>
      <w:r>
        <w:rPr>
          <w:rFonts w:ascii="Times New Roman"/>
          <w:color w:val="333333"/>
          <w:spacing w:val="-4"/>
          <w:sz w:val="24"/>
        </w:rPr>
        <w:t>fine </w:t>
      </w:r>
      <w:r>
        <w:rPr>
          <w:rFonts w:ascii="Times New Roman"/>
          <w:color w:val="333333"/>
          <w:sz w:val="24"/>
        </w:rPr>
        <w:t>and</w:t>
      </w:r>
      <w:r>
        <w:rPr>
          <w:rFonts w:ascii="Times New Roman"/>
          <w:color w:val="333333"/>
          <w:spacing w:val="13"/>
          <w:sz w:val="24"/>
        </w:rPr>
        <w:t> </w:t>
      </w:r>
      <w:r>
        <w:rPr>
          <w:rFonts w:ascii="Times New Roman"/>
          <w:color w:val="333333"/>
          <w:sz w:val="24"/>
        </w:rPr>
        <w:t>penalty,</w:t>
      </w:r>
    </w:p>
    <w:p>
      <w:pPr>
        <w:pStyle w:val="BodyText"/>
        <w:spacing w:before="5"/>
        <w:rPr>
          <w:rFonts w:ascii="Times New Roman"/>
          <w:sz w:val="24"/>
        </w:rPr>
      </w:pPr>
    </w:p>
    <w:p>
      <w:pPr>
        <w:spacing w:line="240" w:lineRule="auto" w:before="0"/>
        <w:ind w:left="100" w:right="775" w:firstLine="0"/>
        <w:jc w:val="both"/>
        <w:rPr>
          <w:rFonts w:ascii="Times New Roman" w:hAnsi="Times New Roman"/>
          <w:sz w:val="24"/>
        </w:rPr>
      </w:pPr>
      <w:r>
        <w:rPr>
          <w:rFonts w:ascii="Times New Roman" w:hAnsi="Times New Roman"/>
          <w:sz w:val="24"/>
        </w:rPr>
        <w:t>For all the cases pending </w:t>
      </w:r>
      <w:r>
        <w:rPr>
          <w:rFonts w:ascii="Times New Roman" w:hAnsi="Times New Roman"/>
          <w:spacing w:val="-3"/>
          <w:sz w:val="24"/>
        </w:rPr>
        <w:t>in </w:t>
      </w:r>
      <w:r>
        <w:rPr>
          <w:rFonts w:ascii="Times New Roman" w:hAnsi="Times New Roman"/>
          <w:sz w:val="24"/>
        </w:rPr>
        <w:t>adjudication or appeal – </w:t>
      </w:r>
      <w:r>
        <w:rPr>
          <w:rFonts w:ascii="Times New Roman" w:hAnsi="Times New Roman"/>
          <w:spacing w:val="-3"/>
          <w:sz w:val="24"/>
        </w:rPr>
        <w:t>in </w:t>
      </w:r>
      <w:r>
        <w:rPr>
          <w:rFonts w:ascii="Times New Roman" w:hAnsi="Times New Roman"/>
          <w:sz w:val="24"/>
        </w:rPr>
        <w:t>any forum - this Scheme offers a relief of</w:t>
      </w:r>
      <w:r>
        <w:rPr>
          <w:rFonts w:ascii="Times New Roman" w:hAnsi="Times New Roman"/>
          <w:spacing w:val="-17"/>
          <w:sz w:val="24"/>
        </w:rPr>
        <w:t> </w:t>
      </w:r>
      <w:r>
        <w:rPr>
          <w:rFonts w:ascii="Times New Roman" w:hAnsi="Times New Roman"/>
          <w:sz w:val="24"/>
        </w:rPr>
        <w:t>70%</w:t>
      </w:r>
      <w:r>
        <w:rPr>
          <w:rFonts w:ascii="Times New Roman" w:hAnsi="Times New Roman"/>
          <w:spacing w:val="-7"/>
          <w:sz w:val="24"/>
        </w:rPr>
        <w:t> </w:t>
      </w:r>
      <w:r>
        <w:rPr>
          <w:rFonts w:ascii="Times New Roman" w:hAnsi="Times New Roman"/>
          <w:sz w:val="24"/>
        </w:rPr>
        <w:t>from</w:t>
      </w:r>
      <w:r>
        <w:rPr>
          <w:rFonts w:ascii="Times New Roman" w:hAnsi="Times New Roman"/>
          <w:spacing w:val="-18"/>
          <w:sz w:val="24"/>
        </w:rPr>
        <w:t> </w:t>
      </w:r>
      <w:r>
        <w:rPr>
          <w:rFonts w:ascii="Times New Roman" w:hAnsi="Times New Roman"/>
          <w:sz w:val="24"/>
        </w:rPr>
        <w:t>the</w:t>
      </w:r>
      <w:r>
        <w:rPr>
          <w:rFonts w:ascii="Times New Roman" w:hAnsi="Times New Roman"/>
          <w:spacing w:val="-10"/>
          <w:sz w:val="24"/>
        </w:rPr>
        <w:t> </w:t>
      </w:r>
      <w:r>
        <w:rPr>
          <w:rFonts w:ascii="Times New Roman" w:hAnsi="Times New Roman"/>
          <w:sz w:val="24"/>
        </w:rPr>
        <w:t>duty</w:t>
      </w:r>
      <w:r>
        <w:rPr>
          <w:rFonts w:ascii="Times New Roman" w:hAnsi="Times New Roman"/>
          <w:spacing w:val="-18"/>
          <w:sz w:val="24"/>
        </w:rPr>
        <w:t> </w:t>
      </w:r>
      <w:r>
        <w:rPr>
          <w:rFonts w:ascii="Times New Roman" w:hAnsi="Times New Roman"/>
          <w:sz w:val="24"/>
        </w:rPr>
        <w:t>demand</w:t>
      </w:r>
      <w:r>
        <w:rPr>
          <w:rFonts w:ascii="Times New Roman" w:hAnsi="Times New Roman"/>
          <w:spacing w:val="-4"/>
          <w:sz w:val="24"/>
        </w:rPr>
        <w:t> </w:t>
      </w:r>
      <w:r>
        <w:rPr>
          <w:rFonts w:ascii="Times New Roman" w:hAnsi="Times New Roman"/>
          <w:spacing w:val="-3"/>
          <w:sz w:val="24"/>
        </w:rPr>
        <w:t>if</w:t>
      </w:r>
      <w:r>
        <w:rPr>
          <w:rFonts w:ascii="Times New Roman" w:hAnsi="Times New Roman"/>
          <w:spacing w:val="-7"/>
          <w:sz w:val="24"/>
        </w:rPr>
        <w:t> </w:t>
      </w:r>
      <w:r>
        <w:rPr>
          <w:rFonts w:ascii="Times New Roman" w:hAnsi="Times New Roman"/>
          <w:spacing w:val="-5"/>
          <w:sz w:val="24"/>
        </w:rPr>
        <w:t>it</w:t>
      </w:r>
      <w:r>
        <w:rPr>
          <w:rFonts w:ascii="Times New Roman" w:hAnsi="Times New Roman"/>
          <w:spacing w:val="1"/>
          <w:sz w:val="24"/>
        </w:rPr>
        <w:t> </w:t>
      </w:r>
      <w:r>
        <w:rPr>
          <w:rFonts w:ascii="Times New Roman" w:hAnsi="Times New Roman"/>
          <w:spacing w:val="-3"/>
          <w:sz w:val="24"/>
        </w:rPr>
        <w:t>is</w:t>
      </w:r>
      <w:r>
        <w:rPr>
          <w:rFonts w:ascii="Times New Roman" w:hAnsi="Times New Roman"/>
          <w:spacing w:val="-11"/>
          <w:sz w:val="24"/>
        </w:rPr>
        <w:t> </w:t>
      </w:r>
      <w:r>
        <w:rPr>
          <w:rFonts w:ascii="Times New Roman" w:hAnsi="Times New Roman"/>
          <w:sz w:val="24"/>
        </w:rPr>
        <w:t>Rs.50</w:t>
      </w:r>
      <w:r>
        <w:rPr>
          <w:rFonts w:ascii="Times New Roman" w:hAnsi="Times New Roman"/>
          <w:spacing w:val="-4"/>
          <w:sz w:val="24"/>
        </w:rPr>
        <w:t> </w:t>
      </w:r>
      <w:r>
        <w:rPr>
          <w:rFonts w:ascii="Times New Roman" w:hAnsi="Times New Roman"/>
          <w:sz w:val="24"/>
        </w:rPr>
        <w:t>lakhs</w:t>
      </w:r>
      <w:r>
        <w:rPr>
          <w:rFonts w:ascii="Times New Roman" w:hAnsi="Times New Roman"/>
          <w:spacing w:val="-11"/>
          <w:sz w:val="24"/>
        </w:rPr>
        <w:t> </w:t>
      </w:r>
      <w:r>
        <w:rPr>
          <w:rFonts w:ascii="Times New Roman" w:hAnsi="Times New Roman"/>
          <w:sz w:val="24"/>
        </w:rPr>
        <w:t>or</w:t>
      </w:r>
      <w:r>
        <w:rPr>
          <w:rFonts w:ascii="Times New Roman" w:hAnsi="Times New Roman"/>
          <w:spacing w:val="-12"/>
          <w:sz w:val="24"/>
        </w:rPr>
        <w:t> </w:t>
      </w:r>
      <w:r>
        <w:rPr>
          <w:rFonts w:ascii="Times New Roman" w:hAnsi="Times New Roman"/>
          <w:sz w:val="24"/>
        </w:rPr>
        <w:t>less</w:t>
      </w:r>
      <w:r>
        <w:rPr>
          <w:rFonts w:ascii="Times New Roman" w:hAnsi="Times New Roman"/>
          <w:spacing w:val="-11"/>
          <w:sz w:val="24"/>
        </w:rPr>
        <w:t> </w:t>
      </w:r>
      <w:r>
        <w:rPr>
          <w:rFonts w:ascii="Times New Roman" w:hAnsi="Times New Roman"/>
          <w:sz w:val="24"/>
        </w:rPr>
        <w:t>and</w:t>
      </w:r>
      <w:r>
        <w:rPr>
          <w:rFonts w:ascii="Times New Roman" w:hAnsi="Times New Roman"/>
          <w:spacing w:val="-9"/>
          <w:sz w:val="24"/>
        </w:rPr>
        <w:t> </w:t>
      </w:r>
      <w:r>
        <w:rPr>
          <w:rFonts w:ascii="Times New Roman" w:hAnsi="Times New Roman"/>
          <w:sz w:val="24"/>
        </w:rPr>
        <w:t>50%</w:t>
      </w:r>
      <w:r>
        <w:rPr>
          <w:rFonts w:ascii="Times New Roman" w:hAnsi="Times New Roman"/>
          <w:spacing w:val="-2"/>
          <w:sz w:val="24"/>
        </w:rPr>
        <w:t> </w:t>
      </w:r>
      <w:r>
        <w:rPr>
          <w:rFonts w:ascii="Times New Roman" w:hAnsi="Times New Roman"/>
          <w:spacing w:val="-3"/>
          <w:sz w:val="24"/>
        </w:rPr>
        <w:t>if</w:t>
      </w:r>
      <w:r>
        <w:rPr>
          <w:rFonts w:ascii="Times New Roman" w:hAnsi="Times New Roman"/>
          <w:spacing w:val="-12"/>
          <w:sz w:val="24"/>
        </w:rPr>
        <w:t> </w:t>
      </w:r>
      <w:r>
        <w:rPr>
          <w:rFonts w:ascii="Times New Roman" w:hAnsi="Times New Roman"/>
          <w:spacing w:val="-5"/>
          <w:sz w:val="24"/>
        </w:rPr>
        <w:t>it</w:t>
      </w:r>
      <w:r>
        <w:rPr>
          <w:rFonts w:ascii="Times New Roman" w:hAnsi="Times New Roman"/>
          <w:sz w:val="24"/>
        </w:rPr>
        <w:t> </w:t>
      </w:r>
      <w:r>
        <w:rPr>
          <w:rFonts w:ascii="Times New Roman" w:hAnsi="Times New Roman"/>
          <w:spacing w:val="-3"/>
          <w:sz w:val="24"/>
        </w:rPr>
        <w:t>is</w:t>
      </w:r>
      <w:r>
        <w:rPr>
          <w:rFonts w:ascii="Times New Roman" w:hAnsi="Times New Roman"/>
          <w:spacing w:val="-6"/>
          <w:sz w:val="24"/>
        </w:rPr>
        <w:t> </w:t>
      </w:r>
      <w:r>
        <w:rPr>
          <w:rFonts w:ascii="Times New Roman" w:hAnsi="Times New Roman"/>
          <w:sz w:val="24"/>
        </w:rPr>
        <w:t>more</w:t>
      </w:r>
      <w:r>
        <w:rPr>
          <w:rFonts w:ascii="Times New Roman" w:hAnsi="Times New Roman"/>
          <w:spacing w:val="-10"/>
          <w:sz w:val="24"/>
        </w:rPr>
        <w:t> </w:t>
      </w:r>
      <w:r>
        <w:rPr>
          <w:rFonts w:ascii="Times New Roman" w:hAnsi="Times New Roman"/>
          <w:sz w:val="24"/>
        </w:rPr>
        <w:t>than</w:t>
      </w:r>
      <w:r>
        <w:rPr>
          <w:rFonts w:ascii="Times New Roman" w:hAnsi="Times New Roman"/>
          <w:spacing w:val="-13"/>
          <w:sz w:val="24"/>
        </w:rPr>
        <w:t> </w:t>
      </w:r>
      <w:r>
        <w:rPr>
          <w:rFonts w:ascii="Times New Roman" w:hAnsi="Times New Roman"/>
          <w:sz w:val="24"/>
        </w:rPr>
        <w:t>Rs.</w:t>
      </w:r>
      <w:r>
        <w:rPr>
          <w:rFonts w:ascii="Times New Roman" w:hAnsi="Times New Roman"/>
          <w:spacing w:val="-7"/>
          <w:sz w:val="24"/>
        </w:rPr>
        <w:t> </w:t>
      </w:r>
      <w:r>
        <w:rPr>
          <w:rFonts w:ascii="Times New Roman" w:hAnsi="Times New Roman"/>
          <w:sz w:val="24"/>
        </w:rPr>
        <w:t>50</w:t>
      </w:r>
      <w:r>
        <w:rPr>
          <w:rFonts w:ascii="Times New Roman" w:hAnsi="Times New Roman"/>
          <w:spacing w:val="-4"/>
          <w:sz w:val="24"/>
        </w:rPr>
        <w:t> </w:t>
      </w:r>
      <w:r>
        <w:rPr>
          <w:rFonts w:ascii="Times New Roman" w:hAnsi="Times New Roman"/>
          <w:sz w:val="24"/>
        </w:rPr>
        <w:t>lakhs. The same relief </w:t>
      </w:r>
      <w:r>
        <w:rPr>
          <w:rFonts w:ascii="Times New Roman" w:hAnsi="Times New Roman"/>
          <w:spacing w:val="-3"/>
          <w:sz w:val="24"/>
        </w:rPr>
        <w:t>is </w:t>
      </w:r>
      <w:r>
        <w:rPr>
          <w:rFonts w:ascii="Times New Roman" w:hAnsi="Times New Roman"/>
          <w:sz w:val="24"/>
        </w:rPr>
        <w:t>available for cases under investigation and audit where the duty involved </w:t>
      </w:r>
      <w:r>
        <w:rPr>
          <w:rFonts w:ascii="Times New Roman" w:hAnsi="Times New Roman"/>
          <w:spacing w:val="-3"/>
          <w:sz w:val="24"/>
        </w:rPr>
        <w:t>is </w:t>
      </w:r>
      <w:r>
        <w:rPr>
          <w:rFonts w:ascii="Times New Roman" w:hAnsi="Times New Roman"/>
          <w:sz w:val="24"/>
        </w:rPr>
        <w:t>quantified and communicated to the party or admitted by him </w:t>
      </w:r>
      <w:r>
        <w:rPr>
          <w:rFonts w:ascii="Times New Roman" w:hAnsi="Times New Roman"/>
          <w:spacing w:val="-3"/>
          <w:sz w:val="24"/>
        </w:rPr>
        <w:t>in </w:t>
      </w:r>
      <w:r>
        <w:rPr>
          <w:rFonts w:ascii="Times New Roman" w:hAnsi="Times New Roman"/>
          <w:sz w:val="24"/>
        </w:rPr>
        <w:t>a statement on or  before  30</w:t>
      </w:r>
      <w:r>
        <w:rPr>
          <w:rFonts w:ascii="Times New Roman" w:hAnsi="Times New Roman"/>
          <w:position w:val="9"/>
          <w:sz w:val="17"/>
        </w:rPr>
        <w:t>th</w:t>
      </w:r>
      <w:r>
        <w:rPr>
          <w:rFonts w:ascii="Times New Roman" w:hAnsi="Times New Roman"/>
          <w:spacing w:val="20"/>
          <w:position w:val="9"/>
          <w:sz w:val="17"/>
        </w:rPr>
        <w:t> </w:t>
      </w:r>
      <w:r>
        <w:rPr>
          <w:rFonts w:ascii="Times New Roman" w:hAnsi="Times New Roman"/>
          <w:sz w:val="24"/>
        </w:rPr>
        <w:t>June,</w:t>
      </w:r>
      <w:r>
        <w:rPr>
          <w:rFonts w:ascii="Times New Roman" w:hAnsi="Times New Roman"/>
          <w:spacing w:val="-8"/>
          <w:sz w:val="24"/>
        </w:rPr>
        <w:t> </w:t>
      </w:r>
      <w:r>
        <w:rPr>
          <w:rFonts w:ascii="Times New Roman" w:hAnsi="Times New Roman"/>
          <w:sz w:val="24"/>
        </w:rPr>
        <w:t>2019.</w:t>
      </w:r>
      <w:r>
        <w:rPr>
          <w:rFonts w:ascii="Times New Roman" w:hAnsi="Times New Roman"/>
          <w:spacing w:val="-8"/>
          <w:sz w:val="24"/>
        </w:rPr>
        <w:t> </w:t>
      </w:r>
      <w:r>
        <w:rPr>
          <w:rFonts w:ascii="Times New Roman" w:hAnsi="Times New Roman"/>
          <w:sz w:val="24"/>
        </w:rPr>
        <w:t>Further,</w:t>
      </w:r>
      <w:r>
        <w:rPr>
          <w:rFonts w:ascii="Times New Roman" w:hAnsi="Times New Roman"/>
          <w:spacing w:val="-8"/>
          <w:sz w:val="24"/>
        </w:rPr>
        <w:t> </w:t>
      </w:r>
      <w:r>
        <w:rPr>
          <w:rFonts w:ascii="Times New Roman" w:hAnsi="Times New Roman"/>
          <w:spacing w:val="-3"/>
          <w:sz w:val="24"/>
        </w:rPr>
        <w:t>in</w:t>
      </w:r>
      <w:r>
        <w:rPr>
          <w:rFonts w:ascii="Times New Roman" w:hAnsi="Times New Roman"/>
          <w:spacing w:val="-13"/>
          <w:sz w:val="24"/>
        </w:rPr>
        <w:t> </w:t>
      </w:r>
      <w:r>
        <w:rPr>
          <w:rFonts w:ascii="Times New Roman" w:hAnsi="Times New Roman"/>
          <w:sz w:val="24"/>
        </w:rPr>
        <w:t>cases</w:t>
      </w:r>
      <w:r>
        <w:rPr>
          <w:rFonts w:ascii="Times New Roman" w:hAnsi="Times New Roman"/>
          <w:spacing w:val="-12"/>
          <w:sz w:val="24"/>
        </w:rPr>
        <w:t> </w:t>
      </w:r>
      <w:r>
        <w:rPr>
          <w:rFonts w:ascii="Times New Roman" w:hAnsi="Times New Roman"/>
          <w:spacing w:val="4"/>
          <w:sz w:val="24"/>
        </w:rPr>
        <w:t>of</w:t>
      </w:r>
      <w:r>
        <w:rPr>
          <w:rFonts w:ascii="Times New Roman" w:hAnsi="Times New Roman"/>
          <w:spacing w:val="-17"/>
          <w:sz w:val="24"/>
        </w:rPr>
        <w:t> </w:t>
      </w:r>
      <w:r>
        <w:rPr>
          <w:rFonts w:ascii="Times New Roman" w:hAnsi="Times New Roman"/>
          <w:sz w:val="24"/>
        </w:rPr>
        <w:t>confirmed</w:t>
      </w:r>
      <w:r>
        <w:rPr>
          <w:rFonts w:ascii="Times New Roman" w:hAnsi="Times New Roman"/>
          <w:spacing w:val="-10"/>
          <w:sz w:val="24"/>
        </w:rPr>
        <w:t> </w:t>
      </w:r>
      <w:r>
        <w:rPr>
          <w:rFonts w:ascii="Times New Roman" w:hAnsi="Times New Roman"/>
          <w:spacing w:val="2"/>
          <w:sz w:val="24"/>
        </w:rPr>
        <w:t>duty</w:t>
      </w:r>
      <w:r>
        <w:rPr>
          <w:rFonts w:ascii="Times New Roman" w:hAnsi="Times New Roman"/>
          <w:spacing w:val="-14"/>
          <w:sz w:val="24"/>
        </w:rPr>
        <w:t> </w:t>
      </w:r>
      <w:r>
        <w:rPr>
          <w:rFonts w:ascii="Times New Roman" w:hAnsi="Times New Roman"/>
          <w:sz w:val="24"/>
        </w:rPr>
        <w:t>demand,</w:t>
      </w:r>
      <w:r>
        <w:rPr>
          <w:rFonts w:ascii="Times New Roman" w:hAnsi="Times New Roman"/>
          <w:spacing w:val="-7"/>
          <w:sz w:val="24"/>
        </w:rPr>
        <w:t> </w:t>
      </w:r>
      <w:r>
        <w:rPr>
          <w:rFonts w:ascii="Times New Roman" w:hAnsi="Times New Roman"/>
          <w:sz w:val="24"/>
        </w:rPr>
        <w:t>where</w:t>
      </w:r>
      <w:r>
        <w:rPr>
          <w:rFonts w:ascii="Times New Roman" w:hAnsi="Times New Roman"/>
          <w:spacing w:val="-11"/>
          <w:sz w:val="24"/>
        </w:rPr>
        <w:t> </w:t>
      </w:r>
      <w:r>
        <w:rPr>
          <w:rFonts w:ascii="Times New Roman" w:hAnsi="Times New Roman"/>
          <w:sz w:val="24"/>
        </w:rPr>
        <w:t>there</w:t>
      </w:r>
      <w:r>
        <w:rPr>
          <w:rFonts w:ascii="Times New Roman" w:hAnsi="Times New Roman"/>
          <w:spacing w:val="-6"/>
          <w:sz w:val="24"/>
        </w:rPr>
        <w:t> </w:t>
      </w:r>
      <w:r>
        <w:rPr>
          <w:rFonts w:ascii="Times New Roman" w:hAnsi="Times New Roman"/>
          <w:spacing w:val="-3"/>
          <w:sz w:val="24"/>
        </w:rPr>
        <w:t>is</w:t>
      </w:r>
      <w:r>
        <w:rPr>
          <w:rFonts w:ascii="Times New Roman" w:hAnsi="Times New Roman"/>
          <w:spacing w:val="-7"/>
          <w:sz w:val="24"/>
        </w:rPr>
        <w:t> </w:t>
      </w:r>
      <w:r>
        <w:rPr>
          <w:rFonts w:ascii="Times New Roman" w:hAnsi="Times New Roman"/>
          <w:spacing w:val="-3"/>
          <w:sz w:val="24"/>
        </w:rPr>
        <w:t>no</w:t>
      </w:r>
      <w:r>
        <w:rPr>
          <w:rFonts w:ascii="Times New Roman" w:hAnsi="Times New Roman"/>
          <w:spacing w:val="-5"/>
          <w:sz w:val="24"/>
        </w:rPr>
        <w:t> </w:t>
      </w:r>
      <w:r>
        <w:rPr>
          <w:rFonts w:ascii="Times New Roman" w:hAnsi="Times New Roman"/>
          <w:sz w:val="24"/>
        </w:rPr>
        <w:t>appeal</w:t>
      </w:r>
      <w:r>
        <w:rPr>
          <w:rFonts w:ascii="Times New Roman" w:hAnsi="Times New Roman"/>
          <w:spacing w:val="-18"/>
          <w:sz w:val="24"/>
        </w:rPr>
        <w:t> </w:t>
      </w:r>
      <w:r>
        <w:rPr>
          <w:rFonts w:ascii="Times New Roman" w:hAnsi="Times New Roman"/>
          <w:sz w:val="24"/>
        </w:rPr>
        <w:t>pending, the relief offered </w:t>
      </w:r>
      <w:r>
        <w:rPr>
          <w:rFonts w:ascii="Times New Roman" w:hAnsi="Times New Roman"/>
          <w:spacing w:val="-3"/>
          <w:sz w:val="24"/>
        </w:rPr>
        <w:t>is </w:t>
      </w:r>
      <w:r>
        <w:rPr>
          <w:rFonts w:ascii="Times New Roman" w:hAnsi="Times New Roman"/>
          <w:sz w:val="24"/>
        </w:rPr>
        <w:t>60% of the confirmed duty amount </w:t>
      </w:r>
      <w:r>
        <w:rPr>
          <w:rFonts w:ascii="Times New Roman" w:hAnsi="Times New Roman"/>
          <w:spacing w:val="-3"/>
          <w:sz w:val="24"/>
        </w:rPr>
        <w:t>if </w:t>
      </w:r>
      <w:r>
        <w:rPr>
          <w:rFonts w:ascii="Times New Roman" w:hAnsi="Times New Roman"/>
          <w:sz w:val="24"/>
        </w:rPr>
        <w:t>the same </w:t>
      </w:r>
      <w:r>
        <w:rPr>
          <w:rFonts w:ascii="Times New Roman" w:hAnsi="Times New Roman"/>
          <w:spacing w:val="-3"/>
          <w:sz w:val="24"/>
        </w:rPr>
        <w:t>is </w:t>
      </w:r>
      <w:r>
        <w:rPr>
          <w:rFonts w:ascii="Times New Roman" w:hAnsi="Times New Roman"/>
          <w:sz w:val="24"/>
        </w:rPr>
        <w:t>Rs. 50 </w:t>
      </w:r>
      <w:r>
        <w:rPr>
          <w:rFonts w:ascii="Times New Roman" w:hAnsi="Times New Roman"/>
          <w:spacing w:val="-3"/>
          <w:sz w:val="24"/>
        </w:rPr>
        <w:t>lakhs </w:t>
      </w:r>
      <w:r>
        <w:rPr>
          <w:rFonts w:ascii="Times New Roman" w:hAnsi="Times New Roman"/>
          <w:sz w:val="24"/>
        </w:rPr>
        <w:t>or </w:t>
      </w:r>
      <w:r>
        <w:rPr>
          <w:rFonts w:ascii="Times New Roman" w:hAnsi="Times New Roman"/>
          <w:spacing w:val="-3"/>
          <w:sz w:val="24"/>
        </w:rPr>
        <w:t>less </w:t>
      </w:r>
      <w:r>
        <w:rPr>
          <w:rFonts w:ascii="Times New Roman" w:hAnsi="Times New Roman"/>
          <w:spacing w:val="4"/>
          <w:sz w:val="24"/>
        </w:rPr>
        <w:t>and </w:t>
      </w:r>
      <w:r>
        <w:rPr>
          <w:rFonts w:ascii="Times New Roman" w:hAnsi="Times New Roman"/>
          <w:spacing w:val="-5"/>
          <w:sz w:val="24"/>
        </w:rPr>
        <w:t>it</w:t>
      </w:r>
      <w:r>
        <w:rPr>
          <w:rFonts w:ascii="Times New Roman" w:hAnsi="Times New Roman"/>
          <w:sz w:val="24"/>
        </w:rPr>
        <w:t> </w:t>
      </w:r>
      <w:r>
        <w:rPr>
          <w:rFonts w:ascii="Times New Roman" w:hAnsi="Times New Roman"/>
          <w:spacing w:val="-3"/>
          <w:sz w:val="24"/>
        </w:rPr>
        <w:t>is</w:t>
      </w:r>
      <w:r>
        <w:rPr>
          <w:rFonts w:ascii="Times New Roman" w:hAnsi="Times New Roman"/>
          <w:spacing w:val="-11"/>
          <w:sz w:val="24"/>
        </w:rPr>
        <w:t> </w:t>
      </w:r>
      <w:r>
        <w:rPr>
          <w:rFonts w:ascii="Times New Roman" w:hAnsi="Times New Roman"/>
          <w:sz w:val="24"/>
        </w:rPr>
        <w:t>40%,</w:t>
      </w:r>
      <w:r>
        <w:rPr>
          <w:rFonts w:ascii="Times New Roman" w:hAnsi="Times New Roman"/>
          <w:spacing w:val="-8"/>
          <w:sz w:val="24"/>
        </w:rPr>
        <w:t> </w:t>
      </w:r>
      <w:r>
        <w:rPr>
          <w:rFonts w:ascii="Times New Roman" w:hAnsi="Times New Roman"/>
          <w:spacing w:val="-3"/>
          <w:sz w:val="24"/>
        </w:rPr>
        <w:t>if</w:t>
      </w:r>
      <w:r>
        <w:rPr>
          <w:rFonts w:ascii="Times New Roman" w:hAnsi="Times New Roman"/>
          <w:spacing w:val="-17"/>
          <w:sz w:val="24"/>
        </w:rPr>
        <w:t> </w:t>
      </w:r>
      <w:r>
        <w:rPr>
          <w:rFonts w:ascii="Times New Roman" w:hAnsi="Times New Roman"/>
          <w:sz w:val="24"/>
        </w:rPr>
        <w:t>the</w:t>
      </w:r>
      <w:r>
        <w:rPr>
          <w:rFonts w:ascii="Times New Roman" w:hAnsi="Times New Roman"/>
          <w:spacing w:val="-10"/>
          <w:sz w:val="24"/>
        </w:rPr>
        <w:t> </w:t>
      </w:r>
      <w:r>
        <w:rPr>
          <w:rFonts w:ascii="Times New Roman" w:hAnsi="Times New Roman"/>
          <w:sz w:val="24"/>
        </w:rPr>
        <w:t>confirmed</w:t>
      </w:r>
      <w:r>
        <w:rPr>
          <w:rFonts w:ascii="Times New Roman" w:hAnsi="Times New Roman"/>
          <w:spacing w:val="-9"/>
          <w:sz w:val="24"/>
        </w:rPr>
        <w:t> </w:t>
      </w:r>
      <w:r>
        <w:rPr>
          <w:rFonts w:ascii="Times New Roman" w:hAnsi="Times New Roman"/>
          <w:sz w:val="24"/>
        </w:rPr>
        <w:t>duty</w:t>
      </w:r>
      <w:r>
        <w:rPr>
          <w:rFonts w:ascii="Times New Roman" w:hAnsi="Times New Roman"/>
          <w:spacing w:val="-18"/>
          <w:sz w:val="24"/>
        </w:rPr>
        <w:t> </w:t>
      </w:r>
      <w:r>
        <w:rPr>
          <w:rFonts w:ascii="Times New Roman" w:hAnsi="Times New Roman"/>
          <w:sz w:val="24"/>
        </w:rPr>
        <w:t>amount</w:t>
      </w:r>
      <w:r>
        <w:rPr>
          <w:rFonts w:ascii="Times New Roman" w:hAnsi="Times New Roman"/>
          <w:spacing w:val="-5"/>
          <w:sz w:val="24"/>
        </w:rPr>
        <w:t> </w:t>
      </w:r>
      <w:r>
        <w:rPr>
          <w:rFonts w:ascii="Times New Roman" w:hAnsi="Times New Roman"/>
          <w:spacing w:val="-3"/>
          <w:sz w:val="24"/>
        </w:rPr>
        <w:t>is</w:t>
      </w:r>
      <w:r>
        <w:rPr>
          <w:rFonts w:ascii="Times New Roman" w:hAnsi="Times New Roman"/>
          <w:spacing w:val="-6"/>
          <w:sz w:val="24"/>
        </w:rPr>
        <w:t> </w:t>
      </w:r>
      <w:r>
        <w:rPr>
          <w:rFonts w:ascii="Times New Roman" w:hAnsi="Times New Roman"/>
          <w:sz w:val="24"/>
        </w:rPr>
        <w:t>more</w:t>
      </w:r>
      <w:r>
        <w:rPr>
          <w:rFonts w:ascii="Times New Roman" w:hAnsi="Times New Roman"/>
          <w:spacing w:val="-10"/>
          <w:sz w:val="24"/>
        </w:rPr>
        <w:t> </w:t>
      </w:r>
      <w:r>
        <w:rPr>
          <w:rFonts w:ascii="Times New Roman" w:hAnsi="Times New Roman"/>
          <w:sz w:val="24"/>
        </w:rPr>
        <w:t>than</w:t>
      </w:r>
      <w:r>
        <w:rPr>
          <w:rFonts w:ascii="Times New Roman" w:hAnsi="Times New Roman"/>
          <w:spacing w:val="-13"/>
          <w:sz w:val="24"/>
        </w:rPr>
        <w:t> </w:t>
      </w:r>
      <w:r>
        <w:rPr>
          <w:rFonts w:ascii="Times New Roman" w:hAnsi="Times New Roman"/>
          <w:sz w:val="24"/>
        </w:rPr>
        <w:t>Rs.</w:t>
      </w:r>
      <w:r>
        <w:rPr>
          <w:rFonts w:ascii="Times New Roman" w:hAnsi="Times New Roman"/>
          <w:spacing w:val="-8"/>
          <w:sz w:val="24"/>
        </w:rPr>
        <w:t> </w:t>
      </w:r>
      <w:r>
        <w:rPr>
          <w:rFonts w:ascii="Times New Roman" w:hAnsi="Times New Roman"/>
          <w:sz w:val="24"/>
        </w:rPr>
        <w:t>50</w:t>
      </w:r>
      <w:r>
        <w:rPr>
          <w:rFonts w:ascii="Times New Roman" w:hAnsi="Times New Roman"/>
          <w:spacing w:val="-4"/>
          <w:sz w:val="24"/>
        </w:rPr>
        <w:t> </w:t>
      </w:r>
      <w:r>
        <w:rPr>
          <w:rFonts w:ascii="Times New Roman" w:hAnsi="Times New Roman"/>
          <w:sz w:val="24"/>
        </w:rPr>
        <w:t>lakhs.</w:t>
      </w:r>
      <w:r>
        <w:rPr>
          <w:rFonts w:ascii="Times New Roman" w:hAnsi="Times New Roman"/>
          <w:spacing w:val="-7"/>
          <w:sz w:val="24"/>
        </w:rPr>
        <w:t> </w:t>
      </w:r>
      <w:r>
        <w:rPr>
          <w:rFonts w:ascii="Times New Roman" w:hAnsi="Times New Roman"/>
          <w:sz w:val="24"/>
        </w:rPr>
        <w:t>Finally,</w:t>
      </w:r>
      <w:r>
        <w:rPr>
          <w:rFonts w:ascii="Times New Roman" w:hAnsi="Times New Roman"/>
          <w:spacing w:val="-3"/>
          <w:sz w:val="24"/>
        </w:rPr>
        <w:t> in</w:t>
      </w:r>
      <w:r>
        <w:rPr>
          <w:rFonts w:ascii="Times New Roman" w:hAnsi="Times New Roman"/>
          <w:spacing w:val="-13"/>
          <w:sz w:val="24"/>
        </w:rPr>
        <w:t> </w:t>
      </w:r>
      <w:r>
        <w:rPr>
          <w:rFonts w:ascii="Times New Roman" w:hAnsi="Times New Roman"/>
          <w:sz w:val="24"/>
        </w:rPr>
        <w:t>cases</w:t>
      </w:r>
      <w:r>
        <w:rPr>
          <w:rFonts w:ascii="Times New Roman" w:hAnsi="Times New Roman"/>
          <w:spacing w:val="-11"/>
          <w:sz w:val="24"/>
        </w:rPr>
        <w:t> </w:t>
      </w:r>
      <w:r>
        <w:rPr>
          <w:rFonts w:ascii="Times New Roman" w:hAnsi="Times New Roman"/>
          <w:sz w:val="24"/>
        </w:rPr>
        <w:t>of</w:t>
      </w:r>
      <w:r>
        <w:rPr>
          <w:rFonts w:ascii="Times New Roman" w:hAnsi="Times New Roman"/>
          <w:spacing w:val="-13"/>
          <w:sz w:val="24"/>
        </w:rPr>
        <w:t> </w:t>
      </w:r>
      <w:r>
        <w:rPr>
          <w:rFonts w:ascii="Times New Roman" w:hAnsi="Times New Roman"/>
          <w:sz w:val="24"/>
        </w:rPr>
        <w:t>voluntary disclosure, the person availing the Scheme will have to pay only the full amount of disclosed duty.</w:t>
      </w:r>
    </w:p>
    <w:p>
      <w:pPr>
        <w:pStyle w:val="BodyText"/>
        <w:spacing w:before="10"/>
        <w:rPr>
          <w:rFonts w:ascii="Times New Roman"/>
          <w:sz w:val="24"/>
        </w:rPr>
      </w:pPr>
    </w:p>
    <w:p>
      <w:pPr>
        <w:spacing w:line="240" w:lineRule="auto" w:before="0"/>
        <w:ind w:left="100" w:right="774" w:firstLine="0"/>
        <w:jc w:val="both"/>
        <w:rPr>
          <w:rFonts w:ascii="Times New Roman"/>
          <w:sz w:val="24"/>
        </w:rPr>
      </w:pPr>
      <w:r>
        <w:rPr>
          <w:rFonts w:ascii="Times New Roman"/>
          <w:b/>
          <w:color w:val="333333"/>
          <w:sz w:val="24"/>
        </w:rPr>
        <w:t>The Scheme is especially tailored to free the large number of small taxpayers from their pending disputes with the tax administration. </w:t>
      </w:r>
      <w:r>
        <w:rPr>
          <w:rFonts w:ascii="Times New Roman"/>
          <w:color w:val="333333"/>
          <w:sz w:val="24"/>
        </w:rPr>
        <w:t>Government urges the taxpayers and all concerned to avail the benefits of Sabka Vishwas - Legacy Dispute Resolution Scheme, 2019 and mark a new beginning.</w:t>
      </w:r>
    </w:p>
    <w:p>
      <w:pPr>
        <w:pStyle w:val="BodyText"/>
        <w:spacing w:before="9"/>
        <w:rPr>
          <w:rFonts w:ascii="Times New Roman"/>
          <w:sz w:val="23"/>
        </w:rPr>
      </w:pPr>
    </w:p>
    <w:p>
      <w:pPr>
        <w:pStyle w:val="Heading2"/>
        <w:ind w:right="771"/>
      </w:pPr>
      <w:r>
        <w:rPr>
          <w:color w:val="333333"/>
        </w:rPr>
        <w:t>After introducing GST, many states announced “Amnesty” scheme for VAT/Sales Tax litigation. This scheme provides chance to taxpayers to close never-ending litigation by offering tax relief from 40% to 70%, full waiver of interest &amp; penalty. Complete waiver from prosecution. This scheme provides complete closure of litigation and no further action on the taxpayers who didn’t discharge tax liability correctly. This scheme is like a jackpot for the</w:t>
      </w:r>
    </w:p>
    <w:p>
      <w:pPr>
        <w:spacing w:after="0"/>
        <w:sectPr>
          <w:headerReference w:type="default" r:id="rId5"/>
          <w:footerReference w:type="default" r:id="rId6"/>
          <w:type w:val="continuous"/>
          <w:pgSz w:w="11910" w:h="16840"/>
          <w:pgMar w:header="764" w:footer="992" w:top="1360" w:bottom="1180" w:left="1340" w:right="660"/>
          <w:pgNumType w:start="1"/>
        </w:sectPr>
      </w:pPr>
    </w:p>
    <w:p>
      <w:pPr>
        <w:pStyle w:val="BodyText"/>
        <w:spacing w:before="5"/>
        <w:rPr>
          <w:rFonts w:ascii="Times New Roman"/>
          <w:sz w:val="16"/>
        </w:rPr>
      </w:pPr>
    </w:p>
    <w:p>
      <w:pPr>
        <w:spacing w:line="240" w:lineRule="auto" w:before="90"/>
        <w:ind w:left="100" w:right="773" w:firstLine="0"/>
        <w:jc w:val="both"/>
        <w:rPr>
          <w:rFonts w:ascii="Times New Roman"/>
          <w:sz w:val="24"/>
        </w:rPr>
      </w:pPr>
      <w:r>
        <w:rPr>
          <w:rFonts w:ascii="Times New Roman"/>
          <w:color w:val="333333"/>
          <w:sz w:val="24"/>
        </w:rPr>
        <w:t>persons who never deposit tax properly by availing the benefits of tax </w:t>
      </w:r>
      <w:r>
        <w:rPr>
          <w:rFonts w:ascii="Times New Roman"/>
          <w:color w:val="333333"/>
          <w:spacing w:val="-3"/>
          <w:sz w:val="24"/>
        </w:rPr>
        <w:t>relief, </w:t>
      </w:r>
      <w:r>
        <w:rPr>
          <w:rFonts w:ascii="Times New Roman"/>
          <w:color w:val="333333"/>
          <w:sz w:val="24"/>
        </w:rPr>
        <w:t>complete waiver of interest &amp; penalty, moreover they will also get a stamped document by way of discharge certificate</w:t>
      </w:r>
      <w:r>
        <w:rPr>
          <w:rFonts w:ascii="Times New Roman"/>
          <w:color w:val="333333"/>
          <w:spacing w:val="-6"/>
          <w:sz w:val="24"/>
        </w:rPr>
        <w:t> </w:t>
      </w:r>
      <w:r>
        <w:rPr>
          <w:rFonts w:ascii="Times New Roman"/>
          <w:color w:val="333333"/>
          <w:sz w:val="24"/>
        </w:rPr>
        <w:t>certifying</w:t>
      </w:r>
      <w:r>
        <w:rPr>
          <w:rFonts w:ascii="Times New Roman"/>
          <w:color w:val="333333"/>
          <w:spacing w:val="-6"/>
          <w:sz w:val="24"/>
        </w:rPr>
        <w:t> </w:t>
      </w:r>
      <w:r>
        <w:rPr>
          <w:rFonts w:ascii="Times New Roman"/>
          <w:color w:val="333333"/>
          <w:sz w:val="24"/>
        </w:rPr>
        <w:t>that</w:t>
      </w:r>
      <w:r>
        <w:rPr>
          <w:rFonts w:ascii="Times New Roman"/>
          <w:color w:val="333333"/>
          <w:spacing w:val="-6"/>
          <w:sz w:val="24"/>
        </w:rPr>
        <w:t> </w:t>
      </w:r>
      <w:r>
        <w:rPr>
          <w:rFonts w:ascii="Times New Roman"/>
          <w:color w:val="333333"/>
          <w:spacing w:val="-3"/>
          <w:sz w:val="24"/>
        </w:rPr>
        <w:t>no</w:t>
      </w:r>
      <w:r>
        <w:rPr>
          <w:rFonts w:ascii="Times New Roman"/>
          <w:color w:val="333333"/>
          <w:spacing w:val="-6"/>
          <w:sz w:val="24"/>
        </w:rPr>
        <w:t> </w:t>
      </w:r>
      <w:r>
        <w:rPr>
          <w:rFonts w:ascii="Times New Roman"/>
          <w:color w:val="333333"/>
          <w:sz w:val="24"/>
        </w:rPr>
        <w:t>proceedings</w:t>
      </w:r>
      <w:r>
        <w:rPr>
          <w:rFonts w:ascii="Times New Roman"/>
          <w:color w:val="333333"/>
          <w:spacing w:val="-8"/>
          <w:sz w:val="24"/>
        </w:rPr>
        <w:t> </w:t>
      </w:r>
      <w:r>
        <w:rPr>
          <w:rFonts w:ascii="Times New Roman"/>
          <w:color w:val="333333"/>
          <w:sz w:val="24"/>
        </w:rPr>
        <w:t>shall</w:t>
      </w:r>
      <w:r>
        <w:rPr>
          <w:rFonts w:ascii="Times New Roman"/>
          <w:color w:val="333333"/>
          <w:spacing w:val="-10"/>
          <w:sz w:val="24"/>
        </w:rPr>
        <w:t> </w:t>
      </w:r>
      <w:r>
        <w:rPr>
          <w:rFonts w:ascii="Times New Roman"/>
          <w:color w:val="333333"/>
          <w:spacing w:val="-3"/>
          <w:sz w:val="24"/>
        </w:rPr>
        <w:t>be </w:t>
      </w:r>
      <w:r>
        <w:rPr>
          <w:rFonts w:ascii="Times New Roman"/>
          <w:color w:val="333333"/>
          <w:sz w:val="24"/>
        </w:rPr>
        <w:t>initiated</w:t>
      </w:r>
      <w:r>
        <w:rPr>
          <w:rFonts w:ascii="Times New Roman"/>
          <w:color w:val="333333"/>
          <w:spacing w:val="-6"/>
          <w:sz w:val="24"/>
        </w:rPr>
        <w:t> </w:t>
      </w:r>
      <w:r>
        <w:rPr>
          <w:rFonts w:ascii="Times New Roman"/>
          <w:color w:val="333333"/>
          <w:sz w:val="24"/>
        </w:rPr>
        <w:t>against</w:t>
      </w:r>
      <w:r>
        <w:rPr>
          <w:rFonts w:ascii="Times New Roman"/>
          <w:color w:val="333333"/>
          <w:spacing w:val="-7"/>
          <w:sz w:val="24"/>
        </w:rPr>
        <w:t> </w:t>
      </w:r>
      <w:r>
        <w:rPr>
          <w:rFonts w:ascii="Times New Roman"/>
          <w:color w:val="333333"/>
          <w:sz w:val="24"/>
        </w:rPr>
        <w:t>them.</w:t>
      </w:r>
      <w:r>
        <w:rPr>
          <w:rFonts w:ascii="Times New Roman"/>
          <w:color w:val="333333"/>
          <w:spacing w:val="-4"/>
          <w:sz w:val="24"/>
        </w:rPr>
        <w:t> </w:t>
      </w:r>
      <w:r>
        <w:rPr>
          <w:rFonts w:ascii="Times New Roman"/>
          <w:color w:val="333333"/>
          <w:spacing w:val="-3"/>
          <w:sz w:val="24"/>
        </w:rPr>
        <w:t>This </w:t>
      </w:r>
      <w:r>
        <w:rPr>
          <w:rFonts w:ascii="Times New Roman"/>
          <w:color w:val="333333"/>
          <w:spacing w:val="-5"/>
          <w:sz w:val="24"/>
        </w:rPr>
        <w:t>is</w:t>
      </w:r>
      <w:r>
        <w:rPr>
          <w:rFonts w:ascii="Times New Roman"/>
          <w:color w:val="333333"/>
          <w:spacing w:val="-9"/>
          <w:sz w:val="24"/>
        </w:rPr>
        <w:t> </w:t>
      </w:r>
      <w:r>
        <w:rPr>
          <w:rFonts w:ascii="Times New Roman"/>
          <w:color w:val="333333"/>
          <w:sz w:val="24"/>
        </w:rPr>
        <w:t>bold</w:t>
      </w:r>
      <w:r>
        <w:rPr>
          <w:rFonts w:ascii="Times New Roman"/>
          <w:color w:val="333333"/>
          <w:spacing w:val="-6"/>
          <w:sz w:val="24"/>
        </w:rPr>
        <w:t> </w:t>
      </w:r>
      <w:r>
        <w:rPr>
          <w:rFonts w:ascii="Times New Roman"/>
          <w:color w:val="333333"/>
          <w:sz w:val="24"/>
        </w:rPr>
        <w:t>step</w:t>
      </w:r>
      <w:r>
        <w:rPr>
          <w:rFonts w:ascii="Times New Roman"/>
          <w:color w:val="333333"/>
          <w:spacing w:val="-5"/>
          <w:sz w:val="24"/>
        </w:rPr>
        <w:t> </w:t>
      </w:r>
      <w:r>
        <w:rPr>
          <w:rFonts w:ascii="Times New Roman"/>
          <w:color w:val="333333"/>
          <w:sz w:val="24"/>
        </w:rPr>
        <w:t>of</w:t>
      </w:r>
      <w:r>
        <w:rPr>
          <w:rFonts w:ascii="Times New Roman"/>
          <w:color w:val="333333"/>
          <w:spacing w:val="-14"/>
          <w:sz w:val="24"/>
        </w:rPr>
        <w:t> </w:t>
      </w:r>
      <w:r>
        <w:rPr>
          <w:rFonts w:ascii="Times New Roman"/>
          <w:color w:val="333333"/>
          <w:sz w:val="24"/>
        </w:rPr>
        <w:t>the Government.</w:t>
      </w:r>
    </w:p>
    <w:p>
      <w:pPr>
        <w:pStyle w:val="BodyText"/>
        <w:spacing w:before="1"/>
        <w:rPr>
          <w:rFonts w:ascii="Times New Roman"/>
          <w:sz w:val="25"/>
        </w:rPr>
      </w:pPr>
    </w:p>
    <w:p>
      <w:pPr>
        <w:spacing w:before="0"/>
        <w:ind w:left="100" w:right="0" w:firstLine="0"/>
        <w:jc w:val="both"/>
        <w:rPr>
          <w:rFonts w:ascii="Arial Black" w:hAnsi="Arial Black"/>
          <w:sz w:val="26"/>
        </w:rPr>
      </w:pPr>
      <w:r>
        <w:rPr>
          <w:rFonts w:ascii="Arial Black" w:hAnsi="Arial Black"/>
          <w:color w:val="FF0000"/>
          <w:sz w:val="26"/>
          <w:u w:val="single" w:color="FF0000"/>
        </w:rPr>
        <w:t>Provisions of the Finance Act, 2019 (Chapter V) Sec.119 – 135</w:t>
      </w:r>
      <w:r>
        <w:rPr>
          <w:rFonts w:ascii="Arial Black" w:hAnsi="Arial Black"/>
          <w:color w:val="FF0000"/>
          <w:sz w:val="26"/>
        </w:rPr>
        <w:t>.</w:t>
      </w:r>
    </w:p>
    <w:p>
      <w:pPr>
        <w:spacing w:before="189"/>
        <w:ind w:left="100" w:right="0" w:firstLine="0"/>
        <w:jc w:val="left"/>
        <w:rPr>
          <w:rFonts w:ascii="Arial Black" w:hAnsi="Arial Black"/>
          <w:sz w:val="20"/>
        </w:rPr>
      </w:pPr>
      <w:r>
        <w:rPr>
          <w:rFonts w:ascii="Arial Black" w:hAnsi="Arial Black"/>
          <w:sz w:val="20"/>
        </w:rPr>
        <w:t>Sec-120 (1) – Short Title</w:t>
      </w:r>
    </w:p>
    <w:p>
      <w:pPr>
        <w:spacing w:before="190"/>
        <w:ind w:left="821" w:right="0" w:firstLine="0"/>
        <w:jc w:val="left"/>
        <w:rPr>
          <w:b/>
          <w:sz w:val="22"/>
        </w:rPr>
      </w:pPr>
      <w:r>
        <w:rPr>
          <w:color w:val="00AFEF"/>
          <w:sz w:val="22"/>
        </w:rPr>
        <w:t>This Scheme shall be </w:t>
      </w:r>
      <w:r>
        <w:rPr>
          <w:b/>
          <w:color w:val="00AFEF"/>
          <w:sz w:val="22"/>
          <w:u w:val="single" w:color="00AFEF"/>
        </w:rPr>
        <w:t>called</w:t>
      </w:r>
      <w:r>
        <w:rPr>
          <w:b/>
          <w:color w:val="00AFEF"/>
          <w:sz w:val="22"/>
        </w:rPr>
        <w:t> </w:t>
      </w:r>
      <w:r>
        <w:rPr>
          <w:color w:val="00AFEF"/>
          <w:sz w:val="22"/>
        </w:rPr>
        <w:t>the </w:t>
      </w:r>
      <w:r>
        <w:rPr>
          <w:b/>
          <w:color w:val="00AFEF"/>
          <w:sz w:val="22"/>
        </w:rPr>
        <w:t>Sabka Vishwas (Legacy Dispute Resolution) Scheme, 2019.</w:t>
      </w:r>
    </w:p>
    <w:p>
      <w:pPr>
        <w:spacing w:before="172"/>
        <w:ind w:left="100" w:right="0" w:firstLine="0"/>
        <w:jc w:val="left"/>
        <w:rPr>
          <w:rFonts w:ascii="Arial Black" w:hAnsi="Arial Black"/>
          <w:sz w:val="20"/>
        </w:rPr>
      </w:pPr>
      <w:r>
        <w:rPr>
          <w:rFonts w:ascii="Arial Black" w:hAnsi="Arial Black"/>
          <w:sz w:val="20"/>
        </w:rPr>
        <w:t>Sec-120 (2) – Commencement</w:t>
      </w:r>
    </w:p>
    <w:p>
      <w:pPr>
        <w:pStyle w:val="BodyText"/>
        <w:spacing w:line="261" w:lineRule="auto" w:before="185"/>
        <w:ind w:left="821" w:right="765"/>
      </w:pPr>
      <w:r>
        <w:rPr>
          <w:color w:val="00AFEF"/>
        </w:rPr>
        <w:t>It shall come into force w.e.f. </w:t>
      </w:r>
      <w:r>
        <w:rPr>
          <w:b/>
          <w:color w:val="00AFEF"/>
        </w:rPr>
        <w:t>1</w:t>
      </w:r>
      <w:r>
        <w:rPr>
          <w:b/>
          <w:color w:val="00AFEF"/>
          <w:vertAlign w:val="superscript"/>
        </w:rPr>
        <w:t>st</w:t>
      </w:r>
      <w:r>
        <w:rPr>
          <w:b/>
          <w:color w:val="00AFEF"/>
          <w:vertAlign w:val="baseline"/>
        </w:rPr>
        <w:t> September, 2019 </w:t>
      </w:r>
      <w:r>
        <w:rPr>
          <w:color w:val="00AFEF"/>
          <w:vertAlign w:val="baseline"/>
        </w:rPr>
        <w:t>vide notification No. 04/2019 CE-NT dated 21.08.2019.</w:t>
      </w:r>
    </w:p>
    <w:p>
      <w:pPr>
        <w:spacing w:before="153"/>
        <w:ind w:left="100" w:right="0" w:firstLine="0"/>
        <w:jc w:val="left"/>
        <w:rPr>
          <w:rFonts w:ascii="Arial Black" w:hAnsi="Arial Black"/>
          <w:sz w:val="20"/>
        </w:rPr>
      </w:pPr>
      <w:r>
        <w:rPr>
          <w:rFonts w:ascii="Arial Black" w:hAnsi="Arial Black"/>
          <w:sz w:val="20"/>
        </w:rPr>
        <w:t>Sec-121– Definitions</w:t>
      </w:r>
    </w:p>
    <w:p>
      <w:pPr>
        <w:pStyle w:val="ListParagraph"/>
        <w:numPr>
          <w:ilvl w:val="0"/>
          <w:numId w:val="1"/>
        </w:numPr>
        <w:tabs>
          <w:tab w:pos="1181" w:val="left" w:leader="none"/>
        </w:tabs>
        <w:spacing w:line="256" w:lineRule="auto" w:before="185" w:after="0"/>
        <w:ind w:left="1181" w:right="771" w:hanging="360"/>
        <w:jc w:val="left"/>
        <w:rPr>
          <w:color w:val="00AFEF"/>
          <w:sz w:val="22"/>
        </w:rPr>
      </w:pPr>
      <w:r>
        <w:rPr>
          <w:color w:val="00AFEF"/>
          <w:sz w:val="22"/>
        </w:rPr>
        <w:t>“amount declared” means the amount declared by the declarant u/s 125 </w:t>
      </w:r>
      <w:r>
        <w:rPr>
          <w:b/>
          <w:color w:val="00AF50"/>
          <w:sz w:val="22"/>
        </w:rPr>
        <w:t>(i.e. Taxes due less</w:t>
      </w:r>
      <w:r>
        <w:rPr>
          <w:b/>
          <w:color w:val="00AF50"/>
          <w:spacing w:val="-10"/>
          <w:sz w:val="22"/>
        </w:rPr>
        <w:t> </w:t>
      </w:r>
      <w:r>
        <w:rPr>
          <w:b/>
          <w:color w:val="00AF50"/>
          <w:sz w:val="22"/>
        </w:rPr>
        <w:t>relief)</w:t>
      </w:r>
      <w:r>
        <w:rPr>
          <w:color w:val="00AFEF"/>
          <w:sz w:val="22"/>
        </w:rPr>
        <w:t>.</w:t>
      </w:r>
      <w:r>
        <w:rPr>
          <w:color w:val="00AFEF"/>
          <w:spacing w:val="38"/>
          <w:sz w:val="22"/>
        </w:rPr>
        <w:t> </w:t>
      </w:r>
      <w:r>
        <w:rPr>
          <w:color w:val="00AFEF"/>
          <w:sz w:val="22"/>
        </w:rPr>
        <w:t>It</w:t>
      </w:r>
      <w:r>
        <w:rPr>
          <w:color w:val="00AFEF"/>
          <w:spacing w:val="-10"/>
          <w:sz w:val="22"/>
        </w:rPr>
        <w:t> </w:t>
      </w:r>
      <w:r>
        <w:rPr>
          <w:color w:val="00AFEF"/>
          <w:sz w:val="22"/>
        </w:rPr>
        <w:t>means</w:t>
      </w:r>
      <w:r>
        <w:rPr>
          <w:color w:val="00AFEF"/>
          <w:spacing w:val="-7"/>
          <w:sz w:val="22"/>
        </w:rPr>
        <w:t> </w:t>
      </w:r>
      <w:r>
        <w:rPr>
          <w:color w:val="00AFEF"/>
          <w:sz w:val="22"/>
        </w:rPr>
        <w:t>net</w:t>
      </w:r>
      <w:r>
        <w:rPr>
          <w:color w:val="00AFEF"/>
          <w:spacing w:val="-8"/>
          <w:sz w:val="22"/>
        </w:rPr>
        <w:t> </w:t>
      </w:r>
      <w:r>
        <w:rPr>
          <w:color w:val="00AFEF"/>
          <w:sz w:val="22"/>
        </w:rPr>
        <w:t>amount</w:t>
      </w:r>
      <w:r>
        <w:rPr>
          <w:color w:val="00AFEF"/>
          <w:spacing w:val="-9"/>
          <w:sz w:val="22"/>
        </w:rPr>
        <w:t> </w:t>
      </w:r>
      <w:r>
        <w:rPr>
          <w:color w:val="00AFEF"/>
          <w:sz w:val="22"/>
        </w:rPr>
        <w:t>payable</w:t>
      </w:r>
      <w:r>
        <w:rPr>
          <w:color w:val="00AFEF"/>
          <w:spacing w:val="-6"/>
          <w:sz w:val="22"/>
        </w:rPr>
        <w:t> </w:t>
      </w:r>
      <w:r>
        <w:rPr>
          <w:color w:val="00AFEF"/>
          <w:sz w:val="22"/>
        </w:rPr>
        <w:t>as</w:t>
      </w:r>
      <w:r>
        <w:rPr>
          <w:color w:val="00AFEF"/>
          <w:spacing w:val="-8"/>
          <w:sz w:val="22"/>
        </w:rPr>
        <w:t> </w:t>
      </w:r>
      <w:r>
        <w:rPr>
          <w:color w:val="00AFEF"/>
          <w:sz w:val="22"/>
        </w:rPr>
        <w:t>declared</w:t>
      </w:r>
      <w:r>
        <w:rPr>
          <w:color w:val="00AFEF"/>
          <w:spacing w:val="-8"/>
          <w:sz w:val="22"/>
        </w:rPr>
        <w:t> </w:t>
      </w:r>
      <w:r>
        <w:rPr>
          <w:color w:val="00AFEF"/>
          <w:spacing w:val="-3"/>
          <w:sz w:val="22"/>
        </w:rPr>
        <w:t>by</w:t>
      </w:r>
      <w:r>
        <w:rPr>
          <w:color w:val="00AFEF"/>
          <w:spacing w:val="-6"/>
          <w:sz w:val="22"/>
        </w:rPr>
        <w:t> </w:t>
      </w:r>
      <w:r>
        <w:rPr>
          <w:color w:val="00AFEF"/>
          <w:sz w:val="22"/>
        </w:rPr>
        <w:t>the</w:t>
      </w:r>
      <w:r>
        <w:rPr>
          <w:color w:val="00AFEF"/>
          <w:spacing w:val="-6"/>
          <w:sz w:val="22"/>
        </w:rPr>
        <w:t> </w:t>
      </w:r>
      <w:r>
        <w:rPr>
          <w:color w:val="00AFEF"/>
          <w:sz w:val="22"/>
        </w:rPr>
        <w:t>declarant</w:t>
      </w:r>
      <w:r>
        <w:rPr>
          <w:color w:val="00AFEF"/>
          <w:spacing w:val="-10"/>
          <w:sz w:val="22"/>
        </w:rPr>
        <w:t> </w:t>
      </w:r>
      <w:r>
        <w:rPr>
          <w:color w:val="00AFEF"/>
          <w:sz w:val="22"/>
        </w:rPr>
        <w:t>under</w:t>
      </w:r>
      <w:r>
        <w:rPr>
          <w:color w:val="00AFEF"/>
          <w:spacing w:val="-7"/>
          <w:sz w:val="22"/>
        </w:rPr>
        <w:t> </w:t>
      </w:r>
      <w:r>
        <w:rPr>
          <w:color w:val="00AFEF"/>
          <w:sz w:val="22"/>
        </w:rPr>
        <w:t>this</w:t>
      </w:r>
      <w:r>
        <w:rPr>
          <w:color w:val="00AFEF"/>
          <w:spacing w:val="-6"/>
          <w:sz w:val="22"/>
        </w:rPr>
        <w:t> </w:t>
      </w:r>
      <w:r>
        <w:rPr>
          <w:color w:val="00AFEF"/>
          <w:sz w:val="22"/>
        </w:rPr>
        <w:t>scheme.</w:t>
      </w:r>
    </w:p>
    <w:p>
      <w:pPr>
        <w:pStyle w:val="ListParagraph"/>
        <w:numPr>
          <w:ilvl w:val="1"/>
          <w:numId w:val="1"/>
        </w:numPr>
        <w:tabs>
          <w:tab w:pos="1901" w:val="left" w:leader="none"/>
          <w:tab w:pos="1902" w:val="left" w:leader="none"/>
        </w:tabs>
        <w:spacing w:line="240" w:lineRule="auto" w:before="6" w:after="0"/>
        <w:ind w:left="1901" w:right="0" w:hanging="361"/>
        <w:jc w:val="left"/>
        <w:rPr>
          <w:i/>
          <w:sz w:val="20"/>
        </w:rPr>
      </w:pPr>
      <w:r>
        <w:rPr>
          <w:i/>
          <w:sz w:val="20"/>
        </w:rPr>
        <w:t>It may be </w:t>
      </w:r>
      <w:r>
        <w:rPr>
          <w:b/>
          <w:i/>
          <w:sz w:val="20"/>
          <w:u w:val="single"/>
        </w:rPr>
        <w:t>payable</w:t>
      </w:r>
      <w:r>
        <w:rPr>
          <w:b/>
          <w:i/>
          <w:spacing w:val="-3"/>
          <w:sz w:val="20"/>
        </w:rPr>
        <w:t> </w:t>
      </w:r>
      <w:r>
        <w:rPr>
          <w:i/>
          <w:sz w:val="20"/>
        </w:rPr>
        <w:t>or</w:t>
      </w:r>
    </w:p>
    <w:p>
      <w:pPr>
        <w:pStyle w:val="ListParagraph"/>
        <w:numPr>
          <w:ilvl w:val="1"/>
          <w:numId w:val="1"/>
        </w:numPr>
        <w:tabs>
          <w:tab w:pos="1901" w:val="left" w:leader="none"/>
          <w:tab w:pos="1902" w:val="left" w:leader="none"/>
        </w:tabs>
        <w:spacing w:line="240" w:lineRule="auto" w:before="19" w:after="0"/>
        <w:ind w:left="1901" w:right="0" w:hanging="361"/>
        <w:jc w:val="left"/>
        <w:rPr>
          <w:i/>
          <w:sz w:val="20"/>
        </w:rPr>
      </w:pPr>
      <w:r>
        <w:rPr>
          <w:i/>
          <w:sz w:val="20"/>
        </w:rPr>
        <w:t>It may be </w:t>
      </w:r>
      <w:r>
        <w:rPr>
          <w:b/>
          <w:i/>
          <w:sz w:val="20"/>
          <w:u w:val="single"/>
        </w:rPr>
        <w:t>nil</w:t>
      </w:r>
      <w:r>
        <w:rPr>
          <w:b/>
          <w:i/>
          <w:sz w:val="20"/>
        </w:rPr>
        <w:t> </w:t>
      </w:r>
      <w:r>
        <w:rPr>
          <w:i/>
          <w:spacing w:val="-3"/>
          <w:sz w:val="20"/>
        </w:rPr>
        <w:t>(in </w:t>
      </w:r>
      <w:r>
        <w:rPr>
          <w:i/>
          <w:sz w:val="20"/>
        </w:rPr>
        <w:t>case seeking waiver from Penalty or</w:t>
      </w:r>
      <w:r>
        <w:rPr>
          <w:i/>
          <w:spacing w:val="-10"/>
          <w:sz w:val="20"/>
        </w:rPr>
        <w:t> </w:t>
      </w:r>
      <w:r>
        <w:rPr>
          <w:i/>
          <w:sz w:val="20"/>
        </w:rPr>
        <w:t>Interest)</w:t>
      </w:r>
    </w:p>
    <w:p>
      <w:pPr>
        <w:pStyle w:val="BodyText"/>
        <w:spacing w:before="8"/>
        <w:rPr>
          <w:i/>
          <w:sz w:val="20"/>
        </w:rPr>
      </w:pPr>
    </w:p>
    <w:p>
      <w:pPr>
        <w:pStyle w:val="ListParagraph"/>
        <w:numPr>
          <w:ilvl w:val="0"/>
          <w:numId w:val="1"/>
        </w:numPr>
        <w:tabs>
          <w:tab w:pos="1181" w:val="left" w:leader="none"/>
        </w:tabs>
        <w:spacing w:line="256" w:lineRule="auto" w:before="57" w:after="0"/>
        <w:ind w:left="1181" w:right="772" w:hanging="360"/>
        <w:jc w:val="left"/>
        <w:rPr>
          <w:color w:val="00AFEF"/>
          <w:sz w:val="22"/>
        </w:rPr>
      </w:pPr>
      <w:r>
        <w:rPr>
          <w:color w:val="00AFEF"/>
          <w:spacing w:val="-4"/>
          <w:sz w:val="22"/>
        </w:rPr>
        <w:t>“amount estimated” </w:t>
      </w:r>
      <w:r>
        <w:rPr>
          <w:color w:val="00AFEF"/>
          <w:spacing w:val="-3"/>
          <w:sz w:val="22"/>
        </w:rPr>
        <w:t>means </w:t>
      </w:r>
      <w:r>
        <w:rPr>
          <w:color w:val="00AFEF"/>
          <w:sz w:val="22"/>
        </w:rPr>
        <w:t>the </w:t>
      </w:r>
      <w:r>
        <w:rPr>
          <w:color w:val="00AFEF"/>
          <w:spacing w:val="-3"/>
          <w:sz w:val="22"/>
        </w:rPr>
        <w:t>amount </w:t>
      </w:r>
      <w:r>
        <w:rPr>
          <w:color w:val="00AFEF"/>
          <w:spacing w:val="-4"/>
          <w:sz w:val="22"/>
        </w:rPr>
        <w:t>estimated </w:t>
      </w:r>
      <w:r>
        <w:rPr>
          <w:color w:val="00AFEF"/>
          <w:sz w:val="22"/>
        </w:rPr>
        <w:t>by the </w:t>
      </w:r>
      <w:r>
        <w:rPr>
          <w:color w:val="00AFEF"/>
          <w:spacing w:val="-4"/>
          <w:sz w:val="22"/>
        </w:rPr>
        <w:t>designated committee </w:t>
      </w:r>
      <w:r>
        <w:rPr>
          <w:color w:val="00AFEF"/>
          <w:sz w:val="22"/>
        </w:rPr>
        <w:t>u/s 127. It means</w:t>
      </w:r>
      <w:r>
        <w:rPr>
          <w:color w:val="00AFEF"/>
          <w:spacing w:val="-13"/>
          <w:sz w:val="22"/>
        </w:rPr>
        <w:t> </w:t>
      </w:r>
      <w:r>
        <w:rPr>
          <w:color w:val="00AFEF"/>
          <w:sz w:val="22"/>
        </w:rPr>
        <w:t>net</w:t>
      </w:r>
      <w:r>
        <w:rPr>
          <w:color w:val="00AFEF"/>
          <w:spacing w:val="-13"/>
          <w:sz w:val="22"/>
        </w:rPr>
        <w:t> </w:t>
      </w:r>
      <w:r>
        <w:rPr>
          <w:color w:val="00AFEF"/>
          <w:sz w:val="22"/>
        </w:rPr>
        <w:t>amount</w:t>
      </w:r>
      <w:r>
        <w:rPr>
          <w:color w:val="00AFEF"/>
          <w:spacing w:val="-14"/>
          <w:sz w:val="22"/>
        </w:rPr>
        <w:t> </w:t>
      </w:r>
      <w:r>
        <w:rPr>
          <w:color w:val="00AFEF"/>
          <w:sz w:val="22"/>
        </w:rPr>
        <w:t>payable</w:t>
      </w:r>
      <w:r>
        <w:rPr>
          <w:color w:val="00AFEF"/>
          <w:spacing w:val="-12"/>
          <w:sz w:val="22"/>
        </w:rPr>
        <w:t> </w:t>
      </w:r>
      <w:r>
        <w:rPr>
          <w:color w:val="00AFEF"/>
          <w:sz w:val="22"/>
        </w:rPr>
        <w:t>as</w:t>
      </w:r>
      <w:r>
        <w:rPr>
          <w:color w:val="00AFEF"/>
          <w:spacing w:val="-12"/>
          <w:sz w:val="22"/>
        </w:rPr>
        <w:t> </w:t>
      </w:r>
      <w:r>
        <w:rPr>
          <w:color w:val="00AFEF"/>
          <w:sz w:val="22"/>
        </w:rPr>
        <w:t>estimated</w:t>
      </w:r>
      <w:r>
        <w:rPr>
          <w:color w:val="00AFEF"/>
          <w:spacing w:val="-12"/>
          <w:sz w:val="22"/>
        </w:rPr>
        <w:t> </w:t>
      </w:r>
      <w:r>
        <w:rPr>
          <w:color w:val="00AFEF"/>
          <w:sz w:val="22"/>
        </w:rPr>
        <w:t>by</w:t>
      </w:r>
      <w:r>
        <w:rPr>
          <w:color w:val="00AFEF"/>
          <w:spacing w:val="-12"/>
          <w:sz w:val="22"/>
        </w:rPr>
        <w:t> </w:t>
      </w:r>
      <w:r>
        <w:rPr>
          <w:color w:val="00AFEF"/>
          <w:sz w:val="22"/>
        </w:rPr>
        <w:t>the</w:t>
      </w:r>
      <w:r>
        <w:rPr>
          <w:color w:val="00AFEF"/>
          <w:spacing w:val="-11"/>
          <w:sz w:val="22"/>
        </w:rPr>
        <w:t> </w:t>
      </w:r>
      <w:r>
        <w:rPr>
          <w:color w:val="00AFEF"/>
          <w:sz w:val="22"/>
        </w:rPr>
        <w:t>designated</w:t>
      </w:r>
      <w:r>
        <w:rPr>
          <w:color w:val="00AFEF"/>
          <w:spacing w:val="-12"/>
          <w:sz w:val="22"/>
        </w:rPr>
        <w:t> </w:t>
      </w:r>
      <w:r>
        <w:rPr>
          <w:color w:val="00AFEF"/>
          <w:sz w:val="22"/>
        </w:rPr>
        <w:t>committee</w:t>
      </w:r>
      <w:r>
        <w:rPr>
          <w:color w:val="00AFEF"/>
          <w:spacing w:val="-11"/>
          <w:sz w:val="22"/>
        </w:rPr>
        <w:t> </w:t>
      </w:r>
      <w:r>
        <w:rPr>
          <w:color w:val="00AFEF"/>
          <w:sz w:val="22"/>
        </w:rPr>
        <w:t>under</w:t>
      </w:r>
      <w:r>
        <w:rPr>
          <w:color w:val="00AFEF"/>
          <w:spacing w:val="-12"/>
          <w:sz w:val="22"/>
        </w:rPr>
        <w:t> </w:t>
      </w:r>
      <w:r>
        <w:rPr>
          <w:color w:val="00AFEF"/>
          <w:sz w:val="22"/>
        </w:rPr>
        <w:t>this</w:t>
      </w:r>
      <w:r>
        <w:rPr>
          <w:color w:val="00AFEF"/>
          <w:spacing w:val="-12"/>
          <w:sz w:val="22"/>
        </w:rPr>
        <w:t> </w:t>
      </w:r>
      <w:r>
        <w:rPr>
          <w:color w:val="00AFEF"/>
          <w:sz w:val="22"/>
        </w:rPr>
        <w:t>scheme.</w:t>
      </w:r>
    </w:p>
    <w:p>
      <w:pPr>
        <w:pStyle w:val="ListParagraph"/>
        <w:numPr>
          <w:ilvl w:val="1"/>
          <w:numId w:val="1"/>
        </w:numPr>
        <w:tabs>
          <w:tab w:pos="1901" w:val="left" w:leader="none"/>
          <w:tab w:pos="1902" w:val="left" w:leader="none"/>
        </w:tabs>
        <w:spacing w:line="240" w:lineRule="auto" w:before="6" w:after="0"/>
        <w:ind w:left="1901" w:right="0" w:hanging="361"/>
        <w:jc w:val="left"/>
        <w:rPr>
          <w:i/>
          <w:sz w:val="20"/>
        </w:rPr>
      </w:pPr>
      <w:r>
        <w:rPr>
          <w:i/>
          <w:sz w:val="20"/>
        </w:rPr>
        <w:t>It may be </w:t>
      </w:r>
      <w:r>
        <w:rPr>
          <w:b/>
          <w:i/>
          <w:sz w:val="20"/>
          <w:u w:val="single"/>
        </w:rPr>
        <w:t>payable</w:t>
      </w:r>
      <w:r>
        <w:rPr>
          <w:b/>
          <w:i/>
          <w:spacing w:val="-3"/>
          <w:sz w:val="20"/>
        </w:rPr>
        <w:t> </w:t>
      </w:r>
      <w:r>
        <w:rPr>
          <w:i/>
          <w:sz w:val="20"/>
        </w:rPr>
        <w:t>or</w:t>
      </w:r>
    </w:p>
    <w:p>
      <w:pPr>
        <w:pStyle w:val="ListParagraph"/>
        <w:numPr>
          <w:ilvl w:val="1"/>
          <w:numId w:val="1"/>
        </w:numPr>
        <w:tabs>
          <w:tab w:pos="1901" w:val="left" w:leader="none"/>
          <w:tab w:pos="1902" w:val="left" w:leader="none"/>
        </w:tabs>
        <w:spacing w:line="240" w:lineRule="auto" w:before="15" w:after="0"/>
        <w:ind w:left="1901" w:right="0" w:hanging="361"/>
        <w:jc w:val="left"/>
        <w:rPr>
          <w:i/>
          <w:sz w:val="20"/>
        </w:rPr>
      </w:pPr>
      <w:r>
        <w:rPr>
          <w:i/>
          <w:sz w:val="20"/>
        </w:rPr>
        <w:t>It may be </w:t>
      </w:r>
      <w:r>
        <w:rPr>
          <w:b/>
          <w:i/>
          <w:sz w:val="20"/>
          <w:u w:val="single"/>
        </w:rPr>
        <w:t>nil</w:t>
      </w:r>
      <w:r>
        <w:rPr>
          <w:b/>
          <w:i/>
          <w:sz w:val="20"/>
        </w:rPr>
        <w:t> </w:t>
      </w:r>
      <w:r>
        <w:rPr>
          <w:i/>
          <w:spacing w:val="-3"/>
          <w:sz w:val="20"/>
        </w:rPr>
        <w:t>(in </w:t>
      </w:r>
      <w:r>
        <w:rPr>
          <w:i/>
          <w:sz w:val="20"/>
        </w:rPr>
        <w:t>case granting waiver from Penalty or</w:t>
      </w:r>
      <w:r>
        <w:rPr>
          <w:i/>
          <w:spacing w:val="-12"/>
          <w:sz w:val="20"/>
        </w:rPr>
        <w:t> </w:t>
      </w:r>
      <w:r>
        <w:rPr>
          <w:i/>
          <w:sz w:val="20"/>
        </w:rPr>
        <w:t>Interest)</w:t>
      </w:r>
    </w:p>
    <w:p>
      <w:pPr>
        <w:pStyle w:val="BodyText"/>
        <w:rPr>
          <w:i/>
          <w:sz w:val="21"/>
        </w:rPr>
      </w:pPr>
    </w:p>
    <w:p>
      <w:pPr>
        <w:pStyle w:val="ListParagraph"/>
        <w:numPr>
          <w:ilvl w:val="0"/>
          <w:numId w:val="1"/>
        </w:numPr>
        <w:tabs>
          <w:tab w:pos="1181" w:val="left" w:leader="none"/>
        </w:tabs>
        <w:spacing w:line="256" w:lineRule="auto" w:before="57" w:after="0"/>
        <w:ind w:left="1181" w:right="1115" w:hanging="360"/>
        <w:jc w:val="left"/>
        <w:rPr>
          <w:color w:val="00AFEF"/>
          <w:sz w:val="22"/>
        </w:rPr>
      </w:pPr>
      <w:r>
        <w:rPr>
          <w:color w:val="00AFEF"/>
          <w:sz w:val="22"/>
        </w:rPr>
        <w:t>“amount in arrears” means </w:t>
      </w:r>
      <w:r>
        <w:rPr>
          <w:color w:val="C45811"/>
          <w:sz w:val="22"/>
        </w:rPr>
        <w:t>the amount </w:t>
      </w:r>
      <w:r>
        <w:rPr>
          <w:color w:val="00AFEF"/>
          <w:sz w:val="22"/>
        </w:rPr>
        <w:t>which is recoverable </w:t>
      </w:r>
      <w:r>
        <w:rPr>
          <w:color w:val="C45811"/>
          <w:sz w:val="22"/>
        </w:rPr>
        <w:t>as arrears </w:t>
      </w:r>
      <w:r>
        <w:rPr>
          <w:color w:val="00AFEF"/>
          <w:sz w:val="22"/>
        </w:rPr>
        <w:t>of duty under the Indirect tax enactment (i.e. Excise duty, Service tax or cess), </w:t>
      </w:r>
      <w:r>
        <w:rPr>
          <w:color w:val="FF0000"/>
          <w:sz w:val="22"/>
        </w:rPr>
        <w:t>on account</w:t>
      </w:r>
      <w:r>
        <w:rPr>
          <w:color w:val="FF0000"/>
          <w:spacing w:val="-28"/>
          <w:sz w:val="22"/>
        </w:rPr>
        <w:t> </w:t>
      </w:r>
      <w:r>
        <w:rPr>
          <w:color w:val="FF0000"/>
          <w:sz w:val="22"/>
        </w:rPr>
        <w:t>of</w:t>
      </w:r>
      <w:r>
        <w:rPr>
          <w:color w:val="00AFEF"/>
          <w:sz w:val="22"/>
        </w:rPr>
        <w:t>-</w:t>
      </w:r>
    </w:p>
    <w:p>
      <w:pPr>
        <w:pStyle w:val="BodyText"/>
        <w:rPr>
          <w:sz w:val="24"/>
        </w:rPr>
      </w:pPr>
    </w:p>
    <w:p>
      <w:pPr>
        <w:pStyle w:val="ListParagraph"/>
        <w:numPr>
          <w:ilvl w:val="0"/>
          <w:numId w:val="2"/>
        </w:numPr>
        <w:tabs>
          <w:tab w:pos="1902" w:val="left" w:leader="none"/>
        </w:tabs>
        <w:spacing w:line="259" w:lineRule="auto" w:before="1" w:after="0"/>
        <w:ind w:left="1901" w:right="768" w:hanging="361"/>
        <w:jc w:val="both"/>
        <w:rPr>
          <w:sz w:val="22"/>
        </w:rPr>
      </w:pPr>
      <w:r>
        <w:rPr>
          <w:b/>
          <w:color w:val="FF0000"/>
          <w:sz w:val="22"/>
        </w:rPr>
        <w:t>NO APPEAL </w:t>
      </w:r>
      <w:r>
        <w:rPr>
          <w:b/>
          <w:color w:val="00AFEF"/>
          <w:sz w:val="22"/>
        </w:rPr>
        <w:t>is </w:t>
      </w:r>
      <w:r>
        <w:rPr>
          <w:color w:val="00AFEF"/>
          <w:sz w:val="22"/>
        </w:rPr>
        <w:t>filed against the “Order” </w:t>
      </w:r>
      <w:r>
        <w:rPr>
          <w:color w:val="C45811"/>
          <w:sz w:val="22"/>
        </w:rPr>
        <w:t>(i.e. SCN) </w:t>
      </w:r>
      <w:r>
        <w:rPr>
          <w:color w:val="00AFEF"/>
          <w:sz w:val="22"/>
        </w:rPr>
        <w:t>or “Order in Appeal” </w:t>
      </w:r>
      <w:r>
        <w:rPr>
          <w:color w:val="C45811"/>
          <w:sz w:val="22"/>
        </w:rPr>
        <w:t>(i.e. OIO, Order</w:t>
      </w:r>
      <w:r>
        <w:rPr>
          <w:color w:val="C45811"/>
          <w:spacing w:val="-11"/>
          <w:sz w:val="22"/>
        </w:rPr>
        <w:t> </w:t>
      </w:r>
      <w:r>
        <w:rPr>
          <w:color w:val="C45811"/>
          <w:sz w:val="22"/>
        </w:rPr>
        <w:t>passed</w:t>
      </w:r>
      <w:r>
        <w:rPr>
          <w:color w:val="C45811"/>
          <w:spacing w:val="-12"/>
          <w:sz w:val="22"/>
        </w:rPr>
        <w:t> </w:t>
      </w:r>
      <w:r>
        <w:rPr>
          <w:color w:val="C45811"/>
          <w:sz w:val="22"/>
        </w:rPr>
        <w:t>by</w:t>
      </w:r>
      <w:r>
        <w:rPr>
          <w:color w:val="C45811"/>
          <w:spacing w:val="-11"/>
          <w:sz w:val="22"/>
        </w:rPr>
        <w:t> </w:t>
      </w:r>
      <w:r>
        <w:rPr>
          <w:color w:val="C45811"/>
          <w:sz w:val="22"/>
        </w:rPr>
        <w:t>CESTAT</w:t>
      </w:r>
      <w:r>
        <w:rPr>
          <w:color w:val="C45811"/>
          <w:spacing w:val="-9"/>
          <w:sz w:val="22"/>
        </w:rPr>
        <w:t> </w:t>
      </w:r>
      <w:r>
        <w:rPr>
          <w:color w:val="C45811"/>
          <w:sz w:val="22"/>
        </w:rPr>
        <w:t>or</w:t>
      </w:r>
      <w:r>
        <w:rPr>
          <w:color w:val="C45811"/>
          <w:spacing w:val="-12"/>
          <w:sz w:val="22"/>
        </w:rPr>
        <w:t> </w:t>
      </w:r>
      <w:r>
        <w:rPr>
          <w:color w:val="C45811"/>
          <w:sz w:val="22"/>
        </w:rPr>
        <w:t>High</w:t>
      </w:r>
      <w:r>
        <w:rPr>
          <w:color w:val="C45811"/>
          <w:spacing w:val="-13"/>
          <w:sz w:val="22"/>
        </w:rPr>
        <w:t> </w:t>
      </w:r>
      <w:r>
        <w:rPr>
          <w:color w:val="C45811"/>
          <w:sz w:val="22"/>
        </w:rPr>
        <w:t>Courts</w:t>
      </w:r>
      <w:r>
        <w:rPr>
          <w:color w:val="C45811"/>
          <w:spacing w:val="-12"/>
          <w:sz w:val="22"/>
        </w:rPr>
        <w:t> </w:t>
      </w:r>
      <w:r>
        <w:rPr>
          <w:color w:val="C45811"/>
          <w:sz w:val="22"/>
        </w:rPr>
        <w:t>or</w:t>
      </w:r>
      <w:r>
        <w:rPr>
          <w:color w:val="C45811"/>
          <w:spacing w:val="-10"/>
          <w:sz w:val="22"/>
        </w:rPr>
        <w:t> </w:t>
      </w:r>
      <w:r>
        <w:rPr>
          <w:color w:val="C45811"/>
          <w:sz w:val="22"/>
        </w:rPr>
        <w:t>Apex</w:t>
      </w:r>
      <w:r>
        <w:rPr>
          <w:color w:val="C45811"/>
          <w:spacing w:val="-11"/>
          <w:sz w:val="22"/>
        </w:rPr>
        <w:t> </w:t>
      </w:r>
      <w:r>
        <w:rPr>
          <w:color w:val="C45811"/>
          <w:sz w:val="22"/>
        </w:rPr>
        <w:t>Court)</w:t>
      </w:r>
      <w:r>
        <w:rPr>
          <w:color w:val="C45811"/>
          <w:spacing w:val="-6"/>
          <w:sz w:val="22"/>
        </w:rPr>
        <w:t> </w:t>
      </w:r>
      <w:r>
        <w:rPr>
          <w:color w:val="00AFEF"/>
          <w:sz w:val="22"/>
        </w:rPr>
        <w:t>before</w:t>
      </w:r>
      <w:r>
        <w:rPr>
          <w:color w:val="00AFEF"/>
          <w:spacing w:val="-16"/>
          <w:sz w:val="22"/>
        </w:rPr>
        <w:t> </w:t>
      </w:r>
      <w:r>
        <w:rPr>
          <w:color w:val="00AFEF"/>
          <w:sz w:val="22"/>
        </w:rPr>
        <w:t>expiry</w:t>
      </w:r>
      <w:r>
        <w:rPr>
          <w:color w:val="00AFEF"/>
          <w:spacing w:val="-21"/>
          <w:sz w:val="22"/>
        </w:rPr>
        <w:t> </w:t>
      </w:r>
      <w:r>
        <w:rPr>
          <w:color w:val="00AFEF"/>
          <w:sz w:val="22"/>
        </w:rPr>
        <w:t>of</w:t>
      </w:r>
      <w:r>
        <w:rPr>
          <w:color w:val="00AFEF"/>
          <w:spacing w:val="-16"/>
          <w:sz w:val="22"/>
        </w:rPr>
        <w:t> </w:t>
      </w:r>
      <w:r>
        <w:rPr>
          <w:color w:val="00AFEF"/>
          <w:sz w:val="22"/>
        </w:rPr>
        <w:t>time</w:t>
      </w:r>
      <w:r>
        <w:rPr>
          <w:color w:val="00AFEF"/>
          <w:spacing w:val="-20"/>
          <w:sz w:val="22"/>
        </w:rPr>
        <w:t> </w:t>
      </w:r>
      <w:r>
        <w:rPr>
          <w:color w:val="00AFEF"/>
          <w:spacing w:val="-8"/>
          <w:sz w:val="22"/>
        </w:rPr>
        <w:t>period </w:t>
      </w:r>
      <w:r>
        <w:rPr>
          <w:color w:val="00AFEF"/>
          <w:sz w:val="22"/>
        </w:rPr>
        <w:t>for filing</w:t>
      </w:r>
      <w:r>
        <w:rPr>
          <w:color w:val="00AFEF"/>
          <w:spacing w:val="-17"/>
          <w:sz w:val="22"/>
        </w:rPr>
        <w:t> </w:t>
      </w:r>
      <w:r>
        <w:rPr>
          <w:color w:val="00AFEF"/>
          <w:sz w:val="22"/>
        </w:rPr>
        <w:t>appeal.</w:t>
      </w:r>
    </w:p>
    <w:p>
      <w:pPr>
        <w:pStyle w:val="ListParagraph"/>
        <w:numPr>
          <w:ilvl w:val="1"/>
          <w:numId w:val="2"/>
        </w:numPr>
        <w:tabs>
          <w:tab w:pos="2622" w:val="left" w:leader="none"/>
        </w:tabs>
        <w:spacing w:line="256" w:lineRule="auto" w:before="0" w:after="0"/>
        <w:ind w:left="2621" w:right="773" w:hanging="360"/>
        <w:jc w:val="both"/>
        <w:rPr>
          <w:rFonts w:ascii="Courier New" w:hAnsi="Courier New"/>
          <w:color w:val="C45811"/>
          <w:sz w:val="22"/>
        </w:rPr>
      </w:pPr>
      <w:r>
        <w:rPr>
          <w:sz w:val="22"/>
        </w:rPr>
        <w:t>If assessee doesn’t want to file an appeal against an order or order in appeal even though he has time to file such appeal, in such situation demand stated in order or order in appeal will be termed as “confirmed” demand and such confirmed demand comes under the definition of “amount in arrears”. </w:t>
      </w:r>
      <w:r>
        <w:rPr>
          <w:color w:val="C45811"/>
          <w:sz w:val="22"/>
        </w:rPr>
        <w:t>(for this purpose assessee has to file a declaration that he will not file any appeal against such</w:t>
      </w:r>
      <w:r>
        <w:rPr>
          <w:color w:val="C45811"/>
          <w:spacing w:val="-25"/>
          <w:sz w:val="22"/>
        </w:rPr>
        <w:t> </w:t>
      </w:r>
      <w:r>
        <w:rPr>
          <w:color w:val="C45811"/>
          <w:sz w:val="22"/>
        </w:rPr>
        <w:t>matter)</w:t>
      </w:r>
    </w:p>
    <w:p>
      <w:pPr>
        <w:pStyle w:val="BodyText"/>
        <w:spacing w:before="5"/>
        <w:rPr>
          <w:sz w:val="24"/>
        </w:rPr>
      </w:pPr>
    </w:p>
    <w:p>
      <w:pPr>
        <w:pStyle w:val="ListParagraph"/>
        <w:numPr>
          <w:ilvl w:val="1"/>
          <w:numId w:val="2"/>
        </w:numPr>
        <w:tabs>
          <w:tab w:pos="2622" w:val="left" w:leader="none"/>
        </w:tabs>
        <w:spacing w:line="252" w:lineRule="auto" w:before="1" w:after="0"/>
        <w:ind w:left="2621" w:right="773" w:hanging="360"/>
        <w:jc w:val="both"/>
        <w:rPr>
          <w:rFonts w:ascii="Courier New" w:hAnsi="Courier New"/>
          <w:color w:val="00AFEF"/>
          <w:sz w:val="22"/>
        </w:rPr>
      </w:pPr>
      <w:r>
        <w:rPr>
          <w:color w:val="00AFEF"/>
          <w:sz w:val="22"/>
        </w:rPr>
        <w:t>Mr. A has filed an appeal </w:t>
      </w:r>
      <w:r>
        <w:rPr>
          <w:b/>
          <w:color w:val="00AFEF"/>
          <w:sz w:val="22"/>
          <w:u w:val="single" w:color="00AFEF"/>
        </w:rPr>
        <w:t>after 30.06.2019</w:t>
      </w:r>
      <w:r>
        <w:rPr>
          <w:b/>
          <w:color w:val="00AFEF"/>
          <w:sz w:val="22"/>
        </w:rPr>
        <w:t> </w:t>
      </w:r>
      <w:r>
        <w:rPr>
          <w:color w:val="00AFEF"/>
          <w:sz w:val="22"/>
        </w:rPr>
        <w:t>against an order of CESTAT, in this</w:t>
      </w:r>
      <w:r>
        <w:rPr>
          <w:color w:val="00AFEF"/>
          <w:spacing w:val="-2"/>
          <w:sz w:val="22"/>
        </w:rPr>
        <w:t> </w:t>
      </w:r>
      <w:r>
        <w:rPr>
          <w:color w:val="00AFEF"/>
          <w:sz w:val="22"/>
        </w:rPr>
        <w:t>case-</w:t>
      </w:r>
    </w:p>
    <w:p>
      <w:pPr>
        <w:pStyle w:val="ListParagraph"/>
        <w:numPr>
          <w:ilvl w:val="2"/>
          <w:numId w:val="2"/>
        </w:numPr>
        <w:tabs>
          <w:tab w:pos="3342" w:val="left" w:leader="none"/>
        </w:tabs>
        <w:spacing w:line="240" w:lineRule="auto" w:before="5" w:after="0"/>
        <w:ind w:left="3342" w:right="0" w:hanging="361"/>
        <w:jc w:val="both"/>
        <w:rPr>
          <w:rFonts w:ascii="Wingdings" w:hAnsi="Wingdings"/>
          <w:sz w:val="22"/>
        </w:rPr>
      </w:pPr>
      <w:r>
        <w:rPr>
          <w:sz w:val="22"/>
        </w:rPr>
        <w:t>Mr. A is not eligible for this scheme or,</w:t>
      </w:r>
      <w:r>
        <w:rPr>
          <w:spacing w:val="-21"/>
          <w:sz w:val="22"/>
        </w:rPr>
        <w:t> </w:t>
      </w:r>
      <w:r>
        <w:rPr>
          <w:sz w:val="22"/>
        </w:rPr>
        <w:t>alternatively,</w:t>
      </w:r>
    </w:p>
    <w:p>
      <w:pPr>
        <w:pStyle w:val="ListParagraph"/>
        <w:numPr>
          <w:ilvl w:val="2"/>
          <w:numId w:val="2"/>
        </w:numPr>
        <w:tabs>
          <w:tab w:pos="3342" w:val="left" w:leader="none"/>
        </w:tabs>
        <w:spacing w:line="259" w:lineRule="auto" w:before="24" w:after="0"/>
        <w:ind w:left="3342" w:right="772" w:hanging="361"/>
        <w:jc w:val="both"/>
        <w:rPr>
          <w:rFonts w:ascii="Wingdings" w:hAnsi="Wingdings"/>
          <w:sz w:val="20"/>
        </w:rPr>
      </w:pPr>
      <w:r>
        <w:rPr>
          <w:sz w:val="22"/>
        </w:rPr>
        <w:t>If he withdraws such appeal AND furnishes undertaking that he will not file any appeal against such matter, demand stated in order or order in appeal will be termed as “confirmed” demand and</w:t>
      </w:r>
      <w:r>
        <w:rPr>
          <w:spacing w:val="12"/>
          <w:sz w:val="22"/>
        </w:rPr>
        <w:t> </w:t>
      </w:r>
      <w:r>
        <w:rPr>
          <w:sz w:val="22"/>
        </w:rPr>
        <w:t>such</w:t>
      </w:r>
      <w:r>
        <w:rPr>
          <w:spacing w:val="13"/>
          <w:sz w:val="22"/>
        </w:rPr>
        <w:t> </w:t>
      </w:r>
      <w:r>
        <w:rPr>
          <w:sz w:val="22"/>
        </w:rPr>
        <w:t>confirmed</w:t>
      </w:r>
      <w:r>
        <w:rPr>
          <w:spacing w:val="14"/>
          <w:sz w:val="22"/>
        </w:rPr>
        <w:t> </w:t>
      </w:r>
      <w:r>
        <w:rPr>
          <w:sz w:val="22"/>
        </w:rPr>
        <w:t>demand</w:t>
      </w:r>
      <w:r>
        <w:rPr>
          <w:spacing w:val="13"/>
          <w:sz w:val="22"/>
        </w:rPr>
        <w:t> </w:t>
      </w:r>
      <w:r>
        <w:rPr>
          <w:sz w:val="22"/>
        </w:rPr>
        <w:t>comes</w:t>
      </w:r>
      <w:r>
        <w:rPr>
          <w:spacing w:val="14"/>
          <w:sz w:val="22"/>
        </w:rPr>
        <w:t> </w:t>
      </w:r>
      <w:r>
        <w:rPr>
          <w:sz w:val="22"/>
        </w:rPr>
        <w:t>under</w:t>
      </w:r>
      <w:r>
        <w:rPr>
          <w:spacing w:val="14"/>
          <w:sz w:val="22"/>
        </w:rPr>
        <w:t> </w:t>
      </w:r>
      <w:r>
        <w:rPr>
          <w:sz w:val="22"/>
        </w:rPr>
        <w:t>the</w:t>
      </w:r>
      <w:r>
        <w:rPr>
          <w:spacing w:val="15"/>
          <w:sz w:val="22"/>
        </w:rPr>
        <w:t> </w:t>
      </w:r>
      <w:r>
        <w:rPr>
          <w:sz w:val="22"/>
        </w:rPr>
        <w:t>definition</w:t>
      </w:r>
      <w:r>
        <w:rPr>
          <w:spacing w:val="13"/>
          <w:sz w:val="22"/>
        </w:rPr>
        <w:t> </w:t>
      </w:r>
      <w:r>
        <w:rPr>
          <w:sz w:val="22"/>
        </w:rPr>
        <w:t>of</w:t>
      </w:r>
    </w:p>
    <w:p>
      <w:pPr>
        <w:spacing w:after="0" w:line="259" w:lineRule="auto"/>
        <w:jc w:val="both"/>
        <w:rPr>
          <w:rFonts w:ascii="Wingdings" w:hAnsi="Wingdings"/>
          <w:sz w:val="20"/>
        </w:rPr>
        <w:sectPr>
          <w:headerReference w:type="default" r:id="rId7"/>
          <w:pgSz w:w="11910" w:h="16840"/>
          <w:pgMar w:header="764" w:footer="992" w:top="1620" w:bottom="1180" w:left="1340" w:right="660"/>
        </w:sectPr>
      </w:pPr>
    </w:p>
    <w:p>
      <w:pPr>
        <w:pStyle w:val="BodyText"/>
        <w:rPr>
          <w:sz w:val="19"/>
        </w:rPr>
      </w:pPr>
    </w:p>
    <w:p>
      <w:pPr>
        <w:spacing w:line="256" w:lineRule="auto" w:before="57"/>
        <w:ind w:left="3342" w:right="0" w:firstLine="0"/>
        <w:jc w:val="left"/>
        <w:rPr>
          <w:i/>
          <w:sz w:val="20"/>
        </w:rPr>
      </w:pPr>
      <w:r>
        <w:rPr>
          <w:sz w:val="22"/>
        </w:rPr>
        <w:t>“amount in arrears” not “tax dues”. </w:t>
      </w:r>
      <w:r>
        <w:rPr>
          <w:i/>
          <w:sz w:val="20"/>
        </w:rPr>
        <w:t>{para 2(vi) of Circular </w:t>
      </w:r>
      <w:r>
        <w:rPr>
          <w:i/>
          <w:sz w:val="20"/>
        </w:rPr>
        <w:t>No.1073/06/2019.CX dated 29.10.2019}</w:t>
      </w:r>
    </w:p>
    <w:p>
      <w:pPr>
        <w:pStyle w:val="BodyText"/>
        <w:spacing w:before="11"/>
        <w:rPr>
          <w:i/>
          <w:sz w:val="23"/>
        </w:rPr>
      </w:pPr>
    </w:p>
    <w:p>
      <w:pPr>
        <w:pStyle w:val="ListParagraph"/>
        <w:numPr>
          <w:ilvl w:val="0"/>
          <w:numId w:val="2"/>
        </w:numPr>
        <w:tabs>
          <w:tab w:pos="1902" w:val="left" w:leader="none"/>
        </w:tabs>
        <w:spacing w:line="240" w:lineRule="auto" w:before="0" w:after="0"/>
        <w:ind w:left="1901" w:right="0" w:hanging="361"/>
        <w:jc w:val="left"/>
        <w:rPr>
          <w:sz w:val="22"/>
        </w:rPr>
      </w:pPr>
      <w:r>
        <w:rPr>
          <w:color w:val="00AFEF"/>
          <w:sz w:val="22"/>
        </w:rPr>
        <w:t>An “Order in Appeal” attaining</w:t>
      </w:r>
      <w:r>
        <w:rPr>
          <w:color w:val="00AFEF"/>
          <w:spacing w:val="-12"/>
          <w:sz w:val="22"/>
        </w:rPr>
        <w:t> </w:t>
      </w:r>
      <w:r>
        <w:rPr>
          <w:color w:val="00AFEF"/>
          <w:sz w:val="22"/>
        </w:rPr>
        <w:t>Finality.</w:t>
      </w:r>
    </w:p>
    <w:p>
      <w:pPr>
        <w:pStyle w:val="ListParagraph"/>
        <w:numPr>
          <w:ilvl w:val="1"/>
          <w:numId w:val="2"/>
        </w:numPr>
        <w:tabs>
          <w:tab w:pos="2621" w:val="left" w:leader="none"/>
          <w:tab w:pos="2622" w:val="left" w:leader="none"/>
        </w:tabs>
        <w:spacing w:line="252" w:lineRule="auto" w:before="24" w:after="0"/>
        <w:ind w:left="2621" w:right="770" w:hanging="360"/>
        <w:jc w:val="left"/>
        <w:rPr>
          <w:rFonts w:ascii="Courier New" w:hAnsi="Courier New"/>
          <w:sz w:val="22"/>
        </w:rPr>
      </w:pPr>
      <w:r>
        <w:rPr>
          <w:sz w:val="22"/>
        </w:rPr>
        <w:t>This restriction will apply ONLY on those cases which are finally heard up to 30.06.2019. Demand confirmed under this situation will come</w:t>
      </w:r>
      <w:r>
        <w:rPr>
          <w:spacing w:val="30"/>
          <w:sz w:val="22"/>
        </w:rPr>
        <w:t> </w:t>
      </w:r>
      <w:r>
        <w:rPr>
          <w:sz w:val="22"/>
        </w:rPr>
        <w:t>under</w:t>
      </w:r>
    </w:p>
    <w:p>
      <w:pPr>
        <w:pStyle w:val="Heading3"/>
        <w:ind w:left="2621"/>
      </w:pPr>
      <w:r>
        <w:rPr>
          <w:rFonts w:ascii="Times New Roman" w:hAnsi="Times New Roman"/>
          <w:b w:val="0"/>
          <w:spacing w:val="-56"/>
          <w:w w:val="100"/>
          <w:u w:val="single"/>
        </w:rPr>
        <w:t> </w:t>
      </w:r>
      <w:r>
        <w:rPr>
          <w:u w:val="single"/>
        </w:rPr>
        <w:t>“amount in arrears”.</w:t>
      </w:r>
    </w:p>
    <w:p>
      <w:pPr>
        <w:pStyle w:val="BodyText"/>
        <w:spacing w:before="1"/>
        <w:rPr>
          <w:b/>
          <w:sz w:val="19"/>
        </w:rPr>
      </w:pPr>
    </w:p>
    <w:p>
      <w:pPr>
        <w:pStyle w:val="ListParagraph"/>
        <w:numPr>
          <w:ilvl w:val="1"/>
          <w:numId w:val="2"/>
        </w:numPr>
        <w:tabs>
          <w:tab w:pos="2670" w:val="left" w:leader="none"/>
        </w:tabs>
        <w:spacing w:line="256" w:lineRule="auto" w:before="75" w:after="0"/>
        <w:ind w:left="2621" w:right="772" w:hanging="360"/>
        <w:jc w:val="both"/>
        <w:rPr>
          <w:rFonts w:ascii="Courier New" w:hAnsi="Courier New"/>
          <w:i/>
          <w:sz w:val="22"/>
        </w:rPr>
      </w:pPr>
      <w:r>
        <w:rPr/>
        <w:tab/>
      </w:r>
      <w:r>
        <w:rPr>
          <w:sz w:val="22"/>
        </w:rPr>
        <w:t>If Order is awaited and matter is rescheduled for any reason even after the final hearing, in this situation Order</w:t>
      </w:r>
      <w:r>
        <w:rPr>
          <w:sz w:val="22"/>
          <w:u w:val="single"/>
        </w:rPr>
        <w:t> </w:t>
      </w:r>
      <w:r>
        <w:rPr>
          <w:b/>
          <w:sz w:val="22"/>
          <w:u w:val="single"/>
        </w:rPr>
        <w:t>doesn’t</w:t>
      </w:r>
      <w:r>
        <w:rPr>
          <w:b/>
          <w:sz w:val="22"/>
        </w:rPr>
        <w:t> </w:t>
      </w:r>
      <w:r>
        <w:rPr>
          <w:sz w:val="22"/>
        </w:rPr>
        <w:t>attaining finality. Hence this situation will be called as pending appeal up to 30.06.2019 and such disputed amount shall be termed as</w:t>
      </w:r>
      <w:r>
        <w:rPr>
          <w:sz w:val="22"/>
          <w:u w:val="single"/>
        </w:rPr>
        <w:t> </w:t>
      </w:r>
      <w:r>
        <w:rPr>
          <w:b/>
          <w:sz w:val="22"/>
          <w:u w:val="single"/>
        </w:rPr>
        <w:t>“tax dues”</w:t>
      </w:r>
      <w:r>
        <w:rPr>
          <w:sz w:val="22"/>
        </w:rPr>
        <w:t>. </w:t>
      </w:r>
      <w:r>
        <w:rPr>
          <w:i/>
          <w:sz w:val="20"/>
        </w:rPr>
        <w:t>{para 10(e) of Circular No. </w:t>
      </w:r>
      <w:r>
        <w:rPr>
          <w:i/>
          <w:sz w:val="20"/>
        </w:rPr>
        <w:t>1071/4/2019-CX.8 dated</w:t>
      </w:r>
      <w:r>
        <w:rPr>
          <w:i/>
          <w:spacing w:val="-1"/>
          <w:sz w:val="20"/>
        </w:rPr>
        <w:t> </w:t>
      </w:r>
      <w:r>
        <w:rPr>
          <w:i/>
          <w:sz w:val="20"/>
        </w:rPr>
        <w:t>27.08.2019}</w:t>
      </w:r>
    </w:p>
    <w:p>
      <w:pPr>
        <w:pStyle w:val="BodyText"/>
        <w:spacing w:before="3"/>
        <w:rPr>
          <w:i/>
          <w:sz w:val="24"/>
        </w:rPr>
      </w:pPr>
    </w:p>
    <w:p>
      <w:pPr>
        <w:pStyle w:val="ListParagraph"/>
        <w:numPr>
          <w:ilvl w:val="0"/>
          <w:numId w:val="2"/>
        </w:numPr>
        <w:tabs>
          <w:tab w:pos="1902" w:val="left" w:leader="none"/>
        </w:tabs>
        <w:spacing w:line="261" w:lineRule="auto" w:before="0" w:after="0"/>
        <w:ind w:left="1901" w:right="782" w:hanging="361"/>
        <w:jc w:val="left"/>
        <w:rPr>
          <w:sz w:val="22"/>
        </w:rPr>
      </w:pPr>
      <w:r>
        <w:rPr>
          <w:color w:val="00AFEF"/>
          <w:sz w:val="22"/>
        </w:rPr>
        <w:t>A return has been </w:t>
      </w:r>
      <w:r>
        <w:rPr>
          <w:b/>
          <w:color w:val="00AFEF"/>
          <w:sz w:val="22"/>
          <w:u w:val="single" w:color="00AFEF"/>
        </w:rPr>
        <w:t>filed up to 30.06.2019</w:t>
      </w:r>
      <w:r>
        <w:rPr>
          <w:color w:val="00AFEF"/>
          <w:sz w:val="22"/>
        </w:rPr>
        <w:t>, under Indirect Tax Enactment, by admitting the tax liability but it is</w:t>
      </w:r>
      <w:r>
        <w:rPr>
          <w:color w:val="00AFEF"/>
          <w:spacing w:val="-18"/>
          <w:sz w:val="22"/>
        </w:rPr>
        <w:t> </w:t>
      </w:r>
      <w:r>
        <w:rPr>
          <w:color w:val="00AFEF"/>
          <w:sz w:val="22"/>
        </w:rPr>
        <w:t>unpaid.</w:t>
      </w:r>
    </w:p>
    <w:p>
      <w:pPr>
        <w:pStyle w:val="ListParagraph"/>
        <w:numPr>
          <w:ilvl w:val="1"/>
          <w:numId w:val="2"/>
        </w:numPr>
        <w:tabs>
          <w:tab w:pos="2621" w:val="left" w:leader="none"/>
          <w:tab w:pos="2622" w:val="left" w:leader="none"/>
        </w:tabs>
        <w:spacing w:line="271" w:lineRule="exact" w:before="0" w:after="0"/>
        <w:ind w:left="2621" w:right="0" w:hanging="361"/>
        <w:jc w:val="left"/>
        <w:rPr>
          <w:rFonts w:ascii="Courier New" w:hAnsi="Courier New"/>
          <w:sz w:val="22"/>
        </w:rPr>
      </w:pPr>
      <w:r>
        <w:rPr>
          <w:sz w:val="22"/>
        </w:rPr>
        <w:t>In this case such unpaid amount shall be termed as “amount in</w:t>
      </w:r>
      <w:r>
        <w:rPr>
          <w:spacing w:val="-24"/>
          <w:sz w:val="22"/>
        </w:rPr>
        <w:t> </w:t>
      </w:r>
      <w:r>
        <w:rPr>
          <w:sz w:val="22"/>
        </w:rPr>
        <w:t>arrear”.</w:t>
      </w:r>
    </w:p>
    <w:p>
      <w:pPr>
        <w:pStyle w:val="BodyText"/>
        <w:rPr>
          <w:sz w:val="25"/>
        </w:rPr>
      </w:pPr>
    </w:p>
    <w:p>
      <w:pPr>
        <w:pStyle w:val="ListParagraph"/>
        <w:numPr>
          <w:ilvl w:val="0"/>
          <w:numId w:val="1"/>
        </w:numPr>
        <w:tabs>
          <w:tab w:pos="1181" w:val="left" w:leader="none"/>
        </w:tabs>
        <w:spacing w:line="240" w:lineRule="auto" w:before="0" w:after="0"/>
        <w:ind w:left="1181" w:right="0" w:hanging="360"/>
        <w:jc w:val="left"/>
        <w:rPr>
          <w:color w:val="00AFEF"/>
          <w:sz w:val="22"/>
        </w:rPr>
      </w:pPr>
      <w:r>
        <w:rPr>
          <w:color w:val="00AFEF"/>
          <w:sz w:val="22"/>
        </w:rPr>
        <w:t>“amount of duty” means</w:t>
      </w:r>
      <w:r>
        <w:rPr>
          <w:color w:val="C45811"/>
          <w:sz w:val="22"/>
        </w:rPr>
        <w:t> </w:t>
      </w:r>
      <w:r>
        <w:rPr>
          <w:color w:val="C45811"/>
          <w:sz w:val="22"/>
          <w:u w:val="single" w:color="C45811"/>
        </w:rPr>
        <w:t>amount</w:t>
      </w:r>
      <w:r>
        <w:rPr>
          <w:color w:val="C45811"/>
          <w:spacing w:val="-12"/>
          <w:sz w:val="22"/>
          <w:u w:val="single" w:color="C45811"/>
        </w:rPr>
        <w:t> </w:t>
      </w:r>
      <w:r>
        <w:rPr>
          <w:color w:val="C45811"/>
          <w:sz w:val="22"/>
          <w:u w:val="single" w:color="C45811"/>
        </w:rPr>
        <w:t>of</w:t>
      </w:r>
    </w:p>
    <w:p>
      <w:pPr>
        <w:pStyle w:val="BodyText"/>
        <w:spacing w:line="259" w:lineRule="auto" w:before="20"/>
        <w:ind w:left="1901" w:right="5844"/>
      </w:pPr>
      <w:r>
        <w:rPr>
          <w:color w:val="00AFEF"/>
        </w:rPr>
        <w:t>The Central Excise Duty, The Service Tax and Cess Payable.</w:t>
      </w:r>
    </w:p>
    <w:p>
      <w:pPr>
        <w:pStyle w:val="BodyText"/>
        <w:spacing w:before="11"/>
        <w:rPr>
          <w:sz w:val="23"/>
        </w:rPr>
      </w:pPr>
    </w:p>
    <w:p>
      <w:pPr>
        <w:pStyle w:val="ListParagraph"/>
        <w:numPr>
          <w:ilvl w:val="0"/>
          <w:numId w:val="1"/>
        </w:numPr>
        <w:tabs>
          <w:tab w:pos="1181" w:val="left" w:leader="none"/>
        </w:tabs>
        <w:spacing w:line="256" w:lineRule="auto" w:before="0" w:after="0"/>
        <w:ind w:left="1181" w:right="779" w:hanging="360"/>
        <w:jc w:val="both"/>
        <w:rPr>
          <w:color w:val="00AFEF"/>
          <w:sz w:val="22"/>
        </w:rPr>
      </w:pPr>
      <w:r>
        <w:rPr>
          <w:color w:val="00AFEF"/>
          <w:sz w:val="22"/>
        </w:rPr>
        <w:t>“amount payable” means </w:t>
      </w:r>
      <w:r>
        <w:rPr>
          <w:color w:val="C45811"/>
          <w:sz w:val="22"/>
        </w:rPr>
        <w:t>the amount </w:t>
      </w:r>
      <w:r>
        <w:rPr>
          <w:color w:val="00AFEF"/>
          <w:sz w:val="22"/>
        </w:rPr>
        <w:t>finally determined by the designated committee and as indicated in Form SVLDRS-3 (tax dues – tax</w:t>
      </w:r>
      <w:r>
        <w:rPr>
          <w:color w:val="00AFEF"/>
          <w:spacing w:val="-22"/>
          <w:sz w:val="22"/>
        </w:rPr>
        <w:t> </w:t>
      </w:r>
      <w:r>
        <w:rPr>
          <w:color w:val="00AFEF"/>
          <w:sz w:val="22"/>
        </w:rPr>
        <w:t>relief).</w:t>
      </w:r>
    </w:p>
    <w:p>
      <w:pPr>
        <w:pStyle w:val="BodyText"/>
        <w:spacing w:before="1"/>
        <w:rPr>
          <w:sz w:val="24"/>
        </w:rPr>
      </w:pPr>
    </w:p>
    <w:p>
      <w:pPr>
        <w:pStyle w:val="ListParagraph"/>
        <w:numPr>
          <w:ilvl w:val="0"/>
          <w:numId w:val="1"/>
        </w:numPr>
        <w:tabs>
          <w:tab w:pos="1181" w:val="left" w:leader="none"/>
        </w:tabs>
        <w:spacing w:line="240" w:lineRule="auto" w:before="1" w:after="0"/>
        <w:ind w:left="1181" w:right="0" w:hanging="360"/>
        <w:jc w:val="left"/>
        <w:rPr>
          <w:color w:val="00AFEF"/>
          <w:sz w:val="22"/>
        </w:rPr>
      </w:pPr>
      <w:r>
        <w:rPr>
          <w:color w:val="00AFEF"/>
          <w:sz w:val="22"/>
        </w:rPr>
        <w:t>“Appellate forum”</w:t>
      </w:r>
      <w:r>
        <w:rPr>
          <w:color w:val="00AFEF"/>
          <w:spacing w:val="-6"/>
          <w:sz w:val="22"/>
        </w:rPr>
        <w:t> </w:t>
      </w:r>
      <w:r>
        <w:rPr>
          <w:color w:val="00AFEF"/>
          <w:sz w:val="22"/>
        </w:rPr>
        <w:t>means</w:t>
      </w:r>
    </w:p>
    <w:p>
      <w:pPr>
        <w:pStyle w:val="ListParagraph"/>
        <w:numPr>
          <w:ilvl w:val="0"/>
          <w:numId w:val="2"/>
        </w:numPr>
        <w:tabs>
          <w:tab w:pos="1902" w:val="left" w:leader="none"/>
        </w:tabs>
        <w:spacing w:line="240" w:lineRule="auto" w:before="19" w:after="0"/>
        <w:ind w:left="1901" w:right="0" w:hanging="361"/>
        <w:jc w:val="left"/>
        <w:rPr>
          <w:sz w:val="22"/>
        </w:rPr>
      </w:pPr>
      <w:r>
        <w:rPr>
          <w:color w:val="00AFEF"/>
          <w:sz w:val="22"/>
        </w:rPr>
        <w:t>The Supreme</w:t>
      </w:r>
      <w:r>
        <w:rPr>
          <w:color w:val="00AFEF"/>
          <w:spacing w:val="-5"/>
          <w:sz w:val="22"/>
        </w:rPr>
        <w:t> </w:t>
      </w:r>
      <w:r>
        <w:rPr>
          <w:color w:val="00AFEF"/>
          <w:sz w:val="22"/>
        </w:rPr>
        <w:t>Court,</w:t>
      </w:r>
    </w:p>
    <w:p>
      <w:pPr>
        <w:pStyle w:val="ListParagraph"/>
        <w:numPr>
          <w:ilvl w:val="0"/>
          <w:numId w:val="2"/>
        </w:numPr>
        <w:tabs>
          <w:tab w:pos="1902" w:val="left" w:leader="none"/>
        </w:tabs>
        <w:spacing w:line="240" w:lineRule="auto" w:before="19" w:after="0"/>
        <w:ind w:left="1901" w:right="0" w:hanging="361"/>
        <w:jc w:val="left"/>
        <w:rPr>
          <w:sz w:val="22"/>
        </w:rPr>
      </w:pPr>
      <w:r>
        <w:rPr>
          <w:color w:val="00AFEF"/>
          <w:sz w:val="22"/>
        </w:rPr>
        <w:t>High</w:t>
      </w:r>
      <w:r>
        <w:rPr>
          <w:color w:val="00AFEF"/>
          <w:spacing w:val="-3"/>
          <w:sz w:val="22"/>
        </w:rPr>
        <w:t> </w:t>
      </w:r>
      <w:r>
        <w:rPr>
          <w:color w:val="00AFEF"/>
          <w:sz w:val="22"/>
        </w:rPr>
        <w:t>Courts,</w:t>
      </w:r>
    </w:p>
    <w:p>
      <w:pPr>
        <w:pStyle w:val="ListParagraph"/>
        <w:numPr>
          <w:ilvl w:val="0"/>
          <w:numId w:val="2"/>
        </w:numPr>
        <w:tabs>
          <w:tab w:pos="1902" w:val="left" w:leader="none"/>
        </w:tabs>
        <w:spacing w:line="240" w:lineRule="auto" w:before="25" w:after="0"/>
        <w:ind w:left="1901" w:right="0" w:hanging="361"/>
        <w:jc w:val="left"/>
        <w:rPr>
          <w:sz w:val="22"/>
        </w:rPr>
      </w:pPr>
      <w:r>
        <w:rPr>
          <w:color w:val="00AFEF"/>
          <w:sz w:val="22"/>
        </w:rPr>
        <w:t>CESTAT,</w:t>
      </w:r>
    </w:p>
    <w:p>
      <w:pPr>
        <w:pStyle w:val="ListParagraph"/>
        <w:numPr>
          <w:ilvl w:val="0"/>
          <w:numId w:val="2"/>
        </w:numPr>
        <w:tabs>
          <w:tab w:pos="1902" w:val="left" w:leader="none"/>
        </w:tabs>
        <w:spacing w:line="240" w:lineRule="auto" w:before="19" w:after="0"/>
        <w:ind w:left="1901" w:right="0" w:hanging="361"/>
        <w:jc w:val="left"/>
        <w:rPr>
          <w:sz w:val="22"/>
        </w:rPr>
      </w:pPr>
      <w:r>
        <w:rPr>
          <w:color w:val="00AFEF"/>
          <w:sz w:val="22"/>
        </w:rPr>
        <w:t>The Commissioner</w:t>
      </w:r>
      <w:r>
        <w:rPr>
          <w:color w:val="00AFEF"/>
          <w:spacing w:val="-5"/>
          <w:sz w:val="22"/>
        </w:rPr>
        <w:t> </w:t>
      </w:r>
      <w:r>
        <w:rPr>
          <w:color w:val="00AFEF"/>
          <w:sz w:val="22"/>
        </w:rPr>
        <w:t>(Appeals)</w:t>
      </w:r>
    </w:p>
    <w:p>
      <w:pPr>
        <w:pStyle w:val="BodyText"/>
        <w:spacing w:before="8"/>
        <w:rPr>
          <w:sz w:val="25"/>
        </w:rPr>
      </w:pPr>
    </w:p>
    <w:p>
      <w:pPr>
        <w:pStyle w:val="ListParagraph"/>
        <w:numPr>
          <w:ilvl w:val="0"/>
          <w:numId w:val="1"/>
        </w:numPr>
        <w:tabs>
          <w:tab w:pos="1181" w:val="left" w:leader="none"/>
        </w:tabs>
        <w:spacing w:line="259" w:lineRule="auto" w:before="0" w:after="0"/>
        <w:ind w:left="1181" w:right="779" w:hanging="360"/>
        <w:jc w:val="both"/>
        <w:rPr>
          <w:color w:val="006FC0"/>
          <w:sz w:val="22"/>
        </w:rPr>
      </w:pPr>
      <w:r>
        <w:rPr>
          <w:color w:val="006FC0"/>
          <w:sz w:val="22"/>
        </w:rPr>
        <w:t>“audit” means any </w:t>
      </w:r>
      <w:r>
        <w:rPr>
          <w:color w:val="006FC0"/>
          <w:spacing w:val="-4"/>
          <w:sz w:val="22"/>
          <w:u w:val="single" w:color="006FC0"/>
        </w:rPr>
        <w:t>scrutiny</w:t>
      </w:r>
      <w:r>
        <w:rPr>
          <w:color w:val="006FC0"/>
          <w:spacing w:val="-4"/>
          <w:sz w:val="22"/>
        </w:rPr>
        <w:t>, </w:t>
      </w:r>
      <w:r>
        <w:rPr>
          <w:color w:val="006FC0"/>
          <w:sz w:val="22"/>
          <w:u w:val="single" w:color="006FC0"/>
        </w:rPr>
        <w:t>verification</w:t>
      </w:r>
      <w:r>
        <w:rPr>
          <w:color w:val="006FC0"/>
          <w:sz w:val="22"/>
        </w:rPr>
        <w:t> and </w:t>
      </w:r>
      <w:r>
        <w:rPr>
          <w:color w:val="006FC0"/>
          <w:sz w:val="22"/>
          <w:u w:val="single" w:color="006FC0"/>
        </w:rPr>
        <w:t>checks</w:t>
      </w:r>
      <w:r>
        <w:rPr>
          <w:color w:val="006FC0"/>
          <w:sz w:val="22"/>
        </w:rPr>
        <w:t> carried out under the indirect tax enactment, other than an enquiry or investigation, and it should commence with the written</w:t>
      </w:r>
      <w:r>
        <w:rPr>
          <w:color w:val="006FC0"/>
          <w:spacing w:val="-12"/>
          <w:sz w:val="22"/>
        </w:rPr>
        <w:t> </w:t>
      </w:r>
      <w:r>
        <w:rPr>
          <w:color w:val="006FC0"/>
          <w:sz w:val="22"/>
        </w:rPr>
        <w:t>communication</w:t>
      </w:r>
      <w:r>
        <w:rPr>
          <w:color w:val="006FC0"/>
          <w:spacing w:val="-11"/>
          <w:sz w:val="22"/>
        </w:rPr>
        <w:t> </w:t>
      </w:r>
      <w:r>
        <w:rPr>
          <w:color w:val="006FC0"/>
          <w:sz w:val="22"/>
        </w:rPr>
        <w:t>from</w:t>
      </w:r>
      <w:r>
        <w:rPr>
          <w:color w:val="006FC0"/>
          <w:spacing w:val="-6"/>
          <w:sz w:val="22"/>
        </w:rPr>
        <w:t> </w:t>
      </w:r>
      <w:r>
        <w:rPr>
          <w:color w:val="006FC0"/>
          <w:sz w:val="22"/>
        </w:rPr>
        <w:t>the</w:t>
      </w:r>
      <w:r>
        <w:rPr>
          <w:color w:val="006FC0"/>
          <w:spacing w:val="-7"/>
          <w:sz w:val="22"/>
        </w:rPr>
        <w:t> </w:t>
      </w:r>
      <w:r>
        <w:rPr>
          <w:color w:val="006FC0"/>
          <w:sz w:val="22"/>
        </w:rPr>
        <w:t>central</w:t>
      </w:r>
      <w:r>
        <w:rPr>
          <w:color w:val="006FC0"/>
          <w:spacing w:val="-11"/>
          <w:sz w:val="22"/>
        </w:rPr>
        <w:t> </w:t>
      </w:r>
      <w:r>
        <w:rPr>
          <w:color w:val="006FC0"/>
          <w:sz w:val="22"/>
        </w:rPr>
        <w:t>excise</w:t>
      </w:r>
      <w:r>
        <w:rPr>
          <w:color w:val="006FC0"/>
          <w:spacing w:val="-11"/>
          <w:sz w:val="22"/>
        </w:rPr>
        <w:t> </w:t>
      </w:r>
      <w:r>
        <w:rPr>
          <w:color w:val="006FC0"/>
          <w:sz w:val="22"/>
        </w:rPr>
        <w:t>officer.</w:t>
      </w:r>
    </w:p>
    <w:p>
      <w:pPr>
        <w:pStyle w:val="BodyText"/>
        <w:spacing w:before="6"/>
        <w:rPr>
          <w:sz w:val="23"/>
        </w:rPr>
      </w:pPr>
    </w:p>
    <w:p>
      <w:pPr>
        <w:pStyle w:val="ListParagraph"/>
        <w:numPr>
          <w:ilvl w:val="0"/>
          <w:numId w:val="1"/>
        </w:numPr>
        <w:tabs>
          <w:tab w:pos="1181" w:val="left" w:leader="none"/>
        </w:tabs>
        <w:spacing w:line="261" w:lineRule="auto" w:before="0" w:after="0"/>
        <w:ind w:left="1181" w:right="785" w:hanging="360"/>
        <w:jc w:val="both"/>
        <w:rPr>
          <w:color w:val="006FC0"/>
          <w:sz w:val="22"/>
        </w:rPr>
      </w:pPr>
      <w:r>
        <w:rPr>
          <w:color w:val="006FC0"/>
          <w:sz w:val="22"/>
        </w:rPr>
        <w:t>“declarant” means a person who is eligible to make a declaration and files such declaration u/s</w:t>
      </w:r>
      <w:r>
        <w:rPr>
          <w:color w:val="006FC0"/>
          <w:spacing w:val="-6"/>
          <w:sz w:val="22"/>
        </w:rPr>
        <w:t> </w:t>
      </w:r>
      <w:r>
        <w:rPr>
          <w:color w:val="006FC0"/>
          <w:sz w:val="22"/>
        </w:rPr>
        <w:t>125.</w:t>
      </w:r>
    </w:p>
    <w:p>
      <w:pPr>
        <w:pStyle w:val="BodyText"/>
        <w:spacing w:before="7"/>
        <w:rPr>
          <w:sz w:val="23"/>
        </w:rPr>
      </w:pPr>
    </w:p>
    <w:p>
      <w:pPr>
        <w:pStyle w:val="ListParagraph"/>
        <w:numPr>
          <w:ilvl w:val="0"/>
          <w:numId w:val="1"/>
        </w:numPr>
        <w:tabs>
          <w:tab w:pos="1228" w:val="left" w:leader="none"/>
          <w:tab w:pos="1229" w:val="left" w:leader="none"/>
        </w:tabs>
        <w:spacing w:line="240" w:lineRule="auto" w:before="1" w:after="0"/>
        <w:ind w:left="1229" w:right="0" w:hanging="408"/>
        <w:jc w:val="left"/>
        <w:rPr>
          <w:color w:val="006FC0"/>
          <w:sz w:val="22"/>
        </w:rPr>
      </w:pPr>
      <w:r>
        <w:rPr>
          <w:color w:val="006FC0"/>
          <w:sz w:val="22"/>
        </w:rPr>
        <w:t>“declaration” means the declaration</w:t>
      </w:r>
      <w:r>
        <w:rPr>
          <w:color w:val="C45811"/>
          <w:sz w:val="22"/>
        </w:rPr>
        <w:t> </w:t>
      </w:r>
      <w:r>
        <w:rPr>
          <w:b/>
          <w:color w:val="C45811"/>
          <w:sz w:val="22"/>
          <w:u w:val="single" w:color="C45811"/>
        </w:rPr>
        <w:t>filed</w:t>
      </w:r>
      <w:r>
        <w:rPr>
          <w:b/>
          <w:color w:val="C45811"/>
          <w:sz w:val="22"/>
        </w:rPr>
        <w:t> </w:t>
      </w:r>
      <w:r>
        <w:rPr>
          <w:color w:val="006FC0"/>
          <w:sz w:val="22"/>
        </w:rPr>
        <w:t>under section</w:t>
      </w:r>
      <w:r>
        <w:rPr>
          <w:color w:val="006FC0"/>
          <w:spacing w:val="-16"/>
          <w:sz w:val="22"/>
        </w:rPr>
        <w:t> </w:t>
      </w:r>
      <w:r>
        <w:rPr>
          <w:color w:val="006FC0"/>
          <w:sz w:val="22"/>
        </w:rPr>
        <w:t>125.</w:t>
      </w:r>
    </w:p>
    <w:p>
      <w:pPr>
        <w:pStyle w:val="BodyText"/>
        <w:spacing w:before="2"/>
        <w:rPr>
          <w:sz w:val="20"/>
        </w:rPr>
      </w:pPr>
    </w:p>
    <w:p>
      <w:pPr>
        <w:pStyle w:val="ListParagraph"/>
        <w:numPr>
          <w:ilvl w:val="0"/>
          <w:numId w:val="1"/>
        </w:numPr>
        <w:tabs>
          <w:tab w:pos="1181" w:val="left" w:leader="none"/>
        </w:tabs>
        <w:spacing w:line="249" w:lineRule="auto" w:before="56" w:after="0"/>
        <w:ind w:left="1181" w:right="2072" w:hanging="360"/>
        <w:jc w:val="left"/>
        <w:rPr>
          <w:color w:val="006FC0"/>
          <w:sz w:val="22"/>
        </w:rPr>
      </w:pPr>
      <w:r>
        <w:rPr>
          <w:color w:val="006FC0"/>
          <w:sz w:val="22"/>
        </w:rPr>
        <w:t>“departmental appeal” means appeal filed by Central Excise Officer</w:t>
      </w:r>
      <w:r>
        <w:rPr>
          <w:color w:val="006FC0"/>
          <w:spacing w:val="-33"/>
          <w:sz w:val="22"/>
        </w:rPr>
        <w:t> </w:t>
      </w:r>
      <w:r>
        <w:rPr>
          <w:color w:val="006FC0"/>
          <w:sz w:val="22"/>
        </w:rPr>
        <w:t>before the </w:t>
      </w:r>
      <w:r>
        <w:rPr>
          <w:b/>
          <w:color w:val="006FC0"/>
          <w:sz w:val="22"/>
          <w:u w:val="single" w:color="006FC0"/>
        </w:rPr>
        <w:t>appellate</w:t>
      </w:r>
      <w:r>
        <w:rPr>
          <w:b/>
          <w:color w:val="006FC0"/>
          <w:spacing w:val="-5"/>
          <w:sz w:val="22"/>
          <w:u w:val="single" w:color="006FC0"/>
        </w:rPr>
        <w:t> </w:t>
      </w:r>
      <w:r>
        <w:rPr>
          <w:b/>
          <w:color w:val="006FC0"/>
          <w:sz w:val="22"/>
          <w:u w:val="single" w:color="006FC0"/>
        </w:rPr>
        <w:t>forum</w:t>
      </w:r>
      <w:r>
        <w:rPr>
          <w:color w:val="006FC0"/>
          <w:sz w:val="22"/>
        </w:rPr>
        <w:t>.</w:t>
      </w:r>
    </w:p>
    <w:p>
      <w:pPr>
        <w:pStyle w:val="BodyText"/>
        <w:spacing w:before="8"/>
        <w:rPr>
          <w:sz w:val="19"/>
        </w:rPr>
      </w:pPr>
    </w:p>
    <w:p>
      <w:pPr>
        <w:pStyle w:val="ListParagraph"/>
        <w:numPr>
          <w:ilvl w:val="0"/>
          <w:numId w:val="1"/>
        </w:numPr>
        <w:tabs>
          <w:tab w:pos="1181" w:val="left" w:leader="none"/>
        </w:tabs>
        <w:spacing w:line="240" w:lineRule="auto" w:before="57" w:after="0"/>
        <w:ind w:left="1181" w:right="0" w:hanging="360"/>
        <w:jc w:val="left"/>
        <w:rPr>
          <w:color w:val="006FC0"/>
          <w:sz w:val="22"/>
        </w:rPr>
      </w:pPr>
      <w:r>
        <w:rPr>
          <w:color w:val="006FC0"/>
          <w:sz w:val="22"/>
        </w:rPr>
        <w:t>“designated committee” means the committee referred to in</w:t>
      </w:r>
      <w:r>
        <w:rPr>
          <w:color w:val="006FC0"/>
          <w:spacing w:val="-21"/>
          <w:sz w:val="22"/>
        </w:rPr>
        <w:t> </w:t>
      </w:r>
      <w:r>
        <w:rPr>
          <w:color w:val="006FC0"/>
          <w:sz w:val="22"/>
        </w:rPr>
        <w:t>section126.</w:t>
      </w:r>
    </w:p>
    <w:p>
      <w:pPr>
        <w:spacing w:after="0" w:line="240" w:lineRule="auto"/>
        <w:jc w:val="left"/>
        <w:rPr>
          <w:sz w:val="22"/>
        </w:rPr>
        <w:sectPr>
          <w:pgSz w:w="11910" w:h="16840"/>
          <w:pgMar w:header="764" w:footer="992" w:top="1620" w:bottom="1180" w:left="1340" w:right="660"/>
        </w:sectPr>
      </w:pPr>
    </w:p>
    <w:p>
      <w:pPr>
        <w:pStyle w:val="BodyText"/>
        <w:rPr>
          <w:sz w:val="19"/>
        </w:rPr>
      </w:pPr>
    </w:p>
    <w:p>
      <w:pPr>
        <w:pStyle w:val="ListParagraph"/>
        <w:numPr>
          <w:ilvl w:val="0"/>
          <w:numId w:val="1"/>
        </w:numPr>
        <w:tabs>
          <w:tab w:pos="1181" w:val="left" w:leader="none"/>
        </w:tabs>
        <w:spacing w:line="252" w:lineRule="auto" w:before="57" w:after="0"/>
        <w:ind w:left="1181" w:right="2062" w:hanging="360"/>
        <w:jc w:val="left"/>
        <w:rPr>
          <w:color w:val="006FC0"/>
          <w:sz w:val="22"/>
        </w:rPr>
      </w:pPr>
      <w:r>
        <w:rPr>
          <w:color w:val="006FC0"/>
          <w:sz w:val="22"/>
        </w:rPr>
        <w:t>“discharge certificate” means the certificate issued by the </w:t>
      </w:r>
      <w:r>
        <w:rPr>
          <w:color w:val="006FC0"/>
          <w:spacing w:val="2"/>
          <w:sz w:val="22"/>
        </w:rPr>
        <w:t>designated </w:t>
      </w:r>
      <w:r>
        <w:rPr>
          <w:color w:val="006FC0"/>
          <w:sz w:val="22"/>
        </w:rPr>
        <w:t>committee under section</w:t>
      </w:r>
      <w:r>
        <w:rPr>
          <w:color w:val="006FC0"/>
          <w:spacing w:val="-35"/>
          <w:sz w:val="22"/>
        </w:rPr>
        <w:t> </w:t>
      </w:r>
      <w:r>
        <w:rPr>
          <w:color w:val="006FC0"/>
          <w:sz w:val="22"/>
        </w:rPr>
        <w:t>127;</w:t>
      </w:r>
    </w:p>
    <w:p>
      <w:pPr>
        <w:pStyle w:val="ListParagraph"/>
        <w:numPr>
          <w:ilvl w:val="0"/>
          <w:numId w:val="1"/>
        </w:numPr>
        <w:tabs>
          <w:tab w:pos="1229" w:val="left" w:leader="none"/>
        </w:tabs>
        <w:spacing w:line="240" w:lineRule="auto" w:before="118" w:after="0"/>
        <w:ind w:left="1229" w:right="0" w:hanging="408"/>
        <w:jc w:val="left"/>
        <w:rPr>
          <w:color w:val="006FC0"/>
          <w:sz w:val="22"/>
        </w:rPr>
      </w:pPr>
      <w:r>
        <w:rPr>
          <w:b/>
          <w:color w:val="FF0000"/>
          <w:spacing w:val="-4"/>
          <w:sz w:val="22"/>
        </w:rPr>
        <w:t>following </w:t>
      </w:r>
      <w:r>
        <w:rPr>
          <w:b/>
          <w:color w:val="FF0000"/>
          <w:spacing w:val="-3"/>
          <w:sz w:val="22"/>
        </w:rPr>
        <w:t>actions </w:t>
      </w:r>
      <w:r>
        <w:rPr>
          <w:color w:val="006FC0"/>
          <w:spacing w:val="-4"/>
          <w:sz w:val="22"/>
        </w:rPr>
        <w:t>taken </w:t>
      </w:r>
      <w:r>
        <w:rPr>
          <w:color w:val="006FC0"/>
          <w:spacing w:val="-3"/>
          <w:sz w:val="22"/>
        </w:rPr>
        <w:t>under Indirect </w:t>
      </w:r>
      <w:r>
        <w:rPr>
          <w:color w:val="006FC0"/>
          <w:spacing w:val="-4"/>
          <w:sz w:val="22"/>
        </w:rPr>
        <w:t>Tax Enactment shall </w:t>
      </w:r>
      <w:r>
        <w:rPr>
          <w:color w:val="006FC0"/>
          <w:spacing w:val="-3"/>
          <w:sz w:val="22"/>
        </w:rPr>
        <w:t>be </w:t>
      </w:r>
      <w:r>
        <w:rPr>
          <w:color w:val="006FC0"/>
          <w:spacing w:val="-4"/>
          <w:sz w:val="22"/>
        </w:rPr>
        <w:t>termed</w:t>
      </w:r>
      <w:r>
        <w:rPr>
          <w:color w:val="006FC0"/>
          <w:spacing w:val="22"/>
          <w:sz w:val="22"/>
        </w:rPr>
        <w:t> </w:t>
      </w:r>
      <w:r>
        <w:rPr>
          <w:color w:val="006FC0"/>
          <w:spacing w:val="-3"/>
          <w:sz w:val="22"/>
        </w:rPr>
        <w:t>as</w:t>
      </w:r>
    </w:p>
    <w:p>
      <w:pPr>
        <w:pStyle w:val="BodyText"/>
        <w:spacing w:before="14"/>
        <w:ind w:left="1181"/>
      </w:pPr>
      <w:r>
        <w:rPr>
          <w:i/>
          <w:color w:val="006FC0"/>
        </w:rPr>
        <w:t>‘‘</w:t>
      </w:r>
      <w:r>
        <w:rPr>
          <w:color w:val="006FC0"/>
        </w:rPr>
        <w:t>enquiry or investigation’’.</w:t>
      </w:r>
    </w:p>
    <w:p>
      <w:pPr>
        <w:pStyle w:val="ListParagraph"/>
        <w:numPr>
          <w:ilvl w:val="1"/>
          <w:numId w:val="1"/>
        </w:numPr>
        <w:tabs>
          <w:tab w:pos="1901" w:val="left" w:leader="none"/>
          <w:tab w:pos="1902" w:val="left" w:leader="none"/>
        </w:tabs>
        <w:spacing w:line="240" w:lineRule="auto" w:before="15" w:after="0"/>
        <w:ind w:left="1901" w:right="0" w:hanging="361"/>
        <w:jc w:val="left"/>
        <w:rPr>
          <w:color w:val="006FC0"/>
          <w:sz w:val="22"/>
        </w:rPr>
      </w:pPr>
      <w:r>
        <w:rPr>
          <w:color w:val="006FC0"/>
          <w:sz w:val="22"/>
        </w:rPr>
        <w:t>search of</w:t>
      </w:r>
      <w:r>
        <w:rPr>
          <w:color w:val="006FC0"/>
          <w:spacing w:val="-6"/>
          <w:sz w:val="22"/>
        </w:rPr>
        <w:t> </w:t>
      </w:r>
      <w:r>
        <w:rPr>
          <w:color w:val="006FC0"/>
          <w:sz w:val="22"/>
        </w:rPr>
        <w:t>premises;</w:t>
      </w:r>
    </w:p>
    <w:p>
      <w:pPr>
        <w:pStyle w:val="ListParagraph"/>
        <w:numPr>
          <w:ilvl w:val="1"/>
          <w:numId w:val="1"/>
        </w:numPr>
        <w:tabs>
          <w:tab w:pos="1902" w:val="left" w:leader="none"/>
        </w:tabs>
        <w:spacing w:line="240" w:lineRule="auto" w:before="130" w:after="0"/>
        <w:ind w:left="1901" w:right="0" w:hanging="361"/>
        <w:jc w:val="left"/>
        <w:rPr>
          <w:color w:val="006FC0"/>
          <w:sz w:val="22"/>
        </w:rPr>
      </w:pPr>
      <w:r>
        <w:rPr>
          <w:color w:val="006FC0"/>
          <w:sz w:val="22"/>
        </w:rPr>
        <w:t>issuance of</w:t>
      </w:r>
      <w:r>
        <w:rPr>
          <w:color w:val="006FC0"/>
          <w:spacing w:val="9"/>
          <w:sz w:val="22"/>
        </w:rPr>
        <w:t> </w:t>
      </w:r>
      <w:r>
        <w:rPr>
          <w:color w:val="006FC0"/>
          <w:sz w:val="22"/>
        </w:rPr>
        <w:t>summons;</w:t>
      </w:r>
    </w:p>
    <w:p>
      <w:pPr>
        <w:pStyle w:val="ListParagraph"/>
        <w:numPr>
          <w:ilvl w:val="1"/>
          <w:numId w:val="1"/>
        </w:numPr>
        <w:tabs>
          <w:tab w:pos="1902" w:val="left" w:leader="none"/>
        </w:tabs>
        <w:spacing w:line="240" w:lineRule="auto" w:before="130" w:after="0"/>
        <w:ind w:left="1901" w:right="0" w:hanging="361"/>
        <w:jc w:val="left"/>
        <w:rPr>
          <w:color w:val="006FC0"/>
          <w:sz w:val="22"/>
        </w:rPr>
      </w:pPr>
      <w:r>
        <w:rPr>
          <w:color w:val="006FC0"/>
          <w:sz w:val="22"/>
        </w:rPr>
        <w:t>requiring the production of accounts, documents or</w:t>
      </w:r>
      <w:r>
        <w:rPr>
          <w:color w:val="006FC0"/>
          <w:spacing w:val="17"/>
          <w:sz w:val="22"/>
        </w:rPr>
        <w:t> </w:t>
      </w:r>
      <w:r>
        <w:rPr>
          <w:color w:val="006FC0"/>
          <w:sz w:val="22"/>
        </w:rPr>
        <w:t>other evidence;</w:t>
      </w:r>
    </w:p>
    <w:p>
      <w:pPr>
        <w:pStyle w:val="ListParagraph"/>
        <w:numPr>
          <w:ilvl w:val="1"/>
          <w:numId w:val="1"/>
        </w:numPr>
        <w:tabs>
          <w:tab w:pos="1902" w:val="left" w:leader="none"/>
        </w:tabs>
        <w:spacing w:line="240" w:lineRule="auto" w:before="130" w:after="0"/>
        <w:ind w:left="1901" w:right="0" w:hanging="361"/>
        <w:jc w:val="left"/>
        <w:rPr>
          <w:color w:val="006FC0"/>
          <w:sz w:val="22"/>
        </w:rPr>
      </w:pPr>
      <w:r>
        <w:rPr>
          <w:color w:val="006FC0"/>
          <w:sz w:val="22"/>
        </w:rPr>
        <w:t>recording of</w:t>
      </w:r>
      <w:r>
        <w:rPr>
          <w:color w:val="006FC0"/>
          <w:spacing w:val="11"/>
          <w:sz w:val="22"/>
        </w:rPr>
        <w:t> </w:t>
      </w:r>
      <w:r>
        <w:rPr>
          <w:color w:val="006FC0"/>
          <w:sz w:val="22"/>
        </w:rPr>
        <w:t>statements;</w:t>
      </w:r>
    </w:p>
    <w:p>
      <w:pPr>
        <w:pStyle w:val="ListParagraph"/>
        <w:numPr>
          <w:ilvl w:val="0"/>
          <w:numId w:val="1"/>
        </w:numPr>
        <w:tabs>
          <w:tab w:pos="1181" w:val="left" w:leader="none"/>
        </w:tabs>
        <w:spacing w:line="240" w:lineRule="auto" w:before="130" w:after="0"/>
        <w:ind w:left="1181" w:right="0" w:hanging="360"/>
        <w:jc w:val="left"/>
        <w:rPr>
          <w:color w:val="006FC0"/>
          <w:sz w:val="22"/>
        </w:rPr>
      </w:pPr>
      <w:r>
        <w:rPr>
          <w:color w:val="006FC0"/>
          <w:sz w:val="22"/>
        </w:rPr>
        <w:t>“indirect tax enactment” means the enactments specified in section</w:t>
      </w:r>
      <w:r>
        <w:rPr>
          <w:color w:val="006FC0"/>
          <w:spacing w:val="-37"/>
          <w:sz w:val="22"/>
        </w:rPr>
        <w:t> </w:t>
      </w:r>
      <w:r>
        <w:rPr>
          <w:color w:val="006FC0"/>
          <w:sz w:val="22"/>
        </w:rPr>
        <w:t>122;</w:t>
      </w:r>
    </w:p>
    <w:p>
      <w:pPr>
        <w:pStyle w:val="BodyText"/>
        <w:spacing w:before="8"/>
        <w:rPr>
          <w:sz w:val="32"/>
        </w:rPr>
      </w:pPr>
    </w:p>
    <w:p>
      <w:pPr>
        <w:pStyle w:val="ListParagraph"/>
        <w:numPr>
          <w:ilvl w:val="0"/>
          <w:numId w:val="1"/>
        </w:numPr>
        <w:tabs>
          <w:tab w:pos="1181" w:val="left" w:leader="none"/>
        </w:tabs>
        <w:spacing w:line="240" w:lineRule="auto" w:before="0" w:after="0"/>
        <w:ind w:left="1181" w:right="1128" w:hanging="360"/>
        <w:jc w:val="left"/>
        <w:rPr>
          <w:color w:val="006FC0"/>
          <w:sz w:val="22"/>
        </w:rPr>
      </w:pPr>
      <w:r>
        <w:rPr>
          <w:color w:val="006FC0"/>
          <w:sz w:val="22"/>
        </w:rPr>
        <w:t>“Order” means a statement of determination in relation to </w:t>
      </w:r>
      <w:r>
        <w:rPr>
          <w:b/>
          <w:color w:val="FF0000"/>
          <w:sz w:val="22"/>
        </w:rPr>
        <w:t>show cause notice </w:t>
      </w:r>
      <w:r>
        <w:rPr>
          <w:color w:val="006FC0"/>
          <w:sz w:val="22"/>
        </w:rPr>
        <w:t>issued under Indirect Tax</w:t>
      </w:r>
      <w:r>
        <w:rPr>
          <w:color w:val="006FC0"/>
          <w:spacing w:val="-9"/>
          <w:sz w:val="22"/>
        </w:rPr>
        <w:t> </w:t>
      </w:r>
      <w:r>
        <w:rPr>
          <w:color w:val="006FC0"/>
          <w:sz w:val="22"/>
        </w:rPr>
        <w:t>Enactment.</w:t>
      </w:r>
    </w:p>
    <w:p>
      <w:pPr>
        <w:pStyle w:val="BodyText"/>
        <w:spacing w:before="8"/>
        <w:rPr>
          <w:sz w:val="23"/>
        </w:rPr>
      </w:pPr>
    </w:p>
    <w:p>
      <w:pPr>
        <w:pStyle w:val="ListParagraph"/>
        <w:numPr>
          <w:ilvl w:val="0"/>
          <w:numId w:val="1"/>
        </w:numPr>
        <w:tabs>
          <w:tab w:pos="1181" w:val="left" w:leader="none"/>
        </w:tabs>
        <w:spacing w:line="252" w:lineRule="auto" w:before="0" w:after="0"/>
        <w:ind w:left="1181" w:right="2065" w:hanging="360"/>
        <w:jc w:val="left"/>
        <w:rPr>
          <w:color w:val="006FC0"/>
          <w:sz w:val="22"/>
        </w:rPr>
      </w:pPr>
      <w:r>
        <w:rPr>
          <w:color w:val="006FC0"/>
          <w:sz w:val="22"/>
        </w:rPr>
        <w:t>“order in appeal” means an order passed by an </w:t>
      </w:r>
      <w:r>
        <w:rPr>
          <w:b/>
          <w:color w:val="006FC0"/>
          <w:sz w:val="22"/>
          <w:u w:val="single" w:color="006FC0"/>
        </w:rPr>
        <w:t>appellate forum</w:t>
      </w:r>
      <w:r>
        <w:rPr>
          <w:b/>
          <w:color w:val="006FC0"/>
          <w:sz w:val="22"/>
        </w:rPr>
        <w:t> </w:t>
      </w:r>
      <w:r>
        <w:rPr>
          <w:color w:val="006FC0"/>
          <w:sz w:val="22"/>
        </w:rPr>
        <w:t>with respect to an appeal filed before</w:t>
      </w:r>
      <w:r>
        <w:rPr>
          <w:color w:val="006FC0"/>
          <w:spacing w:val="-23"/>
          <w:sz w:val="22"/>
        </w:rPr>
        <w:t> </w:t>
      </w:r>
      <w:r>
        <w:rPr>
          <w:color w:val="006FC0"/>
          <w:sz w:val="22"/>
        </w:rPr>
        <w:t>it;</w:t>
      </w:r>
    </w:p>
    <w:p>
      <w:pPr>
        <w:pStyle w:val="BodyText"/>
        <w:spacing w:before="10"/>
        <w:rPr>
          <w:sz w:val="21"/>
        </w:rPr>
      </w:pPr>
    </w:p>
    <w:p>
      <w:pPr>
        <w:pStyle w:val="ListParagraph"/>
        <w:numPr>
          <w:ilvl w:val="0"/>
          <w:numId w:val="1"/>
        </w:numPr>
        <w:tabs>
          <w:tab w:pos="1181" w:val="left" w:leader="none"/>
        </w:tabs>
        <w:spacing w:line="240" w:lineRule="auto" w:before="0" w:after="0"/>
        <w:ind w:left="1181" w:right="828" w:hanging="360"/>
        <w:jc w:val="left"/>
        <w:rPr>
          <w:color w:val="006FC0"/>
          <w:sz w:val="22"/>
        </w:rPr>
      </w:pPr>
      <w:r>
        <w:rPr>
          <w:color w:val="006FC0"/>
          <w:sz w:val="22"/>
        </w:rPr>
        <w:t>“person” includes, an individual, HUF, Company, Society, LLP, Firm, AOP/BOI, Govt., Local authority, assessee defined under rule 2 of the Central Excise Rule, 2002 and every artificial judicial</w:t>
      </w:r>
      <w:r>
        <w:rPr>
          <w:color w:val="006FC0"/>
          <w:spacing w:val="-3"/>
          <w:sz w:val="22"/>
        </w:rPr>
        <w:t> </w:t>
      </w:r>
      <w:r>
        <w:rPr>
          <w:color w:val="006FC0"/>
          <w:sz w:val="22"/>
        </w:rPr>
        <w:t>person.</w:t>
      </w:r>
    </w:p>
    <w:p>
      <w:pPr>
        <w:pStyle w:val="BodyText"/>
        <w:spacing w:before="1"/>
        <w:rPr>
          <w:sz w:val="24"/>
        </w:rPr>
      </w:pPr>
    </w:p>
    <w:p>
      <w:pPr>
        <w:pStyle w:val="ListParagraph"/>
        <w:numPr>
          <w:ilvl w:val="0"/>
          <w:numId w:val="1"/>
        </w:numPr>
        <w:tabs>
          <w:tab w:pos="1181" w:val="left" w:leader="none"/>
        </w:tabs>
        <w:spacing w:line="240" w:lineRule="auto" w:before="0" w:after="0"/>
        <w:ind w:left="1181" w:right="1005" w:hanging="360"/>
        <w:jc w:val="left"/>
        <w:rPr>
          <w:color w:val="006FC0"/>
          <w:sz w:val="22"/>
        </w:rPr>
      </w:pPr>
      <w:r>
        <w:rPr>
          <w:color w:val="006FC0"/>
          <w:sz w:val="22"/>
        </w:rPr>
        <w:t>“quantified’ means a </w:t>
      </w:r>
      <w:r>
        <w:rPr>
          <w:color w:val="006FC0"/>
          <w:sz w:val="22"/>
          <w:u w:val="single" w:color="006FC0"/>
        </w:rPr>
        <w:t>written communication of the amount of duty payable</w:t>
      </w:r>
      <w:r>
        <w:rPr>
          <w:color w:val="006FC0"/>
          <w:sz w:val="22"/>
        </w:rPr>
        <w:t> under the Indirect Tax</w:t>
      </w:r>
      <w:r>
        <w:rPr>
          <w:color w:val="006FC0"/>
          <w:spacing w:val="-7"/>
          <w:sz w:val="22"/>
        </w:rPr>
        <w:t> </w:t>
      </w:r>
      <w:r>
        <w:rPr>
          <w:color w:val="006FC0"/>
          <w:sz w:val="22"/>
        </w:rPr>
        <w:t>Enactment.</w:t>
      </w:r>
    </w:p>
    <w:p>
      <w:pPr>
        <w:pStyle w:val="BodyText"/>
        <w:spacing w:before="8"/>
        <w:rPr>
          <w:sz w:val="23"/>
        </w:rPr>
      </w:pPr>
    </w:p>
    <w:p>
      <w:pPr>
        <w:spacing w:line="259" w:lineRule="auto" w:before="0"/>
        <w:ind w:left="1541" w:right="765" w:hanging="360"/>
        <w:jc w:val="both"/>
        <w:rPr>
          <w:sz w:val="20"/>
        </w:rPr>
      </w:pPr>
      <w:r>
        <w:rPr>
          <w:sz w:val="20"/>
        </w:rPr>
        <w:t>- Duty amount may be quantified either by the department or by the assessee through the written communication. (i.e. intimation of duty demanded </w:t>
      </w:r>
      <w:r>
        <w:rPr>
          <w:spacing w:val="-3"/>
          <w:sz w:val="20"/>
        </w:rPr>
        <w:t>by </w:t>
      </w:r>
      <w:r>
        <w:rPr>
          <w:sz w:val="20"/>
        </w:rPr>
        <w:t>the department or duty liability admitted </w:t>
      </w:r>
      <w:r>
        <w:rPr>
          <w:spacing w:val="-3"/>
          <w:sz w:val="20"/>
        </w:rPr>
        <w:t>by </w:t>
      </w:r>
      <w:r>
        <w:rPr>
          <w:sz w:val="20"/>
        </w:rPr>
        <w:t>the</w:t>
      </w:r>
      <w:r>
        <w:rPr>
          <w:spacing w:val="9"/>
          <w:sz w:val="20"/>
        </w:rPr>
        <w:t> </w:t>
      </w:r>
      <w:r>
        <w:rPr>
          <w:sz w:val="20"/>
        </w:rPr>
        <w:t>assessee)</w:t>
      </w:r>
    </w:p>
    <w:p>
      <w:pPr>
        <w:pStyle w:val="BodyText"/>
        <w:spacing w:before="8"/>
        <w:rPr>
          <w:sz w:val="23"/>
        </w:rPr>
      </w:pPr>
    </w:p>
    <w:p>
      <w:pPr>
        <w:pStyle w:val="ListParagraph"/>
        <w:numPr>
          <w:ilvl w:val="0"/>
          <w:numId w:val="1"/>
        </w:numPr>
        <w:tabs>
          <w:tab w:pos="1181" w:val="left" w:leader="none"/>
        </w:tabs>
        <w:spacing w:line="240" w:lineRule="auto" w:before="1" w:after="0"/>
        <w:ind w:left="1181" w:right="0" w:hanging="360"/>
        <w:jc w:val="left"/>
        <w:rPr>
          <w:color w:val="006FC0"/>
          <w:sz w:val="22"/>
        </w:rPr>
      </w:pPr>
      <w:r>
        <w:rPr>
          <w:color w:val="006FC0"/>
          <w:sz w:val="22"/>
        </w:rPr>
        <w:t>“statement” means the statement issued by the designated committee u/s</w:t>
      </w:r>
      <w:r>
        <w:rPr>
          <w:color w:val="006FC0"/>
          <w:spacing w:val="-28"/>
          <w:sz w:val="22"/>
        </w:rPr>
        <w:t> </w:t>
      </w:r>
      <w:r>
        <w:rPr>
          <w:color w:val="006FC0"/>
          <w:sz w:val="22"/>
        </w:rPr>
        <w:t>127.</w:t>
      </w:r>
    </w:p>
    <w:p>
      <w:pPr>
        <w:pStyle w:val="BodyText"/>
        <w:spacing w:before="7"/>
        <w:rPr>
          <w:sz w:val="23"/>
        </w:rPr>
      </w:pPr>
    </w:p>
    <w:p>
      <w:pPr>
        <w:pStyle w:val="ListParagraph"/>
        <w:numPr>
          <w:ilvl w:val="0"/>
          <w:numId w:val="1"/>
        </w:numPr>
        <w:tabs>
          <w:tab w:pos="1181" w:val="left" w:leader="none"/>
        </w:tabs>
        <w:spacing w:line="240" w:lineRule="auto" w:before="0" w:after="0"/>
        <w:ind w:left="1181" w:right="0" w:hanging="360"/>
        <w:jc w:val="left"/>
        <w:rPr>
          <w:color w:val="006FC0"/>
          <w:sz w:val="22"/>
        </w:rPr>
      </w:pPr>
      <w:r>
        <w:rPr>
          <w:color w:val="006FC0"/>
          <w:sz w:val="22"/>
        </w:rPr>
        <w:t>“tax relief” means the amount of relief granted u/s</w:t>
      </w:r>
      <w:r>
        <w:rPr>
          <w:color w:val="006FC0"/>
          <w:spacing w:val="-21"/>
          <w:sz w:val="22"/>
        </w:rPr>
        <w:t> </w:t>
      </w:r>
      <w:r>
        <w:rPr>
          <w:color w:val="006FC0"/>
          <w:sz w:val="22"/>
        </w:rPr>
        <w:t>124.</w:t>
      </w:r>
    </w:p>
    <w:p>
      <w:pPr>
        <w:spacing w:line="460" w:lineRule="atLeast" w:before="105"/>
        <w:ind w:left="821" w:right="6233" w:hanging="721"/>
        <w:jc w:val="left"/>
        <w:rPr>
          <w:rFonts w:ascii="Arial Black" w:hAnsi="Arial Black"/>
          <w:sz w:val="20"/>
        </w:rPr>
      </w:pPr>
      <w:r>
        <w:rPr>
          <w:rFonts w:ascii="Arial Black" w:hAnsi="Arial Black"/>
          <w:sz w:val="20"/>
        </w:rPr>
        <w:t>Sec-122 – Application of scheme (a)</w:t>
      </w:r>
    </w:p>
    <w:p>
      <w:pPr>
        <w:pStyle w:val="ListParagraph"/>
        <w:numPr>
          <w:ilvl w:val="0"/>
          <w:numId w:val="3"/>
        </w:numPr>
        <w:tabs>
          <w:tab w:pos="2261" w:val="left" w:leader="none"/>
          <w:tab w:pos="2262" w:val="left" w:leader="none"/>
        </w:tabs>
        <w:spacing w:line="240" w:lineRule="auto" w:before="27" w:after="0"/>
        <w:ind w:left="2261" w:right="0" w:hanging="721"/>
        <w:jc w:val="left"/>
        <w:rPr>
          <w:sz w:val="22"/>
        </w:rPr>
      </w:pPr>
      <w:r>
        <w:rPr>
          <w:color w:val="006FC0"/>
          <w:sz w:val="22"/>
        </w:rPr>
        <w:t>The Central Excise Act,</w:t>
      </w:r>
      <w:r>
        <w:rPr>
          <w:color w:val="006FC0"/>
          <w:spacing w:val="-6"/>
          <w:sz w:val="22"/>
        </w:rPr>
        <w:t> </w:t>
      </w:r>
      <w:r>
        <w:rPr>
          <w:color w:val="006FC0"/>
          <w:sz w:val="22"/>
        </w:rPr>
        <w:t>1944,</w:t>
      </w:r>
    </w:p>
    <w:p>
      <w:pPr>
        <w:pStyle w:val="ListParagraph"/>
        <w:numPr>
          <w:ilvl w:val="0"/>
          <w:numId w:val="3"/>
        </w:numPr>
        <w:tabs>
          <w:tab w:pos="2261" w:val="left" w:leader="none"/>
          <w:tab w:pos="2262" w:val="left" w:leader="none"/>
        </w:tabs>
        <w:spacing w:line="240" w:lineRule="auto" w:before="24" w:after="0"/>
        <w:ind w:left="2261" w:right="0" w:hanging="721"/>
        <w:jc w:val="left"/>
        <w:rPr>
          <w:sz w:val="22"/>
        </w:rPr>
      </w:pPr>
      <w:r>
        <w:rPr>
          <w:color w:val="006FC0"/>
          <w:sz w:val="22"/>
        </w:rPr>
        <w:t>The Central Excise Tariff Act,</w:t>
      </w:r>
      <w:r>
        <w:rPr>
          <w:color w:val="006FC0"/>
          <w:spacing w:val="-9"/>
          <w:sz w:val="22"/>
        </w:rPr>
        <w:t> </w:t>
      </w:r>
      <w:r>
        <w:rPr>
          <w:color w:val="006FC0"/>
          <w:sz w:val="22"/>
        </w:rPr>
        <w:t>1985,</w:t>
      </w:r>
    </w:p>
    <w:p>
      <w:pPr>
        <w:pStyle w:val="ListParagraph"/>
        <w:numPr>
          <w:ilvl w:val="0"/>
          <w:numId w:val="3"/>
        </w:numPr>
        <w:tabs>
          <w:tab w:pos="2261" w:val="left" w:leader="none"/>
          <w:tab w:pos="2262" w:val="left" w:leader="none"/>
        </w:tabs>
        <w:spacing w:line="240" w:lineRule="auto" w:before="20" w:after="0"/>
        <w:ind w:left="2261" w:right="0" w:hanging="721"/>
        <w:jc w:val="left"/>
        <w:rPr>
          <w:sz w:val="22"/>
        </w:rPr>
      </w:pPr>
      <w:r>
        <w:rPr>
          <w:color w:val="006FC0"/>
          <w:sz w:val="22"/>
        </w:rPr>
        <w:t>Chapter V of Finance Act, 1994 (Service</w:t>
      </w:r>
      <w:r>
        <w:rPr>
          <w:color w:val="006FC0"/>
          <w:spacing w:val="-17"/>
          <w:sz w:val="22"/>
        </w:rPr>
        <w:t> </w:t>
      </w:r>
      <w:r>
        <w:rPr>
          <w:color w:val="006FC0"/>
          <w:sz w:val="22"/>
        </w:rPr>
        <w:t>Tax)</w:t>
      </w:r>
    </w:p>
    <w:p>
      <w:pPr>
        <w:pStyle w:val="ListParagraph"/>
        <w:numPr>
          <w:ilvl w:val="0"/>
          <w:numId w:val="3"/>
        </w:numPr>
        <w:tabs>
          <w:tab w:pos="2261" w:val="left" w:leader="none"/>
          <w:tab w:pos="2262" w:val="left" w:leader="none"/>
        </w:tabs>
        <w:spacing w:line="240" w:lineRule="auto" w:before="20" w:after="0"/>
        <w:ind w:left="2261" w:right="0" w:hanging="721"/>
        <w:jc w:val="left"/>
        <w:rPr>
          <w:sz w:val="22"/>
        </w:rPr>
      </w:pPr>
      <w:r>
        <w:rPr>
          <w:color w:val="006FC0"/>
          <w:sz w:val="22"/>
        </w:rPr>
        <w:t>The Rules made for above (i) to</w:t>
      </w:r>
      <w:r>
        <w:rPr>
          <w:color w:val="006FC0"/>
          <w:spacing w:val="-13"/>
          <w:sz w:val="22"/>
        </w:rPr>
        <w:t> </w:t>
      </w:r>
      <w:r>
        <w:rPr>
          <w:color w:val="006FC0"/>
          <w:sz w:val="22"/>
        </w:rPr>
        <w:t>(iii)</w:t>
      </w:r>
    </w:p>
    <w:p>
      <w:pPr>
        <w:pStyle w:val="BodyText"/>
        <w:spacing w:before="7"/>
        <w:rPr>
          <w:sz w:val="25"/>
        </w:rPr>
      </w:pPr>
    </w:p>
    <w:p>
      <w:pPr>
        <w:pStyle w:val="ListParagraph"/>
        <w:numPr>
          <w:ilvl w:val="0"/>
          <w:numId w:val="4"/>
        </w:numPr>
        <w:tabs>
          <w:tab w:pos="1181" w:val="left" w:leader="none"/>
        </w:tabs>
        <w:spacing w:line="240" w:lineRule="auto" w:before="0" w:after="0"/>
        <w:ind w:left="1181" w:right="0" w:hanging="360"/>
        <w:jc w:val="left"/>
        <w:rPr>
          <w:sz w:val="22"/>
        </w:rPr>
      </w:pPr>
      <w:r>
        <w:rPr>
          <w:color w:val="006FC0"/>
          <w:sz w:val="22"/>
        </w:rPr>
        <w:t>the</w:t>
      </w:r>
      <w:r>
        <w:rPr>
          <w:color w:val="006FC0"/>
          <w:spacing w:val="-16"/>
          <w:sz w:val="22"/>
        </w:rPr>
        <w:t> </w:t>
      </w:r>
      <w:r>
        <w:rPr>
          <w:color w:val="006FC0"/>
          <w:sz w:val="22"/>
        </w:rPr>
        <w:t>following</w:t>
      </w:r>
      <w:r>
        <w:rPr>
          <w:color w:val="006FC0"/>
          <w:spacing w:val="-14"/>
          <w:sz w:val="22"/>
        </w:rPr>
        <w:t> </w:t>
      </w:r>
      <w:r>
        <w:rPr>
          <w:color w:val="006FC0"/>
          <w:sz w:val="22"/>
        </w:rPr>
        <w:t>Acts,</w:t>
      </w:r>
      <w:r>
        <w:rPr>
          <w:color w:val="006FC0"/>
          <w:spacing w:val="-19"/>
          <w:sz w:val="22"/>
        </w:rPr>
        <w:t> </w:t>
      </w:r>
      <w:r>
        <w:rPr>
          <w:color w:val="006FC0"/>
          <w:sz w:val="22"/>
        </w:rPr>
        <w:t>namely:</w:t>
      </w:r>
      <w:r>
        <w:rPr>
          <w:color w:val="006FC0"/>
          <w:spacing w:val="-3"/>
          <w:sz w:val="22"/>
        </w:rPr>
        <w:t> </w:t>
      </w:r>
      <w:r>
        <w:rPr>
          <w:color w:val="006FC0"/>
          <w:sz w:val="22"/>
        </w:rPr>
        <w:t>—</w:t>
      </w:r>
    </w:p>
    <w:p>
      <w:pPr>
        <w:pStyle w:val="ListParagraph"/>
        <w:numPr>
          <w:ilvl w:val="1"/>
          <w:numId w:val="4"/>
        </w:numPr>
        <w:tabs>
          <w:tab w:pos="2622" w:val="left" w:leader="none"/>
        </w:tabs>
        <w:spacing w:line="240" w:lineRule="auto" w:before="130" w:after="0"/>
        <w:ind w:left="2621" w:right="0" w:hanging="289"/>
        <w:jc w:val="left"/>
        <w:rPr>
          <w:color w:val="006FC0"/>
          <w:sz w:val="22"/>
        </w:rPr>
      </w:pPr>
      <w:r>
        <w:rPr>
          <w:color w:val="006FC0"/>
          <w:sz w:val="22"/>
        </w:rPr>
        <w:t>the Agricultural Produce Cess</w:t>
      </w:r>
      <w:r>
        <w:rPr>
          <w:color w:val="006FC0"/>
          <w:spacing w:val="-25"/>
          <w:sz w:val="22"/>
        </w:rPr>
        <w:t> </w:t>
      </w:r>
      <w:r>
        <w:rPr>
          <w:color w:val="006FC0"/>
          <w:sz w:val="22"/>
        </w:rPr>
        <w:t>Act,1940;</w:t>
      </w:r>
    </w:p>
    <w:p>
      <w:pPr>
        <w:pStyle w:val="ListParagraph"/>
        <w:numPr>
          <w:ilvl w:val="1"/>
          <w:numId w:val="4"/>
        </w:numPr>
        <w:tabs>
          <w:tab w:pos="2622" w:val="left" w:leader="none"/>
        </w:tabs>
        <w:spacing w:line="240" w:lineRule="auto" w:before="130" w:after="0"/>
        <w:ind w:left="2621" w:right="0" w:hanging="337"/>
        <w:jc w:val="left"/>
        <w:rPr>
          <w:color w:val="006FC0"/>
          <w:sz w:val="22"/>
        </w:rPr>
      </w:pPr>
      <w:r>
        <w:rPr>
          <w:color w:val="006FC0"/>
          <w:sz w:val="22"/>
        </w:rPr>
        <w:t>the CoffeeAct,</w:t>
      </w:r>
      <w:r>
        <w:rPr>
          <w:color w:val="006FC0"/>
          <w:spacing w:val="-2"/>
          <w:sz w:val="22"/>
        </w:rPr>
        <w:t> </w:t>
      </w:r>
      <w:r>
        <w:rPr>
          <w:color w:val="006FC0"/>
          <w:sz w:val="22"/>
        </w:rPr>
        <w:t>1942;</w:t>
      </w:r>
    </w:p>
    <w:p>
      <w:pPr>
        <w:pStyle w:val="ListParagraph"/>
        <w:numPr>
          <w:ilvl w:val="1"/>
          <w:numId w:val="4"/>
        </w:numPr>
        <w:tabs>
          <w:tab w:pos="2622" w:val="left" w:leader="none"/>
        </w:tabs>
        <w:spacing w:line="240" w:lineRule="auto" w:before="135" w:after="0"/>
        <w:ind w:left="2621" w:right="0" w:hanging="390"/>
        <w:jc w:val="left"/>
        <w:rPr>
          <w:color w:val="006FC0"/>
          <w:sz w:val="22"/>
        </w:rPr>
      </w:pPr>
      <w:r>
        <w:rPr>
          <w:color w:val="006FC0"/>
          <w:sz w:val="22"/>
        </w:rPr>
        <w:t>the Mica Mines Labour </w:t>
      </w:r>
      <w:r>
        <w:rPr>
          <w:color w:val="006FC0"/>
          <w:spacing w:val="-4"/>
          <w:sz w:val="22"/>
        </w:rPr>
        <w:t>Welfare </w:t>
      </w:r>
      <w:r>
        <w:rPr>
          <w:color w:val="006FC0"/>
          <w:sz w:val="22"/>
        </w:rPr>
        <w:t>Fund</w:t>
      </w:r>
      <w:r>
        <w:rPr>
          <w:color w:val="006FC0"/>
          <w:spacing w:val="-8"/>
          <w:sz w:val="22"/>
        </w:rPr>
        <w:t> </w:t>
      </w:r>
      <w:r>
        <w:rPr>
          <w:color w:val="006FC0"/>
          <w:sz w:val="22"/>
        </w:rPr>
        <w:t>Act,1946;</w:t>
      </w:r>
    </w:p>
    <w:p>
      <w:pPr>
        <w:pStyle w:val="ListParagraph"/>
        <w:numPr>
          <w:ilvl w:val="1"/>
          <w:numId w:val="4"/>
        </w:numPr>
        <w:tabs>
          <w:tab w:pos="2622" w:val="left" w:leader="none"/>
        </w:tabs>
        <w:spacing w:line="240" w:lineRule="auto" w:before="125" w:after="0"/>
        <w:ind w:left="2621" w:right="0" w:hanging="385"/>
        <w:jc w:val="left"/>
        <w:rPr>
          <w:color w:val="006FC0"/>
          <w:sz w:val="22"/>
        </w:rPr>
      </w:pPr>
      <w:r>
        <w:rPr>
          <w:color w:val="006FC0"/>
          <w:sz w:val="22"/>
        </w:rPr>
        <w:t>the Rubber Act,</w:t>
      </w:r>
      <w:r>
        <w:rPr>
          <w:color w:val="006FC0"/>
          <w:spacing w:val="-28"/>
          <w:sz w:val="22"/>
        </w:rPr>
        <w:t> </w:t>
      </w:r>
      <w:r>
        <w:rPr>
          <w:color w:val="006FC0"/>
          <w:sz w:val="22"/>
        </w:rPr>
        <w:t>1947;</w:t>
      </w:r>
    </w:p>
    <w:p>
      <w:pPr>
        <w:spacing w:after="0" w:line="240" w:lineRule="auto"/>
        <w:jc w:val="left"/>
        <w:rPr>
          <w:sz w:val="22"/>
        </w:rPr>
        <w:sectPr>
          <w:pgSz w:w="11910" w:h="16840"/>
          <w:pgMar w:header="764" w:footer="992" w:top="1620" w:bottom="1180" w:left="1340" w:right="660"/>
        </w:sectPr>
      </w:pPr>
    </w:p>
    <w:p>
      <w:pPr>
        <w:pStyle w:val="BodyText"/>
        <w:spacing w:before="8"/>
        <w:rPr>
          <w:sz w:val="18"/>
        </w:rPr>
      </w:pPr>
    </w:p>
    <w:p>
      <w:pPr>
        <w:pStyle w:val="ListParagraph"/>
        <w:numPr>
          <w:ilvl w:val="1"/>
          <w:numId w:val="4"/>
        </w:numPr>
        <w:tabs>
          <w:tab w:pos="2622" w:val="left" w:leader="none"/>
        </w:tabs>
        <w:spacing w:line="240" w:lineRule="auto" w:before="56" w:after="0"/>
        <w:ind w:left="2621" w:right="0" w:hanging="337"/>
        <w:jc w:val="left"/>
        <w:rPr>
          <w:color w:val="006FC0"/>
          <w:sz w:val="22"/>
        </w:rPr>
      </w:pPr>
      <w:r>
        <w:rPr>
          <w:color w:val="006FC0"/>
          <w:sz w:val="22"/>
        </w:rPr>
        <w:t>the Salt Cess Act,</w:t>
      </w:r>
      <w:r>
        <w:rPr>
          <w:color w:val="006FC0"/>
          <w:spacing w:val="-36"/>
          <w:sz w:val="22"/>
        </w:rPr>
        <w:t> </w:t>
      </w:r>
      <w:r>
        <w:rPr>
          <w:color w:val="006FC0"/>
          <w:sz w:val="22"/>
        </w:rPr>
        <w:t>1953;</w:t>
      </w:r>
    </w:p>
    <w:p>
      <w:pPr>
        <w:pStyle w:val="ListParagraph"/>
        <w:numPr>
          <w:ilvl w:val="1"/>
          <w:numId w:val="4"/>
        </w:numPr>
        <w:tabs>
          <w:tab w:pos="2622" w:val="left" w:leader="none"/>
        </w:tabs>
        <w:spacing w:line="240" w:lineRule="auto" w:before="135" w:after="0"/>
        <w:ind w:left="2621" w:right="0" w:hanging="385"/>
        <w:jc w:val="left"/>
        <w:rPr>
          <w:color w:val="006FC0"/>
          <w:sz w:val="22"/>
        </w:rPr>
      </w:pPr>
      <w:r>
        <w:rPr>
          <w:color w:val="006FC0"/>
          <w:sz w:val="22"/>
        </w:rPr>
        <w:t>the</w:t>
      </w:r>
      <w:r>
        <w:rPr>
          <w:color w:val="006FC0"/>
          <w:spacing w:val="-11"/>
          <w:sz w:val="22"/>
        </w:rPr>
        <w:t> </w:t>
      </w:r>
      <w:r>
        <w:rPr>
          <w:color w:val="006FC0"/>
          <w:sz w:val="22"/>
        </w:rPr>
        <w:t>Medicinal</w:t>
      </w:r>
      <w:r>
        <w:rPr>
          <w:color w:val="006FC0"/>
          <w:spacing w:val="-4"/>
          <w:sz w:val="22"/>
        </w:rPr>
        <w:t> </w:t>
      </w:r>
      <w:r>
        <w:rPr>
          <w:color w:val="006FC0"/>
          <w:sz w:val="22"/>
        </w:rPr>
        <w:t>and</w:t>
      </w:r>
      <w:r>
        <w:rPr>
          <w:color w:val="006FC0"/>
          <w:spacing w:val="-8"/>
          <w:sz w:val="22"/>
        </w:rPr>
        <w:t> </w:t>
      </w:r>
      <w:r>
        <w:rPr>
          <w:color w:val="006FC0"/>
          <w:spacing w:val="-5"/>
          <w:sz w:val="22"/>
        </w:rPr>
        <w:t>Toilet</w:t>
      </w:r>
      <w:r>
        <w:rPr>
          <w:color w:val="006FC0"/>
          <w:spacing w:val="-13"/>
          <w:sz w:val="22"/>
        </w:rPr>
        <w:t> </w:t>
      </w:r>
      <w:r>
        <w:rPr>
          <w:color w:val="006FC0"/>
          <w:sz w:val="22"/>
        </w:rPr>
        <w:t>Preparations</w:t>
      </w:r>
      <w:r>
        <w:rPr>
          <w:color w:val="006FC0"/>
          <w:spacing w:val="-7"/>
          <w:sz w:val="22"/>
        </w:rPr>
        <w:t> </w:t>
      </w:r>
      <w:r>
        <w:rPr>
          <w:color w:val="006FC0"/>
          <w:sz w:val="22"/>
        </w:rPr>
        <w:t>(Excise</w:t>
      </w:r>
      <w:r>
        <w:rPr>
          <w:color w:val="006FC0"/>
          <w:spacing w:val="-6"/>
          <w:sz w:val="22"/>
        </w:rPr>
        <w:t> </w:t>
      </w:r>
      <w:r>
        <w:rPr>
          <w:color w:val="006FC0"/>
          <w:sz w:val="22"/>
        </w:rPr>
        <w:t>Duties)</w:t>
      </w:r>
      <w:r>
        <w:rPr>
          <w:color w:val="006FC0"/>
          <w:spacing w:val="-15"/>
          <w:sz w:val="22"/>
        </w:rPr>
        <w:t> </w:t>
      </w:r>
      <w:r>
        <w:rPr>
          <w:color w:val="006FC0"/>
          <w:spacing w:val="-3"/>
          <w:sz w:val="22"/>
        </w:rPr>
        <w:t>Act,</w:t>
      </w:r>
      <w:r>
        <w:rPr>
          <w:color w:val="006FC0"/>
          <w:spacing w:val="-9"/>
          <w:sz w:val="22"/>
        </w:rPr>
        <w:t> </w:t>
      </w:r>
      <w:r>
        <w:rPr>
          <w:color w:val="006FC0"/>
          <w:sz w:val="22"/>
        </w:rPr>
        <w:t>1955;</w:t>
      </w:r>
    </w:p>
    <w:p>
      <w:pPr>
        <w:pStyle w:val="ListParagraph"/>
        <w:numPr>
          <w:ilvl w:val="1"/>
          <w:numId w:val="4"/>
        </w:numPr>
        <w:tabs>
          <w:tab w:pos="2622" w:val="left" w:leader="none"/>
        </w:tabs>
        <w:spacing w:line="240" w:lineRule="auto" w:before="130" w:after="0"/>
        <w:ind w:left="2621" w:right="0" w:hanging="438"/>
        <w:jc w:val="left"/>
        <w:rPr>
          <w:color w:val="006FC0"/>
          <w:sz w:val="22"/>
        </w:rPr>
      </w:pPr>
      <w:r>
        <w:rPr>
          <w:color w:val="006FC0"/>
          <w:sz w:val="22"/>
        </w:rPr>
        <w:t>the Additional Duties of Excise (Goods of Special Importance) Act,</w:t>
      </w:r>
      <w:r>
        <w:rPr>
          <w:color w:val="006FC0"/>
          <w:spacing w:val="-35"/>
          <w:sz w:val="22"/>
        </w:rPr>
        <w:t> </w:t>
      </w:r>
      <w:r>
        <w:rPr>
          <w:color w:val="006FC0"/>
          <w:spacing w:val="-4"/>
          <w:sz w:val="22"/>
        </w:rPr>
        <w:t>1957;</w:t>
      </w:r>
    </w:p>
    <w:p>
      <w:pPr>
        <w:pStyle w:val="ListParagraph"/>
        <w:numPr>
          <w:ilvl w:val="1"/>
          <w:numId w:val="4"/>
        </w:numPr>
        <w:tabs>
          <w:tab w:pos="2622" w:val="left" w:leader="none"/>
        </w:tabs>
        <w:spacing w:line="256" w:lineRule="auto" w:before="135" w:after="0"/>
        <w:ind w:left="2621" w:right="1252" w:hanging="485"/>
        <w:jc w:val="left"/>
        <w:rPr>
          <w:color w:val="006FC0"/>
          <w:sz w:val="22"/>
        </w:rPr>
      </w:pPr>
      <w:r>
        <w:rPr>
          <w:color w:val="006FC0"/>
          <w:sz w:val="22"/>
        </w:rPr>
        <w:t>the Mineral Products (Additional Duties of Excise and Customs) </w:t>
      </w:r>
      <w:r>
        <w:rPr>
          <w:color w:val="006FC0"/>
          <w:spacing w:val="-4"/>
          <w:sz w:val="22"/>
        </w:rPr>
        <w:t>Act, 1958;</w:t>
      </w:r>
    </w:p>
    <w:p>
      <w:pPr>
        <w:pStyle w:val="ListParagraph"/>
        <w:numPr>
          <w:ilvl w:val="1"/>
          <w:numId w:val="4"/>
        </w:numPr>
        <w:tabs>
          <w:tab w:pos="2622" w:val="left" w:leader="none"/>
        </w:tabs>
        <w:spacing w:line="240" w:lineRule="auto" w:before="111" w:after="0"/>
        <w:ind w:left="2621" w:right="0" w:hanging="380"/>
        <w:jc w:val="left"/>
        <w:rPr>
          <w:color w:val="006FC0"/>
          <w:sz w:val="22"/>
        </w:rPr>
      </w:pPr>
      <w:r>
        <w:rPr>
          <w:color w:val="006FC0"/>
          <w:sz w:val="22"/>
        </w:rPr>
        <w:t>the</w:t>
      </w:r>
      <w:r>
        <w:rPr>
          <w:color w:val="006FC0"/>
          <w:spacing w:val="-17"/>
          <w:sz w:val="22"/>
        </w:rPr>
        <w:t> </w:t>
      </w:r>
      <w:r>
        <w:rPr>
          <w:color w:val="006FC0"/>
          <w:sz w:val="22"/>
        </w:rPr>
        <w:t>Sugar</w:t>
      </w:r>
      <w:r>
        <w:rPr>
          <w:color w:val="006FC0"/>
          <w:spacing w:val="-16"/>
          <w:sz w:val="22"/>
        </w:rPr>
        <w:t> </w:t>
      </w:r>
      <w:r>
        <w:rPr>
          <w:color w:val="006FC0"/>
          <w:sz w:val="22"/>
        </w:rPr>
        <w:t>(Special</w:t>
      </w:r>
      <w:r>
        <w:rPr>
          <w:color w:val="006FC0"/>
          <w:spacing w:val="-10"/>
          <w:sz w:val="22"/>
        </w:rPr>
        <w:t> </w:t>
      </w:r>
      <w:r>
        <w:rPr>
          <w:color w:val="006FC0"/>
          <w:sz w:val="22"/>
        </w:rPr>
        <w:t>Excise</w:t>
      </w:r>
      <w:r>
        <w:rPr>
          <w:color w:val="006FC0"/>
          <w:spacing w:val="-15"/>
          <w:sz w:val="22"/>
        </w:rPr>
        <w:t> </w:t>
      </w:r>
      <w:r>
        <w:rPr>
          <w:color w:val="006FC0"/>
          <w:sz w:val="22"/>
        </w:rPr>
        <w:t>Duty)</w:t>
      </w:r>
      <w:r>
        <w:rPr>
          <w:color w:val="006FC0"/>
          <w:spacing w:val="-21"/>
          <w:sz w:val="22"/>
        </w:rPr>
        <w:t> </w:t>
      </w:r>
      <w:r>
        <w:rPr>
          <w:color w:val="006FC0"/>
          <w:sz w:val="22"/>
        </w:rPr>
        <w:t>Act,</w:t>
      </w:r>
      <w:r>
        <w:rPr>
          <w:color w:val="006FC0"/>
          <w:spacing w:val="-10"/>
          <w:sz w:val="22"/>
        </w:rPr>
        <w:t> </w:t>
      </w:r>
      <w:r>
        <w:rPr>
          <w:color w:val="006FC0"/>
          <w:sz w:val="22"/>
        </w:rPr>
        <w:t>1959;</w:t>
      </w:r>
    </w:p>
    <w:p>
      <w:pPr>
        <w:pStyle w:val="ListParagraph"/>
        <w:numPr>
          <w:ilvl w:val="1"/>
          <w:numId w:val="4"/>
        </w:numPr>
        <w:tabs>
          <w:tab w:pos="2622" w:val="left" w:leader="none"/>
        </w:tabs>
        <w:spacing w:line="240" w:lineRule="auto" w:before="135" w:after="0"/>
        <w:ind w:left="2621" w:right="0" w:hanging="332"/>
        <w:jc w:val="left"/>
        <w:rPr>
          <w:color w:val="006FC0"/>
          <w:sz w:val="22"/>
        </w:rPr>
      </w:pPr>
      <w:r>
        <w:rPr>
          <w:color w:val="006FC0"/>
          <w:sz w:val="22"/>
        </w:rPr>
        <w:t>the</w:t>
      </w:r>
      <w:r>
        <w:rPr>
          <w:color w:val="006FC0"/>
          <w:spacing w:val="-21"/>
          <w:sz w:val="22"/>
        </w:rPr>
        <w:t> </w:t>
      </w:r>
      <w:r>
        <w:rPr>
          <w:color w:val="006FC0"/>
          <w:spacing w:val="-5"/>
          <w:sz w:val="22"/>
        </w:rPr>
        <w:t>Textiles</w:t>
      </w:r>
      <w:r>
        <w:rPr>
          <w:color w:val="006FC0"/>
          <w:spacing w:val="-21"/>
          <w:sz w:val="22"/>
        </w:rPr>
        <w:t> </w:t>
      </w:r>
      <w:r>
        <w:rPr>
          <w:color w:val="006FC0"/>
          <w:spacing w:val="-4"/>
          <w:sz w:val="22"/>
        </w:rPr>
        <w:t>Committee</w:t>
      </w:r>
      <w:r>
        <w:rPr>
          <w:color w:val="006FC0"/>
          <w:spacing w:val="-30"/>
          <w:sz w:val="22"/>
        </w:rPr>
        <w:t> </w:t>
      </w:r>
      <w:r>
        <w:rPr>
          <w:color w:val="006FC0"/>
          <w:sz w:val="22"/>
        </w:rPr>
        <w:t>Act,</w:t>
      </w:r>
      <w:r>
        <w:rPr>
          <w:color w:val="006FC0"/>
          <w:spacing w:val="-23"/>
          <w:sz w:val="22"/>
        </w:rPr>
        <w:t> </w:t>
      </w:r>
      <w:r>
        <w:rPr>
          <w:color w:val="006FC0"/>
          <w:spacing w:val="-3"/>
          <w:sz w:val="22"/>
        </w:rPr>
        <w:t>1963;</w:t>
      </w:r>
    </w:p>
    <w:p>
      <w:pPr>
        <w:pStyle w:val="ListParagraph"/>
        <w:numPr>
          <w:ilvl w:val="1"/>
          <w:numId w:val="4"/>
        </w:numPr>
        <w:tabs>
          <w:tab w:pos="2622" w:val="left" w:leader="none"/>
        </w:tabs>
        <w:spacing w:line="240" w:lineRule="auto" w:before="130" w:after="0"/>
        <w:ind w:left="2621" w:right="0" w:hanging="380"/>
        <w:jc w:val="left"/>
        <w:rPr>
          <w:color w:val="006FC0"/>
          <w:sz w:val="22"/>
        </w:rPr>
      </w:pPr>
      <w:r>
        <w:rPr>
          <w:color w:val="006FC0"/>
          <w:sz w:val="22"/>
        </w:rPr>
        <w:t>the Produce Cess Act,</w:t>
      </w:r>
      <w:r>
        <w:rPr>
          <w:color w:val="006FC0"/>
          <w:spacing w:val="-29"/>
          <w:sz w:val="22"/>
        </w:rPr>
        <w:t> </w:t>
      </w:r>
      <w:r>
        <w:rPr>
          <w:color w:val="006FC0"/>
          <w:sz w:val="22"/>
        </w:rPr>
        <w:t>1966;</w:t>
      </w:r>
    </w:p>
    <w:p>
      <w:pPr>
        <w:pStyle w:val="ListParagraph"/>
        <w:numPr>
          <w:ilvl w:val="1"/>
          <w:numId w:val="4"/>
        </w:numPr>
        <w:tabs>
          <w:tab w:pos="2622" w:val="left" w:leader="none"/>
        </w:tabs>
        <w:spacing w:line="240" w:lineRule="auto" w:before="130" w:after="0"/>
        <w:ind w:left="2621" w:right="0" w:hanging="433"/>
        <w:jc w:val="left"/>
        <w:rPr>
          <w:color w:val="006FC0"/>
          <w:sz w:val="22"/>
        </w:rPr>
      </w:pPr>
      <w:r>
        <w:rPr>
          <w:color w:val="006FC0"/>
          <w:sz w:val="22"/>
        </w:rPr>
        <w:t>the Limestone and Dolomite Mines Labour </w:t>
      </w:r>
      <w:r>
        <w:rPr>
          <w:color w:val="006FC0"/>
          <w:spacing w:val="-4"/>
          <w:sz w:val="22"/>
        </w:rPr>
        <w:t>Welfare </w:t>
      </w:r>
      <w:r>
        <w:rPr>
          <w:color w:val="006FC0"/>
          <w:sz w:val="22"/>
        </w:rPr>
        <w:t>Fund Act,</w:t>
      </w:r>
      <w:r>
        <w:rPr>
          <w:color w:val="006FC0"/>
          <w:spacing w:val="-32"/>
          <w:sz w:val="22"/>
        </w:rPr>
        <w:t> </w:t>
      </w:r>
      <w:r>
        <w:rPr>
          <w:color w:val="006FC0"/>
          <w:sz w:val="22"/>
        </w:rPr>
        <w:t>1972;</w:t>
      </w:r>
    </w:p>
    <w:p>
      <w:pPr>
        <w:pStyle w:val="ListParagraph"/>
        <w:numPr>
          <w:ilvl w:val="1"/>
          <w:numId w:val="4"/>
        </w:numPr>
        <w:tabs>
          <w:tab w:pos="2622" w:val="left" w:leader="none"/>
        </w:tabs>
        <w:spacing w:line="240" w:lineRule="auto" w:before="130" w:after="0"/>
        <w:ind w:left="2621" w:right="0" w:hanging="481"/>
        <w:jc w:val="left"/>
        <w:rPr>
          <w:color w:val="006FC0"/>
          <w:sz w:val="22"/>
        </w:rPr>
      </w:pPr>
      <w:r>
        <w:rPr>
          <w:color w:val="006FC0"/>
          <w:sz w:val="22"/>
        </w:rPr>
        <w:t>the Coal Mines (Conservation and Development) Act,</w:t>
      </w:r>
      <w:r>
        <w:rPr>
          <w:color w:val="006FC0"/>
          <w:spacing w:val="-34"/>
          <w:sz w:val="22"/>
        </w:rPr>
        <w:t> </w:t>
      </w:r>
      <w:r>
        <w:rPr>
          <w:color w:val="006FC0"/>
          <w:sz w:val="22"/>
        </w:rPr>
        <w:t>1974;</w:t>
      </w:r>
    </w:p>
    <w:p>
      <w:pPr>
        <w:pStyle w:val="ListParagraph"/>
        <w:numPr>
          <w:ilvl w:val="1"/>
          <w:numId w:val="4"/>
        </w:numPr>
        <w:tabs>
          <w:tab w:pos="2622" w:val="left" w:leader="none"/>
        </w:tabs>
        <w:spacing w:line="240" w:lineRule="auto" w:before="135" w:after="0"/>
        <w:ind w:left="2621" w:right="0" w:hanging="481"/>
        <w:jc w:val="left"/>
        <w:rPr>
          <w:color w:val="006FC0"/>
          <w:sz w:val="22"/>
        </w:rPr>
      </w:pPr>
      <w:r>
        <w:rPr>
          <w:color w:val="006FC0"/>
          <w:sz w:val="22"/>
        </w:rPr>
        <w:t>the</w:t>
      </w:r>
      <w:r>
        <w:rPr>
          <w:color w:val="006FC0"/>
          <w:spacing w:val="-12"/>
          <w:sz w:val="22"/>
        </w:rPr>
        <w:t> </w:t>
      </w:r>
      <w:r>
        <w:rPr>
          <w:color w:val="006FC0"/>
          <w:sz w:val="22"/>
        </w:rPr>
        <w:t>Oil</w:t>
      </w:r>
      <w:r>
        <w:rPr>
          <w:color w:val="006FC0"/>
          <w:spacing w:val="-9"/>
          <w:sz w:val="22"/>
        </w:rPr>
        <w:t> </w:t>
      </w:r>
      <w:r>
        <w:rPr>
          <w:color w:val="006FC0"/>
          <w:sz w:val="22"/>
        </w:rPr>
        <w:t>Industry</w:t>
      </w:r>
      <w:r>
        <w:rPr>
          <w:color w:val="006FC0"/>
          <w:spacing w:val="-11"/>
          <w:sz w:val="22"/>
        </w:rPr>
        <w:t> </w:t>
      </w:r>
      <w:r>
        <w:rPr>
          <w:color w:val="006FC0"/>
          <w:sz w:val="22"/>
        </w:rPr>
        <w:t>(Development)</w:t>
      </w:r>
      <w:r>
        <w:rPr>
          <w:color w:val="006FC0"/>
          <w:spacing w:val="-21"/>
          <w:sz w:val="22"/>
        </w:rPr>
        <w:t> </w:t>
      </w:r>
      <w:r>
        <w:rPr>
          <w:color w:val="006FC0"/>
          <w:sz w:val="22"/>
        </w:rPr>
        <w:t>Act,</w:t>
      </w:r>
      <w:r>
        <w:rPr>
          <w:color w:val="006FC0"/>
          <w:spacing w:val="-13"/>
          <w:sz w:val="22"/>
        </w:rPr>
        <w:t> </w:t>
      </w:r>
      <w:r>
        <w:rPr>
          <w:color w:val="006FC0"/>
          <w:sz w:val="22"/>
        </w:rPr>
        <w:t>1974;</w:t>
      </w:r>
    </w:p>
    <w:p>
      <w:pPr>
        <w:pStyle w:val="ListParagraph"/>
        <w:numPr>
          <w:ilvl w:val="1"/>
          <w:numId w:val="4"/>
        </w:numPr>
        <w:tabs>
          <w:tab w:pos="2622" w:val="left" w:leader="none"/>
        </w:tabs>
        <w:spacing w:line="240" w:lineRule="auto" w:before="130" w:after="0"/>
        <w:ind w:left="2621" w:right="0" w:hanging="433"/>
        <w:jc w:val="left"/>
        <w:rPr>
          <w:color w:val="006FC0"/>
          <w:sz w:val="22"/>
        </w:rPr>
      </w:pPr>
      <w:r>
        <w:rPr>
          <w:color w:val="006FC0"/>
          <w:sz w:val="22"/>
        </w:rPr>
        <w:t>the </w:t>
      </w:r>
      <w:r>
        <w:rPr>
          <w:color w:val="006FC0"/>
          <w:spacing w:val="-4"/>
          <w:sz w:val="22"/>
        </w:rPr>
        <w:t>Tobacco </w:t>
      </w:r>
      <w:r>
        <w:rPr>
          <w:color w:val="006FC0"/>
          <w:sz w:val="22"/>
        </w:rPr>
        <w:t>Cess Act,</w:t>
      </w:r>
      <w:r>
        <w:rPr>
          <w:color w:val="006FC0"/>
          <w:spacing w:val="-30"/>
          <w:sz w:val="22"/>
        </w:rPr>
        <w:t> </w:t>
      </w:r>
      <w:r>
        <w:rPr>
          <w:color w:val="006FC0"/>
          <w:sz w:val="22"/>
        </w:rPr>
        <w:t>1975;</w:t>
      </w:r>
    </w:p>
    <w:p>
      <w:pPr>
        <w:pStyle w:val="ListParagraph"/>
        <w:numPr>
          <w:ilvl w:val="1"/>
          <w:numId w:val="4"/>
        </w:numPr>
        <w:tabs>
          <w:tab w:pos="2622" w:val="left" w:leader="none"/>
        </w:tabs>
        <w:spacing w:line="256" w:lineRule="auto" w:before="130" w:after="0"/>
        <w:ind w:left="2621" w:right="1337" w:hanging="480"/>
        <w:jc w:val="left"/>
        <w:rPr>
          <w:color w:val="006FC0"/>
          <w:sz w:val="22"/>
        </w:rPr>
      </w:pPr>
      <w:r>
        <w:rPr>
          <w:color w:val="006FC0"/>
          <w:sz w:val="22"/>
        </w:rPr>
        <w:t>the Iron Ore Mines, Manganese Ore Mines and Chrome Ore Mines Labour</w:t>
      </w:r>
      <w:r>
        <w:rPr>
          <w:color w:val="006FC0"/>
          <w:spacing w:val="-17"/>
          <w:sz w:val="22"/>
        </w:rPr>
        <w:t> </w:t>
      </w:r>
      <w:r>
        <w:rPr>
          <w:color w:val="006FC0"/>
          <w:spacing w:val="-4"/>
          <w:sz w:val="22"/>
        </w:rPr>
        <w:t>Welfare</w:t>
      </w:r>
      <w:r>
        <w:rPr>
          <w:color w:val="006FC0"/>
          <w:spacing w:val="-11"/>
          <w:sz w:val="22"/>
        </w:rPr>
        <w:t> </w:t>
      </w:r>
      <w:r>
        <w:rPr>
          <w:color w:val="006FC0"/>
          <w:sz w:val="22"/>
        </w:rPr>
        <w:t>Cess</w:t>
      </w:r>
      <w:r>
        <w:rPr>
          <w:color w:val="006FC0"/>
          <w:spacing w:val="-15"/>
          <w:sz w:val="22"/>
        </w:rPr>
        <w:t> </w:t>
      </w:r>
      <w:r>
        <w:rPr>
          <w:color w:val="006FC0"/>
          <w:sz w:val="22"/>
        </w:rPr>
        <w:t>Act,</w:t>
      </w:r>
      <w:r>
        <w:rPr>
          <w:color w:val="006FC0"/>
          <w:spacing w:val="-9"/>
          <w:sz w:val="22"/>
        </w:rPr>
        <w:t> </w:t>
      </w:r>
      <w:r>
        <w:rPr>
          <w:color w:val="006FC0"/>
          <w:sz w:val="22"/>
        </w:rPr>
        <w:t>1976;</w:t>
      </w:r>
    </w:p>
    <w:p>
      <w:pPr>
        <w:pStyle w:val="ListParagraph"/>
        <w:numPr>
          <w:ilvl w:val="1"/>
          <w:numId w:val="4"/>
        </w:numPr>
        <w:tabs>
          <w:tab w:pos="2622" w:val="left" w:leader="none"/>
        </w:tabs>
        <w:spacing w:line="240" w:lineRule="auto" w:before="116" w:after="0"/>
        <w:ind w:left="2621" w:right="0" w:hanging="534"/>
        <w:jc w:val="left"/>
        <w:rPr>
          <w:color w:val="006FC0"/>
          <w:sz w:val="22"/>
        </w:rPr>
      </w:pPr>
      <w:r>
        <w:rPr>
          <w:color w:val="006FC0"/>
          <w:sz w:val="22"/>
        </w:rPr>
        <w:t>the</w:t>
      </w:r>
      <w:r>
        <w:rPr>
          <w:color w:val="006FC0"/>
          <w:spacing w:val="-7"/>
          <w:sz w:val="22"/>
        </w:rPr>
        <w:t> </w:t>
      </w:r>
      <w:r>
        <w:rPr>
          <w:color w:val="006FC0"/>
          <w:sz w:val="22"/>
        </w:rPr>
        <w:t>Bidi</w:t>
      </w:r>
      <w:r>
        <w:rPr>
          <w:color w:val="006FC0"/>
          <w:spacing w:val="-9"/>
          <w:sz w:val="22"/>
        </w:rPr>
        <w:t> </w:t>
      </w:r>
      <w:r>
        <w:rPr>
          <w:color w:val="006FC0"/>
          <w:spacing w:val="-5"/>
          <w:sz w:val="22"/>
        </w:rPr>
        <w:t>Workers</w:t>
      </w:r>
      <w:r>
        <w:rPr>
          <w:color w:val="006FC0"/>
          <w:spacing w:val="-17"/>
          <w:sz w:val="22"/>
        </w:rPr>
        <w:t> </w:t>
      </w:r>
      <w:r>
        <w:rPr>
          <w:color w:val="006FC0"/>
          <w:spacing w:val="-4"/>
          <w:sz w:val="22"/>
        </w:rPr>
        <w:t>Welfare</w:t>
      </w:r>
      <w:r>
        <w:rPr>
          <w:color w:val="006FC0"/>
          <w:spacing w:val="-11"/>
          <w:sz w:val="22"/>
        </w:rPr>
        <w:t> </w:t>
      </w:r>
      <w:r>
        <w:rPr>
          <w:color w:val="006FC0"/>
          <w:sz w:val="22"/>
        </w:rPr>
        <w:t>Cess</w:t>
      </w:r>
      <w:r>
        <w:rPr>
          <w:color w:val="006FC0"/>
          <w:spacing w:val="-21"/>
          <w:sz w:val="22"/>
        </w:rPr>
        <w:t> </w:t>
      </w:r>
      <w:r>
        <w:rPr>
          <w:color w:val="006FC0"/>
          <w:sz w:val="22"/>
        </w:rPr>
        <w:t>Act,</w:t>
      </w:r>
      <w:r>
        <w:rPr>
          <w:color w:val="006FC0"/>
          <w:spacing w:val="-4"/>
          <w:sz w:val="22"/>
        </w:rPr>
        <w:t> </w:t>
      </w:r>
      <w:r>
        <w:rPr>
          <w:color w:val="006FC0"/>
          <w:sz w:val="22"/>
        </w:rPr>
        <w:t>1976;</w:t>
      </w:r>
    </w:p>
    <w:p>
      <w:pPr>
        <w:pStyle w:val="ListParagraph"/>
        <w:numPr>
          <w:ilvl w:val="1"/>
          <w:numId w:val="4"/>
        </w:numPr>
        <w:tabs>
          <w:tab w:pos="2622" w:val="left" w:leader="none"/>
        </w:tabs>
        <w:spacing w:line="240" w:lineRule="auto" w:before="131" w:after="0"/>
        <w:ind w:left="2621" w:right="0" w:hanging="582"/>
        <w:jc w:val="left"/>
        <w:rPr>
          <w:color w:val="006FC0"/>
          <w:sz w:val="22"/>
        </w:rPr>
      </w:pPr>
      <w:r>
        <w:rPr>
          <w:color w:val="006FC0"/>
          <w:sz w:val="22"/>
        </w:rPr>
        <w:t>the Additional Duties of Excise (Textiles and Textile Articles) </w:t>
      </w:r>
      <w:r>
        <w:rPr>
          <w:color w:val="006FC0"/>
          <w:spacing w:val="-4"/>
          <w:sz w:val="22"/>
        </w:rPr>
        <w:t>Act,</w:t>
      </w:r>
      <w:r>
        <w:rPr>
          <w:color w:val="006FC0"/>
          <w:spacing w:val="-35"/>
          <w:sz w:val="22"/>
        </w:rPr>
        <w:t> </w:t>
      </w:r>
      <w:r>
        <w:rPr>
          <w:color w:val="006FC0"/>
          <w:spacing w:val="-3"/>
          <w:sz w:val="22"/>
        </w:rPr>
        <w:t>1978;</w:t>
      </w:r>
    </w:p>
    <w:p>
      <w:pPr>
        <w:pStyle w:val="ListParagraph"/>
        <w:numPr>
          <w:ilvl w:val="1"/>
          <w:numId w:val="4"/>
        </w:numPr>
        <w:tabs>
          <w:tab w:pos="2622" w:val="left" w:leader="none"/>
        </w:tabs>
        <w:spacing w:line="240" w:lineRule="auto" w:before="129" w:after="0"/>
        <w:ind w:left="2621" w:right="0" w:hanging="476"/>
        <w:jc w:val="left"/>
        <w:rPr>
          <w:color w:val="006FC0"/>
          <w:sz w:val="22"/>
        </w:rPr>
      </w:pPr>
      <w:r>
        <w:rPr>
          <w:color w:val="006FC0"/>
          <w:sz w:val="22"/>
        </w:rPr>
        <w:t>the Sugar Cess</w:t>
      </w:r>
      <w:r>
        <w:rPr>
          <w:color w:val="006FC0"/>
          <w:spacing w:val="-6"/>
          <w:sz w:val="22"/>
        </w:rPr>
        <w:t> </w:t>
      </w:r>
      <w:r>
        <w:rPr>
          <w:color w:val="006FC0"/>
          <w:sz w:val="22"/>
        </w:rPr>
        <w:t>Act,1982;</w:t>
      </w:r>
    </w:p>
    <w:p>
      <w:pPr>
        <w:pStyle w:val="ListParagraph"/>
        <w:numPr>
          <w:ilvl w:val="1"/>
          <w:numId w:val="4"/>
        </w:numPr>
        <w:tabs>
          <w:tab w:pos="2622" w:val="left" w:leader="none"/>
        </w:tabs>
        <w:spacing w:line="240" w:lineRule="auto" w:before="130" w:after="0"/>
        <w:ind w:left="2621" w:right="0" w:hanging="428"/>
        <w:jc w:val="left"/>
        <w:rPr>
          <w:color w:val="006FC0"/>
          <w:sz w:val="22"/>
        </w:rPr>
      </w:pPr>
      <w:r>
        <w:rPr>
          <w:color w:val="006FC0"/>
          <w:sz w:val="22"/>
        </w:rPr>
        <w:t>the Jute Manufacturers Cess Act,</w:t>
      </w:r>
      <w:r>
        <w:rPr>
          <w:color w:val="006FC0"/>
          <w:spacing w:val="-16"/>
          <w:sz w:val="22"/>
        </w:rPr>
        <w:t> </w:t>
      </w:r>
      <w:r>
        <w:rPr>
          <w:color w:val="006FC0"/>
          <w:sz w:val="22"/>
        </w:rPr>
        <w:t>1983;</w:t>
      </w:r>
    </w:p>
    <w:p>
      <w:pPr>
        <w:pStyle w:val="ListParagraph"/>
        <w:numPr>
          <w:ilvl w:val="1"/>
          <w:numId w:val="4"/>
        </w:numPr>
        <w:tabs>
          <w:tab w:pos="2622" w:val="left" w:leader="none"/>
        </w:tabs>
        <w:spacing w:line="240" w:lineRule="auto" w:before="130" w:after="0"/>
        <w:ind w:left="2621" w:right="0" w:hanging="438"/>
        <w:jc w:val="left"/>
        <w:rPr>
          <w:sz w:val="19"/>
        </w:rPr>
      </w:pPr>
      <w:r>
        <w:rPr>
          <w:color w:val="006FC0"/>
          <w:sz w:val="22"/>
        </w:rPr>
        <w:t>the</w:t>
      </w:r>
      <w:r>
        <w:rPr>
          <w:color w:val="006FC0"/>
          <w:spacing w:val="-32"/>
          <w:sz w:val="22"/>
        </w:rPr>
        <w:t> </w:t>
      </w:r>
      <w:r>
        <w:rPr>
          <w:color w:val="006FC0"/>
          <w:sz w:val="22"/>
        </w:rPr>
        <w:t>Agricultural</w:t>
      </w:r>
      <w:r>
        <w:rPr>
          <w:color w:val="006FC0"/>
          <w:spacing w:val="-14"/>
          <w:sz w:val="22"/>
        </w:rPr>
        <w:t> </w:t>
      </w:r>
      <w:r>
        <w:rPr>
          <w:color w:val="006FC0"/>
          <w:sz w:val="22"/>
        </w:rPr>
        <w:t>and</w:t>
      </w:r>
      <w:r>
        <w:rPr>
          <w:color w:val="006FC0"/>
          <w:spacing w:val="-17"/>
          <w:sz w:val="22"/>
        </w:rPr>
        <w:t> </w:t>
      </w:r>
      <w:r>
        <w:rPr>
          <w:color w:val="006FC0"/>
          <w:sz w:val="22"/>
        </w:rPr>
        <w:t>Processed</w:t>
      </w:r>
      <w:r>
        <w:rPr>
          <w:color w:val="006FC0"/>
          <w:spacing w:val="-18"/>
          <w:sz w:val="22"/>
        </w:rPr>
        <w:t> </w:t>
      </w:r>
      <w:r>
        <w:rPr>
          <w:color w:val="006FC0"/>
          <w:sz w:val="22"/>
        </w:rPr>
        <w:t>Food</w:t>
      </w:r>
      <w:r>
        <w:rPr>
          <w:color w:val="006FC0"/>
          <w:spacing w:val="-12"/>
          <w:sz w:val="22"/>
        </w:rPr>
        <w:t> </w:t>
      </w:r>
      <w:r>
        <w:rPr>
          <w:color w:val="006FC0"/>
          <w:sz w:val="22"/>
        </w:rPr>
        <w:t>Products</w:t>
      </w:r>
      <w:r>
        <w:rPr>
          <w:color w:val="006FC0"/>
          <w:spacing w:val="-17"/>
          <w:sz w:val="22"/>
        </w:rPr>
        <w:t> </w:t>
      </w:r>
      <w:r>
        <w:rPr>
          <w:color w:val="006FC0"/>
          <w:sz w:val="22"/>
        </w:rPr>
        <w:t>Export</w:t>
      </w:r>
      <w:r>
        <w:rPr>
          <w:color w:val="006FC0"/>
          <w:spacing w:val="-18"/>
          <w:sz w:val="22"/>
        </w:rPr>
        <w:t> </w:t>
      </w:r>
      <w:r>
        <w:rPr>
          <w:color w:val="006FC0"/>
          <w:sz w:val="22"/>
        </w:rPr>
        <w:t>Cess</w:t>
      </w:r>
      <w:r>
        <w:rPr>
          <w:color w:val="006FC0"/>
          <w:spacing w:val="-26"/>
          <w:sz w:val="22"/>
        </w:rPr>
        <w:t> </w:t>
      </w:r>
      <w:r>
        <w:rPr>
          <w:color w:val="006FC0"/>
          <w:sz w:val="22"/>
        </w:rPr>
        <w:t>Act,</w:t>
      </w:r>
      <w:r>
        <w:rPr>
          <w:color w:val="006FC0"/>
          <w:spacing w:val="-13"/>
          <w:sz w:val="22"/>
        </w:rPr>
        <w:t> </w:t>
      </w:r>
      <w:r>
        <w:rPr>
          <w:color w:val="006FC0"/>
          <w:sz w:val="22"/>
        </w:rPr>
        <w:t>1985;</w:t>
      </w:r>
    </w:p>
    <w:p>
      <w:pPr>
        <w:pStyle w:val="ListParagraph"/>
        <w:numPr>
          <w:ilvl w:val="0"/>
          <w:numId w:val="4"/>
        </w:numPr>
        <w:tabs>
          <w:tab w:pos="375" w:val="left" w:leader="none"/>
        </w:tabs>
        <w:spacing w:line="240" w:lineRule="auto" w:before="135" w:after="0"/>
        <w:ind w:left="374" w:right="0" w:hanging="275"/>
        <w:jc w:val="left"/>
        <w:rPr>
          <w:sz w:val="22"/>
        </w:rPr>
      </w:pPr>
      <w:r>
        <w:rPr>
          <w:color w:val="006FC0"/>
          <w:sz w:val="22"/>
        </w:rPr>
        <w:t>Any</w:t>
      </w:r>
      <w:r>
        <w:rPr>
          <w:color w:val="006FC0"/>
          <w:spacing w:val="-6"/>
          <w:sz w:val="22"/>
        </w:rPr>
        <w:t> </w:t>
      </w:r>
      <w:r>
        <w:rPr>
          <w:color w:val="006FC0"/>
          <w:sz w:val="22"/>
        </w:rPr>
        <w:t>other</w:t>
      </w:r>
      <w:r>
        <w:rPr>
          <w:color w:val="006FC0"/>
          <w:spacing w:val="-16"/>
          <w:sz w:val="22"/>
        </w:rPr>
        <w:t> </w:t>
      </w:r>
      <w:r>
        <w:rPr>
          <w:color w:val="006FC0"/>
          <w:sz w:val="22"/>
        </w:rPr>
        <w:t>Act,</w:t>
      </w:r>
      <w:r>
        <w:rPr>
          <w:color w:val="006FC0"/>
          <w:spacing w:val="-9"/>
          <w:sz w:val="22"/>
        </w:rPr>
        <w:t> </w:t>
      </w:r>
      <w:r>
        <w:rPr>
          <w:color w:val="006FC0"/>
          <w:sz w:val="22"/>
        </w:rPr>
        <w:t>as</w:t>
      </w:r>
      <w:r>
        <w:rPr>
          <w:color w:val="006FC0"/>
          <w:spacing w:val="-3"/>
          <w:sz w:val="22"/>
        </w:rPr>
        <w:t> </w:t>
      </w:r>
      <w:r>
        <w:rPr>
          <w:color w:val="006FC0"/>
          <w:sz w:val="22"/>
        </w:rPr>
        <w:t>the</w:t>
      </w:r>
      <w:r>
        <w:rPr>
          <w:color w:val="006FC0"/>
          <w:spacing w:val="-7"/>
          <w:sz w:val="22"/>
        </w:rPr>
        <w:t> </w:t>
      </w:r>
      <w:r>
        <w:rPr>
          <w:color w:val="006FC0"/>
          <w:sz w:val="22"/>
        </w:rPr>
        <w:t>Central</w:t>
      </w:r>
      <w:r>
        <w:rPr>
          <w:color w:val="006FC0"/>
          <w:spacing w:val="-5"/>
          <w:sz w:val="22"/>
        </w:rPr>
        <w:t> </w:t>
      </w:r>
      <w:r>
        <w:rPr>
          <w:color w:val="006FC0"/>
          <w:sz w:val="22"/>
        </w:rPr>
        <w:t>Government</w:t>
      </w:r>
      <w:r>
        <w:rPr>
          <w:color w:val="006FC0"/>
          <w:spacing w:val="-9"/>
          <w:sz w:val="22"/>
        </w:rPr>
        <w:t> </w:t>
      </w:r>
      <w:r>
        <w:rPr>
          <w:color w:val="006FC0"/>
          <w:spacing w:val="-4"/>
          <w:sz w:val="22"/>
        </w:rPr>
        <w:t>may,</w:t>
      </w:r>
      <w:r>
        <w:rPr>
          <w:color w:val="006FC0"/>
          <w:spacing w:val="-14"/>
          <w:sz w:val="22"/>
        </w:rPr>
        <w:t> </w:t>
      </w:r>
      <w:r>
        <w:rPr>
          <w:color w:val="006FC0"/>
          <w:sz w:val="22"/>
        </w:rPr>
        <w:t>by</w:t>
      </w:r>
      <w:r>
        <w:rPr>
          <w:color w:val="006FC0"/>
          <w:spacing w:val="-6"/>
          <w:sz w:val="22"/>
        </w:rPr>
        <w:t> </w:t>
      </w:r>
      <w:r>
        <w:rPr>
          <w:color w:val="006FC0"/>
          <w:sz w:val="22"/>
        </w:rPr>
        <w:t>notification</w:t>
      </w:r>
      <w:r>
        <w:rPr>
          <w:color w:val="006FC0"/>
          <w:spacing w:val="-7"/>
          <w:sz w:val="22"/>
        </w:rPr>
        <w:t> </w:t>
      </w:r>
      <w:r>
        <w:rPr>
          <w:color w:val="006FC0"/>
          <w:sz w:val="22"/>
        </w:rPr>
        <w:t>in</w:t>
      </w:r>
      <w:r>
        <w:rPr>
          <w:color w:val="006FC0"/>
          <w:spacing w:val="-8"/>
          <w:sz w:val="22"/>
        </w:rPr>
        <w:t> </w:t>
      </w:r>
      <w:r>
        <w:rPr>
          <w:color w:val="006FC0"/>
          <w:sz w:val="22"/>
        </w:rPr>
        <w:t>the</w:t>
      </w:r>
      <w:r>
        <w:rPr>
          <w:color w:val="006FC0"/>
          <w:spacing w:val="-7"/>
          <w:sz w:val="22"/>
        </w:rPr>
        <w:t> </w:t>
      </w:r>
      <w:r>
        <w:rPr>
          <w:color w:val="006FC0"/>
          <w:sz w:val="22"/>
        </w:rPr>
        <w:t>Official</w:t>
      </w:r>
      <w:r>
        <w:rPr>
          <w:color w:val="006FC0"/>
          <w:spacing w:val="-2"/>
          <w:sz w:val="22"/>
        </w:rPr>
        <w:t> </w:t>
      </w:r>
      <w:r>
        <w:rPr>
          <w:color w:val="006FC0"/>
          <w:sz w:val="22"/>
        </w:rPr>
        <w:t>Gazette,</w:t>
      </w:r>
      <w:r>
        <w:rPr>
          <w:color w:val="006FC0"/>
          <w:spacing w:val="-12"/>
          <w:sz w:val="22"/>
        </w:rPr>
        <w:t> </w:t>
      </w:r>
      <w:r>
        <w:rPr>
          <w:color w:val="006FC0"/>
          <w:spacing w:val="-4"/>
          <w:sz w:val="22"/>
        </w:rPr>
        <w:t>specify.</w:t>
      </w:r>
    </w:p>
    <w:p>
      <w:pPr>
        <w:pStyle w:val="BodyText"/>
      </w:pPr>
    </w:p>
    <w:p>
      <w:pPr>
        <w:spacing w:before="196"/>
        <w:ind w:left="100" w:right="0" w:firstLine="0"/>
        <w:jc w:val="left"/>
        <w:rPr>
          <w:rFonts w:ascii="Arial Black" w:hAnsi="Arial Black"/>
          <w:sz w:val="20"/>
        </w:rPr>
      </w:pPr>
      <w:r>
        <w:rPr>
          <w:rFonts w:ascii="Arial Black" w:hAnsi="Arial Black"/>
          <w:sz w:val="20"/>
        </w:rPr>
        <w:t>Sec-123 – Tax Dues means-</w:t>
      </w:r>
    </w:p>
    <w:p>
      <w:pPr>
        <w:pStyle w:val="ListParagraph"/>
        <w:numPr>
          <w:ilvl w:val="0"/>
          <w:numId w:val="5"/>
        </w:numPr>
        <w:tabs>
          <w:tab w:pos="1229" w:val="left" w:leader="none"/>
        </w:tabs>
        <w:spacing w:line="266" w:lineRule="auto" w:before="180" w:after="0"/>
        <w:ind w:left="1181" w:right="770" w:hanging="360"/>
        <w:jc w:val="left"/>
        <w:rPr>
          <w:b/>
          <w:sz w:val="22"/>
        </w:rPr>
      </w:pPr>
      <w:r>
        <w:rPr/>
        <w:tab/>
      </w:r>
      <w:r>
        <w:rPr>
          <w:color w:val="006FC0"/>
          <w:sz w:val="22"/>
        </w:rPr>
        <w:t>(i)</w:t>
      </w:r>
      <w:r>
        <w:rPr>
          <w:color w:val="006FC0"/>
          <w:spacing w:val="21"/>
          <w:sz w:val="22"/>
        </w:rPr>
        <w:t> </w:t>
      </w:r>
      <w:r>
        <w:rPr>
          <w:color w:val="006FC0"/>
          <w:sz w:val="22"/>
        </w:rPr>
        <w:t>Where</w:t>
      </w:r>
      <w:r>
        <w:rPr>
          <w:color w:val="006FC0"/>
          <w:spacing w:val="-12"/>
          <w:sz w:val="22"/>
        </w:rPr>
        <w:t> </w:t>
      </w:r>
      <w:r>
        <w:rPr>
          <w:color w:val="006FC0"/>
          <w:sz w:val="22"/>
        </w:rPr>
        <w:t>single</w:t>
      </w:r>
      <w:r>
        <w:rPr>
          <w:color w:val="006FC0"/>
          <w:spacing w:val="-12"/>
          <w:sz w:val="22"/>
        </w:rPr>
        <w:t> </w:t>
      </w:r>
      <w:r>
        <w:rPr>
          <w:color w:val="006FC0"/>
          <w:sz w:val="22"/>
        </w:rPr>
        <w:t>appeal</w:t>
      </w:r>
      <w:r>
        <w:rPr>
          <w:color w:val="006FC0"/>
          <w:spacing w:val="-16"/>
          <w:sz w:val="22"/>
        </w:rPr>
        <w:t> </w:t>
      </w:r>
      <w:r>
        <w:rPr>
          <w:color w:val="006FC0"/>
          <w:sz w:val="22"/>
        </w:rPr>
        <w:t>is</w:t>
      </w:r>
      <w:r>
        <w:rPr>
          <w:color w:val="006FC0"/>
          <w:spacing w:val="-13"/>
          <w:sz w:val="22"/>
        </w:rPr>
        <w:t> </w:t>
      </w:r>
      <w:r>
        <w:rPr>
          <w:color w:val="006FC0"/>
          <w:sz w:val="22"/>
        </w:rPr>
        <w:t>pending</w:t>
      </w:r>
      <w:r>
        <w:rPr>
          <w:color w:val="006FC0"/>
          <w:spacing w:val="-11"/>
          <w:sz w:val="22"/>
        </w:rPr>
        <w:t> </w:t>
      </w:r>
      <w:r>
        <w:rPr>
          <w:color w:val="006FC0"/>
          <w:sz w:val="22"/>
        </w:rPr>
        <w:t>up</w:t>
      </w:r>
      <w:r>
        <w:rPr>
          <w:color w:val="006FC0"/>
          <w:spacing w:val="-14"/>
          <w:sz w:val="22"/>
        </w:rPr>
        <w:t> </w:t>
      </w:r>
      <w:r>
        <w:rPr>
          <w:color w:val="006FC0"/>
          <w:sz w:val="22"/>
        </w:rPr>
        <w:t>to</w:t>
      </w:r>
      <w:r>
        <w:rPr>
          <w:color w:val="006FC0"/>
          <w:spacing w:val="-14"/>
          <w:sz w:val="22"/>
        </w:rPr>
        <w:t> </w:t>
      </w:r>
      <w:r>
        <w:rPr>
          <w:color w:val="006FC0"/>
          <w:sz w:val="22"/>
        </w:rPr>
        <w:t>30.06.2019</w:t>
      </w:r>
      <w:r>
        <w:rPr>
          <w:color w:val="006FC0"/>
          <w:spacing w:val="-14"/>
          <w:sz w:val="22"/>
        </w:rPr>
        <w:t> </w:t>
      </w:r>
      <w:r>
        <w:rPr>
          <w:color w:val="006FC0"/>
          <w:sz w:val="22"/>
        </w:rPr>
        <w:t>against</w:t>
      </w:r>
      <w:r>
        <w:rPr>
          <w:color w:val="006FC0"/>
          <w:spacing w:val="-12"/>
          <w:sz w:val="22"/>
        </w:rPr>
        <w:t> </w:t>
      </w:r>
      <w:r>
        <w:rPr>
          <w:color w:val="006FC0"/>
          <w:sz w:val="22"/>
        </w:rPr>
        <w:t>an</w:t>
      </w:r>
      <w:r>
        <w:rPr>
          <w:color w:val="006FC0"/>
          <w:spacing w:val="-14"/>
          <w:sz w:val="22"/>
        </w:rPr>
        <w:t> </w:t>
      </w:r>
      <w:r>
        <w:rPr>
          <w:color w:val="006FC0"/>
          <w:sz w:val="22"/>
        </w:rPr>
        <w:t>order</w:t>
      </w:r>
      <w:r>
        <w:rPr>
          <w:color w:val="006FC0"/>
          <w:spacing w:val="-12"/>
          <w:sz w:val="22"/>
        </w:rPr>
        <w:t> </w:t>
      </w:r>
      <w:r>
        <w:rPr>
          <w:color w:val="006FC0"/>
          <w:sz w:val="22"/>
        </w:rPr>
        <w:t>before</w:t>
      </w:r>
      <w:r>
        <w:rPr>
          <w:color w:val="006FC0"/>
          <w:spacing w:val="-12"/>
          <w:sz w:val="22"/>
        </w:rPr>
        <w:t> </w:t>
      </w:r>
      <w:r>
        <w:rPr>
          <w:color w:val="006FC0"/>
          <w:sz w:val="22"/>
        </w:rPr>
        <w:t>the</w:t>
      </w:r>
      <w:r>
        <w:rPr>
          <w:color w:val="006FC0"/>
          <w:spacing w:val="-12"/>
          <w:sz w:val="22"/>
        </w:rPr>
        <w:t> </w:t>
      </w:r>
      <w:r>
        <w:rPr>
          <w:color w:val="006FC0"/>
          <w:sz w:val="22"/>
        </w:rPr>
        <w:t>appellate forum, the disputed amount shall be termed as</w:t>
      </w:r>
      <w:r>
        <w:rPr>
          <w:color w:val="006FC0"/>
          <w:sz w:val="22"/>
          <w:u w:val="single" w:color="006FC0"/>
        </w:rPr>
        <w:t> </w:t>
      </w:r>
      <w:r>
        <w:rPr>
          <w:b/>
          <w:color w:val="006FC0"/>
          <w:sz w:val="22"/>
          <w:u w:val="single" w:color="006FC0"/>
        </w:rPr>
        <w:t>“tax</w:t>
      </w:r>
      <w:r>
        <w:rPr>
          <w:b/>
          <w:color w:val="006FC0"/>
          <w:spacing w:val="-20"/>
          <w:sz w:val="22"/>
          <w:u w:val="single" w:color="006FC0"/>
        </w:rPr>
        <w:t> </w:t>
      </w:r>
      <w:r>
        <w:rPr>
          <w:b/>
          <w:color w:val="006FC0"/>
          <w:sz w:val="22"/>
          <w:u w:val="single" w:color="006FC0"/>
        </w:rPr>
        <w:t>due”.</w:t>
      </w:r>
    </w:p>
    <w:p>
      <w:pPr>
        <w:spacing w:line="256" w:lineRule="auto" w:before="149"/>
        <w:ind w:left="1541" w:right="768" w:firstLine="0"/>
        <w:jc w:val="both"/>
        <w:rPr>
          <w:b/>
          <w:sz w:val="20"/>
        </w:rPr>
      </w:pPr>
      <w:r>
        <w:rPr>
          <w:sz w:val="20"/>
        </w:rPr>
        <w:t>Example- SCN was issued to assessee for Rs.10 lacs duty amount and Rs.2 Lacs penalty. OIO passed for Rs.5 lacs duty amount and Rs.1 lac penalty and </w:t>
      </w:r>
      <w:r>
        <w:rPr>
          <w:spacing w:val="-3"/>
          <w:sz w:val="20"/>
        </w:rPr>
        <w:t>assesse </w:t>
      </w:r>
      <w:r>
        <w:rPr>
          <w:sz w:val="20"/>
        </w:rPr>
        <w:t>filed appeal before CESTAT, in this case disputed amount is Rs.5 lacs and </w:t>
      </w:r>
      <w:r>
        <w:rPr>
          <w:b/>
          <w:color w:val="FF0000"/>
          <w:sz w:val="20"/>
          <w:u w:val="single" w:color="FF0000"/>
        </w:rPr>
        <w:t>tax due will be Rs. 5 lacs.</w:t>
      </w:r>
    </w:p>
    <w:p>
      <w:pPr>
        <w:pStyle w:val="BodyText"/>
        <w:rPr>
          <w:b/>
          <w:sz w:val="9"/>
        </w:rPr>
      </w:pPr>
    </w:p>
    <w:p>
      <w:pPr>
        <w:pStyle w:val="ListParagraph"/>
        <w:numPr>
          <w:ilvl w:val="0"/>
          <w:numId w:val="6"/>
        </w:numPr>
        <w:tabs>
          <w:tab w:pos="1541" w:val="left" w:leader="none"/>
        </w:tabs>
        <w:spacing w:line="259" w:lineRule="auto" w:before="57" w:after="0"/>
        <w:ind w:left="1541" w:right="769" w:hanging="360"/>
        <w:jc w:val="both"/>
        <w:rPr>
          <w:color w:val="006FC0"/>
          <w:sz w:val="22"/>
        </w:rPr>
      </w:pPr>
      <w:r>
        <w:rPr>
          <w:color w:val="006FC0"/>
          <w:sz w:val="22"/>
        </w:rPr>
        <w:t>Where more than one appeals are pending up to 30.06.2019 against an order before the appellate forum, one from assessee side and other from department side. In this case “tax Due” shall be calculated as under:</w:t>
      </w:r>
      <w:r>
        <w:rPr>
          <w:color w:val="006FC0"/>
          <w:spacing w:val="-7"/>
          <w:sz w:val="22"/>
        </w:rPr>
        <w:t> </w:t>
      </w:r>
      <w:r>
        <w:rPr>
          <w:color w:val="006FC0"/>
          <w:sz w:val="22"/>
        </w:rPr>
        <w:t>-</w:t>
      </w:r>
    </w:p>
    <w:p>
      <w:pPr>
        <w:pStyle w:val="BodyText"/>
        <w:spacing w:before="162"/>
        <w:ind w:left="1541"/>
        <w:jc w:val="both"/>
      </w:pPr>
      <w:r>
        <w:rPr>
          <w:color w:val="006FC0"/>
        </w:rPr>
        <w:t>Tax due = disputed amount (in assessee appeal + departmental appeal)</w:t>
      </w:r>
    </w:p>
    <w:p>
      <w:pPr>
        <w:spacing w:line="259" w:lineRule="auto" w:before="178"/>
        <w:ind w:left="1541" w:right="769" w:firstLine="0"/>
        <w:jc w:val="both"/>
        <w:rPr>
          <w:b/>
          <w:sz w:val="20"/>
        </w:rPr>
      </w:pPr>
      <w:r>
        <w:rPr>
          <w:sz w:val="20"/>
        </w:rPr>
        <w:t>Example- SCN was issued to assessee for Rs.40 lacs duty amount and Rs.10 Lacs penalty. OIO passed</w:t>
      </w:r>
      <w:r>
        <w:rPr>
          <w:spacing w:val="-9"/>
          <w:sz w:val="20"/>
        </w:rPr>
        <w:t> </w:t>
      </w:r>
      <w:r>
        <w:rPr>
          <w:sz w:val="20"/>
        </w:rPr>
        <w:t>for</w:t>
      </w:r>
      <w:r>
        <w:rPr>
          <w:spacing w:val="-13"/>
          <w:sz w:val="20"/>
        </w:rPr>
        <w:t> </w:t>
      </w:r>
      <w:r>
        <w:rPr>
          <w:sz w:val="20"/>
        </w:rPr>
        <w:t>Rs.30</w:t>
      </w:r>
      <w:r>
        <w:rPr>
          <w:spacing w:val="-14"/>
          <w:sz w:val="20"/>
        </w:rPr>
        <w:t> </w:t>
      </w:r>
      <w:r>
        <w:rPr>
          <w:sz w:val="20"/>
        </w:rPr>
        <w:t>lacs</w:t>
      </w:r>
      <w:r>
        <w:rPr>
          <w:spacing w:val="-11"/>
          <w:sz w:val="20"/>
        </w:rPr>
        <w:t> </w:t>
      </w:r>
      <w:r>
        <w:rPr>
          <w:sz w:val="20"/>
        </w:rPr>
        <w:t>duty</w:t>
      </w:r>
      <w:r>
        <w:rPr>
          <w:spacing w:val="-8"/>
          <w:sz w:val="20"/>
        </w:rPr>
        <w:t> </w:t>
      </w:r>
      <w:r>
        <w:rPr>
          <w:sz w:val="20"/>
        </w:rPr>
        <w:t>amount</w:t>
      </w:r>
      <w:r>
        <w:rPr>
          <w:spacing w:val="-10"/>
          <w:sz w:val="20"/>
        </w:rPr>
        <w:t> </w:t>
      </w:r>
      <w:r>
        <w:rPr>
          <w:spacing w:val="-3"/>
          <w:sz w:val="20"/>
        </w:rPr>
        <w:t>and</w:t>
      </w:r>
      <w:r>
        <w:rPr>
          <w:spacing w:val="-10"/>
          <w:sz w:val="20"/>
        </w:rPr>
        <w:t> </w:t>
      </w:r>
      <w:r>
        <w:rPr>
          <w:sz w:val="20"/>
        </w:rPr>
        <w:t>Rs.7</w:t>
      </w:r>
      <w:r>
        <w:rPr>
          <w:spacing w:val="-10"/>
          <w:sz w:val="20"/>
        </w:rPr>
        <w:t> </w:t>
      </w:r>
      <w:r>
        <w:rPr>
          <w:sz w:val="20"/>
        </w:rPr>
        <w:t>lacs</w:t>
      </w:r>
      <w:r>
        <w:rPr>
          <w:spacing w:val="-11"/>
          <w:sz w:val="20"/>
        </w:rPr>
        <w:t> </w:t>
      </w:r>
      <w:r>
        <w:rPr>
          <w:sz w:val="20"/>
        </w:rPr>
        <w:t>penalty.</w:t>
      </w:r>
      <w:r>
        <w:rPr>
          <w:spacing w:val="-8"/>
          <w:sz w:val="20"/>
        </w:rPr>
        <w:t> </w:t>
      </w:r>
      <w:r>
        <w:rPr>
          <w:sz w:val="20"/>
        </w:rPr>
        <w:t>Assesse</w:t>
      </w:r>
      <w:r>
        <w:rPr>
          <w:spacing w:val="-8"/>
          <w:sz w:val="20"/>
        </w:rPr>
        <w:t> </w:t>
      </w:r>
      <w:r>
        <w:rPr>
          <w:sz w:val="20"/>
        </w:rPr>
        <w:t>filed</w:t>
      </w:r>
      <w:r>
        <w:rPr>
          <w:spacing w:val="-8"/>
          <w:sz w:val="20"/>
        </w:rPr>
        <w:t> </w:t>
      </w:r>
      <w:r>
        <w:rPr>
          <w:sz w:val="20"/>
        </w:rPr>
        <w:t>an</w:t>
      </w:r>
      <w:r>
        <w:rPr>
          <w:spacing w:val="-15"/>
          <w:sz w:val="20"/>
        </w:rPr>
        <w:t> </w:t>
      </w:r>
      <w:r>
        <w:rPr>
          <w:sz w:val="20"/>
        </w:rPr>
        <w:t>appeal</w:t>
      </w:r>
      <w:r>
        <w:rPr>
          <w:spacing w:val="-7"/>
          <w:sz w:val="20"/>
        </w:rPr>
        <w:t> </w:t>
      </w:r>
      <w:r>
        <w:rPr>
          <w:sz w:val="20"/>
        </w:rPr>
        <w:t>before</w:t>
      </w:r>
      <w:r>
        <w:rPr>
          <w:spacing w:val="-14"/>
          <w:sz w:val="20"/>
        </w:rPr>
        <w:t> </w:t>
      </w:r>
      <w:r>
        <w:rPr>
          <w:sz w:val="20"/>
        </w:rPr>
        <w:t>CESTAT for Rs.30 lacs duty amount and Rs.7 lacs penalty and department also filed appeal against the relief given to assess for Rs.10 lacs duty amount and Rs.3 lacs penalty. In this case disputed amount</w:t>
      </w:r>
      <w:r>
        <w:rPr>
          <w:spacing w:val="-4"/>
          <w:sz w:val="20"/>
        </w:rPr>
        <w:t> </w:t>
      </w:r>
      <w:r>
        <w:rPr>
          <w:sz w:val="20"/>
        </w:rPr>
        <w:t>is</w:t>
      </w:r>
      <w:r>
        <w:rPr>
          <w:spacing w:val="-3"/>
          <w:sz w:val="20"/>
        </w:rPr>
        <w:t> </w:t>
      </w:r>
      <w:r>
        <w:rPr>
          <w:sz w:val="20"/>
        </w:rPr>
        <w:t>(Rs.30</w:t>
      </w:r>
      <w:r>
        <w:rPr>
          <w:spacing w:val="-3"/>
          <w:sz w:val="20"/>
        </w:rPr>
        <w:t> </w:t>
      </w:r>
      <w:r>
        <w:rPr>
          <w:sz w:val="20"/>
        </w:rPr>
        <w:t>+</w:t>
      </w:r>
      <w:r>
        <w:rPr>
          <w:spacing w:val="-2"/>
          <w:sz w:val="20"/>
        </w:rPr>
        <w:t> </w:t>
      </w:r>
      <w:r>
        <w:rPr>
          <w:sz w:val="20"/>
        </w:rPr>
        <w:t>Rs.10</w:t>
      </w:r>
      <w:r>
        <w:rPr>
          <w:spacing w:val="-3"/>
          <w:sz w:val="20"/>
        </w:rPr>
        <w:t> </w:t>
      </w:r>
      <w:r>
        <w:rPr>
          <w:sz w:val="20"/>
        </w:rPr>
        <w:t>lacs)</w:t>
      </w:r>
      <w:r>
        <w:rPr>
          <w:spacing w:val="-1"/>
          <w:sz w:val="20"/>
        </w:rPr>
        <w:t> </w:t>
      </w:r>
      <w:r>
        <w:rPr>
          <w:sz w:val="20"/>
        </w:rPr>
        <w:t>duty</w:t>
      </w:r>
      <w:r>
        <w:rPr>
          <w:spacing w:val="-3"/>
          <w:sz w:val="20"/>
        </w:rPr>
        <w:t> </w:t>
      </w:r>
      <w:r>
        <w:rPr>
          <w:sz w:val="20"/>
        </w:rPr>
        <w:t>amount and</w:t>
      </w:r>
      <w:r>
        <w:rPr>
          <w:spacing w:val="-3"/>
          <w:sz w:val="20"/>
        </w:rPr>
        <w:t> </w:t>
      </w:r>
      <w:r>
        <w:rPr>
          <w:b/>
          <w:color w:val="FF0000"/>
          <w:sz w:val="20"/>
          <w:u w:val="single" w:color="FF0000"/>
        </w:rPr>
        <w:t>tax</w:t>
      </w:r>
      <w:r>
        <w:rPr>
          <w:b/>
          <w:color w:val="FF0000"/>
          <w:spacing w:val="-8"/>
          <w:sz w:val="20"/>
          <w:u w:val="single" w:color="FF0000"/>
        </w:rPr>
        <w:t> </w:t>
      </w:r>
      <w:r>
        <w:rPr>
          <w:b/>
          <w:color w:val="FF0000"/>
          <w:sz w:val="20"/>
          <w:u w:val="single" w:color="FF0000"/>
        </w:rPr>
        <w:t>due</w:t>
      </w:r>
      <w:r>
        <w:rPr>
          <w:b/>
          <w:color w:val="FF0000"/>
          <w:spacing w:val="-3"/>
          <w:sz w:val="20"/>
          <w:u w:val="single" w:color="FF0000"/>
        </w:rPr>
        <w:t> </w:t>
      </w:r>
      <w:r>
        <w:rPr>
          <w:b/>
          <w:color w:val="FF0000"/>
          <w:sz w:val="20"/>
          <w:u w:val="single" w:color="FF0000"/>
        </w:rPr>
        <w:t>will</w:t>
      </w:r>
      <w:r>
        <w:rPr>
          <w:b/>
          <w:color w:val="FF0000"/>
          <w:spacing w:val="-3"/>
          <w:sz w:val="20"/>
          <w:u w:val="single" w:color="FF0000"/>
        </w:rPr>
        <w:t> </w:t>
      </w:r>
      <w:r>
        <w:rPr>
          <w:b/>
          <w:color w:val="FF0000"/>
          <w:sz w:val="20"/>
          <w:u w:val="single" w:color="FF0000"/>
        </w:rPr>
        <w:t>be</w:t>
      </w:r>
      <w:r>
        <w:rPr>
          <w:b/>
          <w:color w:val="FF0000"/>
          <w:spacing w:val="-3"/>
          <w:sz w:val="20"/>
          <w:u w:val="single" w:color="FF0000"/>
        </w:rPr>
        <w:t> </w:t>
      </w:r>
      <w:r>
        <w:rPr>
          <w:b/>
          <w:color w:val="FF0000"/>
          <w:sz w:val="20"/>
          <w:u w:val="single" w:color="FF0000"/>
        </w:rPr>
        <w:t>Rs.</w:t>
      </w:r>
      <w:r>
        <w:rPr>
          <w:b/>
          <w:color w:val="FF0000"/>
          <w:spacing w:val="-1"/>
          <w:sz w:val="20"/>
          <w:u w:val="single" w:color="FF0000"/>
        </w:rPr>
        <w:t> </w:t>
      </w:r>
      <w:r>
        <w:rPr>
          <w:b/>
          <w:color w:val="FF0000"/>
          <w:sz w:val="20"/>
          <w:u w:val="single" w:color="FF0000"/>
        </w:rPr>
        <w:t>40</w:t>
      </w:r>
      <w:r>
        <w:rPr>
          <w:b/>
          <w:color w:val="FF0000"/>
          <w:spacing w:val="2"/>
          <w:sz w:val="20"/>
          <w:u w:val="single" w:color="FF0000"/>
        </w:rPr>
        <w:t> </w:t>
      </w:r>
      <w:r>
        <w:rPr>
          <w:b/>
          <w:color w:val="FF0000"/>
          <w:sz w:val="20"/>
          <w:u w:val="single" w:color="FF0000"/>
        </w:rPr>
        <w:t>lacs.</w:t>
      </w:r>
    </w:p>
    <w:p>
      <w:pPr>
        <w:spacing w:after="0" w:line="259" w:lineRule="auto"/>
        <w:jc w:val="both"/>
        <w:rPr>
          <w:sz w:val="20"/>
        </w:rPr>
        <w:sectPr>
          <w:pgSz w:w="11910" w:h="16840"/>
          <w:pgMar w:header="764" w:footer="992" w:top="1620" w:bottom="1180" w:left="1340" w:right="660"/>
        </w:sectPr>
      </w:pPr>
    </w:p>
    <w:p>
      <w:pPr>
        <w:pStyle w:val="BodyText"/>
        <w:rPr>
          <w:b/>
          <w:sz w:val="19"/>
        </w:rPr>
      </w:pPr>
    </w:p>
    <w:p>
      <w:pPr>
        <w:pStyle w:val="BodyText"/>
        <w:spacing w:line="261" w:lineRule="auto" w:before="57"/>
        <w:ind w:left="1541" w:right="773"/>
        <w:jc w:val="both"/>
      </w:pPr>
      <w:r>
        <w:rPr>
          <w:color w:val="006FC0"/>
        </w:rPr>
        <w:t>Proviso: - If appeal filed by declarant is finally heard up to 30.06.2019, there will be no disputed amount. Hence no “tax due” in this situation. </w:t>
      </w:r>
      <w:r>
        <w:rPr>
          <w:color w:val="006FC0"/>
          <w:u w:val="single" w:color="006FC0"/>
        </w:rPr>
        <w:t>However, amount</w:t>
      </w:r>
      <w:r>
        <w:rPr>
          <w:color w:val="006FC0"/>
        </w:rPr>
        <w:t> </w:t>
      </w:r>
      <w:r>
        <w:rPr>
          <w:color w:val="006FC0"/>
          <w:u w:val="single" w:color="006FC0"/>
        </w:rPr>
        <w:t>demanded in final hearing under this situation will be the “amount in arrears”.</w:t>
      </w:r>
    </w:p>
    <w:p>
      <w:pPr>
        <w:pStyle w:val="ListParagraph"/>
        <w:numPr>
          <w:ilvl w:val="0"/>
          <w:numId w:val="5"/>
        </w:numPr>
        <w:tabs>
          <w:tab w:pos="1181" w:val="left" w:leader="none"/>
        </w:tabs>
        <w:spacing w:line="240" w:lineRule="auto" w:before="149" w:after="0"/>
        <w:ind w:left="1181" w:right="0" w:hanging="360"/>
        <w:jc w:val="left"/>
        <w:rPr>
          <w:sz w:val="22"/>
        </w:rPr>
      </w:pPr>
      <w:r>
        <w:rPr>
          <w:color w:val="006FC0"/>
          <w:sz w:val="22"/>
        </w:rPr>
        <w:t>Where</w:t>
      </w:r>
      <w:r>
        <w:rPr>
          <w:color w:val="006FC0"/>
          <w:spacing w:val="-12"/>
          <w:sz w:val="22"/>
        </w:rPr>
        <w:t> </w:t>
      </w:r>
      <w:r>
        <w:rPr>
          <w:color w:val="006FC0"/>
          <w:sz w:val="22"/>
        </w:rPr>
        <w:t>a</w:t>
      </w:r>
      <w:r>
        <w:rPr>
          <w:color w:val="006FC0"/>
          <w:spacing w:val="-12"/>
          <w:sz w:val="22"/>
        </w:rPr>
        <w:t> </w:t>
      </w:r>
      <w:r>
        <w:rPr>
          <w:color w:val="006FC0"/>
          <w:sz w:val="22"/>
        </w:rPr>
        <w:t>SCN</w:t>
      </w:r>
      <w:r>
        <w:rPr>
          <w:color w:val="006FC0"/>
          <w:spacing w:val="-11"/>
          <w:sz w:val="22"/>
        </w:rPr>
        <w:t> </w:t>
      </w:r>
      <w:r>
        <w:rPr>
          <w:color w:val="006FC0"/>
          <w:sz w:val="22"/>
        </w:rPr>
        <w:t>has</w:t>
      </w:r>
      <w:r>
        <w:rPr>
          <w:color w:val="006FC0"/>
          <w:spacing w:val="-13"/>
          <w:sz w:val="22"/>
        </w:rPr>
        <w:t> </w:t>
      </w:r>
      <w:r>
        <w:rPr>
          <w:color w:val="006FC0"/>
          <w:sz w:val="22"/>
        </w:rPr>
        <w:t>been</w:t>
      </w:r>
      <w:r>
        <w:rPr>
          <w:color w:val="006FC0"/>
          <w:spacing w:val="-13"/>
          <w:sz w:val="22"/>
        </w:rPr>
        <w:t> </w:t>
      </w:r>
      <w:r>
        <w:rPr>
          <w:color w:val="006FC0"/>
          <w:sz w:val="22"/>
        </w:rPr>
        <w:t>issued</w:t>
      </w:r>
      <w:r>
        <w:rPr>
          <w:color w:val="006FC0"/>
          <w:spacing w:val="-13"/>
          <w:sz w:val="22"/>
        </w:rPr>
        <w:t> </w:t>
      </w:r>
      <w:r>
        <w:rPr>
          <w:color w:val="006FC0"/>
          <w:sz w:val="22"/>
        </w:rPr>
        <w:t>to</w:t>
      </w:r>
      <w:r>
        <w:rPr>
          <w:color w:val="006FC0"/>
          <w:spacing w:val="-9"/>
          <w:sz w:val="22"/>
        </w:rPr>
        <w:t> </w:t>
      </w:r>
      <w:r>
        <w:rPr>
          <w:color w:val="006FC0"/>
          <w:sz w:val="22"/>
        </w:rPr>
        <w:t>declarant</w:t>
      </w:r>
      <w:r>
        <w:rPr>
          <w:color w:val="006FC0"/>
          <w:spacing w:val="-10"/>
          <w:sz w:val="22"/>
        </w:rPr>
        <w:t> </w:t>
      </w:r>
      <w:r>
        <w:rPr>
          <w:color w:val="006FC0"/>
          <w:sz w:val="22"/>
        </w:rPr>
        <w:t>up</w:t>
      </w:r>
      <w:r>
        <w:rPr>
          <w:color w:val="006FC0"/>
          <w:spacing w:val="-8"/>
          <w:sz w:val="22"/>
        </w:rPr>
        <w:t> </w:t>
      </w:r>
      <w:r>
        <w:rPr>
          <w:color w:val="006FC0"/>
          <w:sz w:val="22"/>
        </w:rPr>
        <w:t>to</w:t>
      </w:r>
      <w:r>
        <w:rPr>
          <w:color w:val="006FC0"/>
          <w:spacing w:val="-8"/>
          <w:sz w:val="22"/>
        </w:rPr>
        <w:t> </w:t>
      </w:r>
      <w:r>
        <w:rPr>
          <w:color w:val="006FC0"/>
          <w:sz w:val="22"/>
        </w:rPr>
        <w:t>30.06.2019</w:t>
      </w:r>
      <w:r>
        <w:rPr>
          <w:color w:val="006FC0"/>
          <w:spacing w:val="-8"/>
          <w:sz w:val="22"/>
        </w:rPr>
        <w:t> </w:t>
      </w:r>
      <w:r>
        <w:rPr>
          <w:color w:val="006FC0"/>
          <w:sz w:val="22"/>
        </w:rPr>
        <w:t>under</w:t>
      </w:r>
      <w:r>
        <w:rPr>
          <w:color w:val="006FC0"/>
          <w:spacing w:val="-12"/>
          <w:sz w:val="22"/>
        </w:rPr>
        <w:t> </w:t>
      </w:r>
      <w:r>
        <w:rPr>
          <w:color w:val="006FC0"/>
          <w:sz w:val="22"/>
        </w:rPr>
        <w:t>indirect</w:t>
      </w:r>
      <w:r>
        <w:rPr>
          <w:color w:val="006FC0"/>
          <w:spacing w:val="-9"/>
          <w:sz w:val="22"/>
        </w:rPr>
        <w:t> </w:t>
      </w:r>
      <w:r>
        <w:rPr>
          <w:color w:val="006FC0"/>
          <w:sz w:val="22"/>
        </w:rPr>
        <w:t>tax</w:t>
      </w:r>
      <w:r>
        <w:rPr>
          <w:color w:val="006FC0"/>
          <w:spacing w:val="-12"/>
          <w:sz w:val="22"/>
        </w:rPr>
        <w:t> </w:t>
      </w:r>
      <w:r>
        <w:rPr>
          <w:color w:val="006FC0"/>
          <w:sz w:val="22"/>
        </w:rPr>
        <w:t>enactment,</w:t>
      </w:r>
    </w:p>
    <w:p>
      <w:pPr>
        <w:pStyle w:val="BodyText"/>
        <w:spacing w:before="24"/>
        <w:ind w:left="1181"/>
      </w:pPr>
      <w:r>
        <w:rPr>
          <w:b/>
          <w:color w:val="FF0000"/>
          <w:u w:val="single" w:color="FF0000"/>
        </w:rPr>
        <w:t>duty stated</w:t>
      </w:r>
      <w:r>
        <w:rPr>
          <w:b/>
          <w:color w:val="FF0000"/>
        </w:rPr>
        <w:t> </w:t>
      </w:r>
      <w:r>
        <w:rPr>
          <w:color w:val="006FC0"/>
        </w:rPr>
        <w:t>to be payable in said SCN shall be the “tax due”.</w:t>
      </w:r>
    </w:p>
    <w:p>
      <w:pPr>
        <w:pStyle w:val="BodyText"/>
        <w:spacing w:before="7"/>
        <w:rPr>
          <w:sz w:val="20"/>
        </w:rPr>
      </w:pPr>
    </w:p>
    <w:p>
      <w:pPr>
        <w:pStyle w:val="BodyText"/>
        <w:spacing w:line="261" w:lineRule="auto" w:before="57"/>
        <w:ind w:left="1181" w:right="769"/>
        <w:jc w:val="both"/>
      </w:pPr>
      <w:r>
        <w:rPr>
          <w:color w:val="006FC0"/>
        </w:rPr>
        <w:t>Proviso: - If said SCN has been issued to the declarant and other persons making them jointly</w:t>
      </w:r>
      <w:r>
        <w:rPr>
          <w:color w:val="006FC0"/>
          <w:spacing w:val="-8"/>
        </w:rPr>
        <w:t> </w:t>
      </w:r>
      <w:r>
        <w:rPr>
          <w:color w:val="006FC0"/>
        </w:rPr>
        <w:t>or</w:t>
      </w:r>
      <w:r>
        <w:rPr>
          <w:color w:val="006FC0"/>
          <w:spacing w:val="-8"/>
        </w:rPr>
        <w:t> </w:t>
      </w:r>
      <w:r>
        <w:rPr>
          <w:color w:val="006FC0"/>
        </w:rPr>
        <w:t>severally</w:t>
      </w:r>
      <w:r>
        <w:rPr>
          <w:color w:val="006FC0"/>
          <w:spacing w:val="-13"/>
        </w:rPr>
        <w:t> </w:t>
      </w:r>
      <w:r>
        <w:rPr>
          <w:color w:val="006FC0"/>
        </w:rPr>
        <w:t>liable</w:t>
      </w:r>
      <w:r>
        <w:rPr>
          <w:color w:val="006FC0"/>
          <w:spacing w:val="-7"/>
        </w:rPr>
        <w:t> </w:t>
      </w:r>
      <w:r>
        <w:rPr>
          <w:color w:val="006FC0"/>
        </w:rPr>
        <w:t>for</w:t>
      </w:r>
      <w:r>
        <w:rPr>
          <w:color w:val="006FC0"/>
          <w:spacing w:val="-9"/>
        </w:rPr>
        <w:t> </w:t>
      </w:r>
      <w:r>
        <w:rPr>
          <w:color w:val="006FC0"/>
        </w:rPr>
        <w:t>an</w:t>
      </w:r>
      <w:r>
        <w:rPr>
          <w:color w:val="006FC0"/>
          <w:spacing w:val="-9"/>
        </w:rPr>
        <w:t> </w:t>
      </w:r>
      <w:r>
        <w:rPr>
          <w:color w:val="006FC0"/>
        </w:rPr>
        <w:t>amount,</w:t>
      </w:r>
      <w:r>
        <w:rPr>
          <w:color w:val="006FC0"/>
          <w:spacing w:val="-8"/>
        </w:rPr>
        <w:t> </w:t>
      </w:r>
      <w:r>
        <w:rPr>
          <w:color w:val="FF0000"/>
        </w:rPr>
        <w:t>amount</w:t>
      </w:r>
      <w:r>
        <w:rPr>
          <w:color w:val="FF0000"/>
          <w:spacing w:val="-10"/>
        </w:rPr>
        <w:t> </w:t>
      </w:r>
      <w:r>
        <w:rPr>
          <w:color w:val="FF0000"/>
        </w:rPr>
        <w:t>payable</w:t>
      </w:r>
      <w:r>
        <w:rPr>
          <w:color w:val="FF0000"/>
          <w:spacing w:val="-8"/>
        </w:rPr>
        <w:t> </w:t>
      </w:r>
      <w:r>
        <w:rPr>
          <w:color w:val="FF0000"/>
        </w:rPr>
        <w:t>jointly</w:t>
      </w:r>
      <w:r>
        <w:rPr>
          <w:color w:val="FF0000"/>
          <w:spacing w:val="-7"/>
        </w:rPr>
        <w:t> </w:t>
      </w:r>
      <w:r>
        <w:rPr>
          <w:color w:val="FF0000"/>
        </w:rPr>
        <w:t>or</w:t>
      </w:r>
      <w:r>
        <w:rPr>
          <w:color w:val="FF0000"/>
          <w:spacing w:val="-9"/>
        </w:rPr>
        <w:t> </w:t>
      </w:r>
      <w:r>
        <w:rPr>
          <w:color w:val="FF0000"/>
        </w:rPr>
        <w:t>severally</w:t>
      </w:r>
      <w:r>
        <w:rPr>
          <w:color w:val="FF0000"/>
          <w:spacing w:val="-5"/>
        </w:rPr>
        <w:t> </w:t>
      </w:r>
      <w:r>
        <w:rPr>
          <w:color w:val="006FC0"/>
        </w:rPr>
        <w:t>shall</w:t>
      </w:r>
      <w:r>
        <w:rPr>
          <w:color w:val="006FC0"/>
          <w:spacing w:val="-7"/>
        </w:rPr>
        <w:t> </w:t>
      </w:r>
      <w:r>
        <w:rPr>
          <w:color w:val="006FC0"/>
        </w:rPr>
        <w:t>be</w:t>
      </w:r>
      <w:r>
        <w:rPr>
          <w:color w:val="006FC0"/>
          <w:spacing w:val="-7"/>
        </w:rPr>
        <w:t> </w:t>
      </w:r>
      <w:r>
        <w:rPr>
          <w:color w:val="006FC0"/>
        </w:rPr>
        <w:t>taken as disputed amount and it is</w:t>
      </w:r>
      <w:r>
        <w:rPr>
          <w:color w:val="006FC0"/>
          <w:u w:val="single" w:color="006FC0"/>
        </w:rPr>
        <w:t> </w:t>
      </w:r>
      <w:r>
        <w:rPr>
          <w:b/>
          <w:color w:val="006FC0"/>
          <w:u w:val="single" w:color="006FC0"/>
        </w:rPr>
        <w:t>“tax</w:t>
      </w:r>
      <w:r>
        <w:rPr>
          <w:b/>
          <w:color w:val="006FC0"/>
          <w:spacing w:val="-14"/>
          <w:u w:val="single" w:color="006FC0"/>
        </w:rPr>
        <w:t> </w:t>
      </w:r>
      <w:r>
        <w:rPr>
          <w:b/>
          <w:color w:val="006FC0"/>
          <w:u w:val="single" w:color="006FC0"/>
        </w:rPr>
        <w:t>due”</w:t>
      </w:r>
      <w:r>
        <w:rPr>
          <w:color w:val="006FC0"/>
        </w:rPr>
        <w:t>.</w:t>
      </w:r>
    </w:p>
    <w:p>
      <w:pPr>
        <w:pStyle w:val="ListParagraph"/>
        <w:numPr>
          <w:ilvl w:val="0"/>
          <w:numId w:val="7"/>
        </w:numPr>
        <w:tabs>
          <w:tab w:pos="1229" w:val="left" w:leader="none"/>
        </w:tabs>
        <w:spacing w:line="261" w:lineRule="auto" w:before="154" w:after="0"/>
        <w:ind w:left="1181" w:right="775" w:hanging="360"/>
        <w:jc w:val="left"/>
        <w:rPr>
          <w:b/>
          <w:sz w:val="22"/>
        </w:rPr>
      </w:pPr>
      <w:r>
        <w:rPr/>
        <w:tab/>
      </w:r>
      <w:r>
        <w:rPr>
          <w:color w:val="006FC0"/>
          <w:sz w:val="22"/>
        </w:rPr>
        <w:t>Where any enquiry, investigation or audit is pending under Indirect Tax Enactment and duty payable amount has been</w:t>
      </w:r>
      <w:r>
        <w:rPr>
          <w:color w:val="FF0000"/>
          <w:sz w:val="22"/>
        </w:rPr>
        <w:t> </w:t>
      </w:r>
      <w:r>
        <w:rPr>
          <w:b/>
          <w:color w:val="FF0000"/>
          <w:sz w:val="22"/>
          <w:u w:val="single" w:color="FF0000"/>
        </w:rPr>
        <w:t>quantified</w:t>
      </w:r>
      <w:r>
        <w:rPr>
          <w:color w:val="006FC0"/>
          <w:sz w:val="22"/>
        </w:rPr>
        <w:t>, such quantified amount is</w:t>
      </w:r>
      <w:r>
        <w:rPr>
          <w:color w:val="006FC0"/>
          <w:sz w:val="22"/>
          <w:u w:val="single" w:color="006FC0"/>
        </w:rPr>
        <w:t> </w:t>
      </w:r>
      <w:r>
        <w:rPr>
          <w:b/>
          <w:color w:val="006FC0"/>
          <w:sz w:val="22"/>
          <w:u w:val="single" w:color="006FC0"/>
        </w:rPr>
        <w:t>“tax</w:t>
      </w:r>
      <w:r>
        <w:rPr>
          <w:b/>
          <w:color w:val="006FC0"/>
          <w:spacing w:val="-27"/>
          <w:sz w:val="22"/>
          <w:u w:val="single" w:color="006FC0"/>
        </w:rPr>
        <w:t> </w:t>
      </w:r>
      <w:r>
        <w:rPr>
          <w:b/>
          <w:color w:val="006FC0"/>
          <w:sz w:val="22"/>
          <w:u w:val="single" w:color="006FC0"/>
        </w:rPr>
        <w:t>due”.</w:t>
      </w:r>
    </w:p>
    <w:p>
      <w:pPr>
        <w:pStyle w:val="ListParagraph"/>
        <w:numPr>
          <w:ilvl w:val="0"/>
          <w:numId w:val="7"/>
        </w:numPr>
        <w:tabs>
          <w:tab w:pos="1181" w:val="left" w:leader="none"/>
        </w:tabs>
        <w:spacing w:line="256" w:lineRule="auto" w:before="154" w:after="0"/>
        <w:ind w:left="1181" w:right="772" w:hanging="360"/>
        <w:jc w:val="left"/>
        <w:rPr>
          <w:sz w:val="22"/>
        </w:rPr>
      </w:pPr>
      <w:r>
        <w:rPr>
          <w:color w:val="006FC0"/>
          <w:sz w:val="22"/>
        </w:rPr>
        <w:t>Where declarant has voluntary disclosed the amount, the “</w:t>
      </w:r>
      <w:r>
        <w:rPr>
          <w:b/>
          <w:color w:val="006FC0"/>
          <w:sz w:val="22"/>
          <w:u w:val="single" w:color="006FC0"/>
        </w:rPr>
        <w:t>tax due</w:t>
      </w:r>
      <w:r>
        <w:rPr>
          <w:color w:val="006FC0"/>
          <w:sz w:val="22"/>
        </w:rPr>
        <w:t>” shall be the amount which is </w:t>
      </w:r>
      <w:r>
        <w:rPr>
          <w:color w:val="FF0000"/>
          <w:sz w:val="22"/>
        </w:rPr>
        <w:t>stated declared </w:t>
      </w:r>
      <w:r>
        <w:rPr>
          <w:color w:val="006FC0"/>
          <w:sz w:val="22"/>
        </w:rPr>
        <w:t>in</w:t>
      </w:r>
      <w:r>
        <w:rPr>
          <w:color w:val="006FC0"/>
          <w:spacing w:val="-12"/>
          <w:sz w:val="22"/>
        </w:rPr>
        <w:t> </w:t>
      </w:r>
      <w:r>
        <w:rPr>
          <w:color w:val="006FC0"/>
          <w:sz w:val="22"/>
        </w:rPr>
        <w:t>declaration.</w:t>
      </w:r>
    </w:p>
    <w:p>
      <w:pPr>
        <w:pStyle w:val="BodyText"/>
        <w:spacing w:before="1"/>
        <w:rPr>
          <w:sz w:val="24"/>
        </w:rPr>
      </w:pPr>
    </w:p>
    <w:p>
      <w:pPr>
        <w:pStyle w:val="ListParagraph"/>
        <w:numPr>
          <w:ilvl w:val="0"/>
          <w:numId w:val="7"/>
        </w:numPr>
        <w:tabs>
          <w:tab w:pos="1181" w:val="left" w:leader="none"/>
        </w:tabs>
        <w:spacing w:line="240" w:lineRule="auto" w:before="0" w:after="0"/>
        <w:ind w:left="1181" w:right="0" w:hanging="360"/>
        <w:jc w:val="left"/>
        <w:rPr>
          <w:sz w:val="22"/>
        </w:rPr>
      </w:pPr>
      <w:r>
        <w:rPr>
          <w:color w:val="006FC0"/>
          <w:sz w:val="22"/>
        </w:rPr>
        <w:t>Amount in arrears relating to declarant is due,</w:t>
      </w:r>
      <w:r>
        <w:rPr>
          <w:color w:val="006FC0"/>
          <w:sz w:val="22"/>
          <w:u w:val="single" w:color="006FC0"/>
        </w:rPr>
        <w:t> </w:t>
      </w:r>
      <w:r>
        <w:rPr>
          <w:b/>
          <w:color w:val="006FC0"/>
          <w:sz w:val="22"/>
          <w:u w:val="single" w:color="006FC0"/>
        </w:rPr>
        <w:t>“tax</w:t>
      </w:r>
      <w:r>
        <w:rPr>
          <w:b/>
          <w:color w:val="006FC0"/>
          <w:spacing w:val="-23"/>
          <w:sz w:val="22"/>
          <w:u w:val="single" w:color="006FC0"/>
        </w:rPr>
        <w:t> </w:t>
      </w:r>
      <w:r>
        <w:rPr>
          <w:b/>
          <w:color w:val="006FC0"/>
          <w:sz w:val="22"/>
          <w:u w:val="single" w:color="006FC0"/>
        </w:rPr>
        <w:t>due”</w:t>
      </w:r>
      <w:r>
        <w:rPr>
          <w:color w:val="006FC0"/>
          <w:sz w:val="22"/>
        </w:rPr>
        <w:t>.</w:t>
      </w:r>
    </w:p>
    <w:p>
      <w:pPr>
        <w:pStyle w:val="BodyText"/>
        <w:rPr>
          <w:sz w:val="20"/>
        </w:rPr>
      </w:pPr>
    </w:p>
    <w:p>
      <w:pPr>
        <w:spacing w:before="226"/>
        <w:ind w:left="100" w:right="0" w:firstLine="0"/>
        <w:jc w:val="left"/>
        <w:rPr>
          <w:rFonts w:ascii="Arial Black" w:hAnsi="Arial Black"/>
          <w:sz w:val="20"/>
        </w:rPr>
      </w:pPr>
      <w:r>
        <w:rPr>
          <w:rFonts w:ascii="Arial Black" w:hAnsi="Arial Black"/>
          <w:sz w:val="20"/>
        </w:rPr>
        <w:t>Sec-124 – Relief available under this scheme-</w:t>
      </w:r>
    </w:p>
    <w:p>
      <w:pPr>
        <w:pStyle w:val="BodyText"/>
        <w:spacing w:line="261" w:lineRule="auto" w:before="185"/>
        <w:ind w:left="821" w:right="765"/>
      </w:pPr>
      <w:r>
        <w:rPr>
          <w:b/>
        </w:rPr>
        <w:t>Sec.124(I) </w:t>
      </w:r>
      <w:r>
        <w:rPr>
          <w:color w:val="006FC0"/>
        </w:rPr>
        <w:t>- Subject to the condition specified in Sec.124(2), the relief available to the declarant under this scheme shall be calculated as under: -</w:t>
      </w:r>
    </w:p>
    <w:p>
      <w:pPr>
        <w:pStyle w:val="ListParagraph"/>
        <w:numPr>
          <w:ilvl w:val="1"/>
          <w:numId w:val="7"/>
        </w:numPr>
        <w:tabs>
          <w:tab w:pos="1902" w:val="left" w:leader="none"/>
        </w:tabs>
        <w:spacing w:line="256" w:lineRule="auto" w:before="154" w:after="0"/>
        <w:ind w:left="1901" w:right="781" w:hanging="361"/>
        <w:jc w:val="left"/>
        <w:rPr>
          <w:sz w:val="22"/>
        </w:rPr>
      </w:pPr>
      <w:r>
        <w:rPr>
          <w:color w:val="006FC0"/>
          <w:sz w:val="22"/>
        </w:rPr>
        <w:t>Where</w:t>
      </w:r>
      <w:r>
        <w:rPr>
          <w:color w:val="006FC0"/>
          <w:spacing w:val="-12"/>
          <w:sz w:val="22"/>
        </w:rPr>
        <w:t> </w:t>
      </w:r>
      <w:r>
        <w:rPr>
          <w:b/>
          <w:color w:val="C45811"/>
          <w:sz w:val="22"/>
        </w:rPr>
        <w:t>tax</w:t>
      </w:r>
      <w:r>
        <w:rPr>
          <w:b/>
          <w:color w:val="C45811"/>
          <w:spacing w:val="-14"/>
          <w:sz w:val="22"/>
        </w:rPr>
        <w:t> </w:t>
      </w:r>
      <w:r>
        <w:rPr>
          <w:b/>
          <w:color w:val="C45811"/>
          <w:sz w:val="22"/>
        </w:rPr>
        <w:t>dues</w:t>
      </w:r>
      <w:r>
        <w:rPr>
          <w:b/>
          <w:color w:val="C45811"/>
          <w:spacing w:val="-14"/>
          <w:sz w:val="22"/>
        </w:rPr>
        <w:t> </w:t>
      </w:r>
      <w:r>
        <w:rPr>
          <w:b/>
          <w:color w:val="C45811"/>
          <w:sz w:val="22"/>
        </w:rPr>
        <w:t>are</w:t>
      </w:r>
      <w:r>
        <w:rPr>
          <w:b/>
          <w:color w:val="C45811"/>
          <w:spacing w:val="-8"/>
          <w:sz w:val="22"/>
        </w:rPr>
        <w:t> </w:t>
      </w:r>
      <w:r>
        <w:rPr>
          <w:b/>
          <w:color w:val="C45811"/>
          <w:sz w:val="22"/>
        </w:rPr>
        <w:t>relatable</w:t>
      </w:r>
      <w:r>
        <w:rPr>
          <w:b/>
          <w:color w:val="C45811"/>
          <w:spacing w:val="-11"/>
          <w:sz w:val="22"/>
        </w:rPr>
        <w:t> </w:t>
      </w:r>
      <w:r>
        <w:rPr>
          <w:color w:val="006FC0"/>
          <w:sz w:val="22"/>
        </w:rPr>
        <w:t>to</w:t>
      </w:r>
      <w:r>
        <w:rPr>
          <w:color w:val="006FC0"/>
          <w:spacing w:val="-8"/>
          <w:sz w:val="22"/>
        </w:rPr>
        <w:t> </w:t>
      </w:r>
      <w:r>
        <w:rPr>
          <w:color w:val="006FC0"/>
          <w:sz w:val="22"/>
        </w:rPr>
        <w:t>a</w:t>
      </w:r>
      <w:r>
        <w:rPr>
          <w:color w:val="006FC0"/>
          <w:spacing w:val="-7"/>
          <w:sz w:val="22"/>
        </w:rPr>
        <w:t> </w:t>
      </w:r>
      <w:r>
        <w:rPr>
          <w:b/>
          <w:color w:val="006FC0"/>
          <w:sz w:val="22"/>
          <w:u w:val="single" w:color="006FC0"/>
        </w:rPr>
        <w:t>SCN</w:t>
      </w:r>
      <w:r>
        <w:rPr>
          <w:b/>
          <w:color w:val="006FC0"/>
          <w:spacing w:val="-8"/>
          <w:sz w:val="22"/>
        </w:rPr>
        <w:t> </w:t>
      </w:r>
      <w:r>
        <w:rPr>
          <w:color w:val="006FC0"/>
          <w:sz w:val="22"/>
        </w:rPr>
        <w:t>or</w:t>
      </w:r>
      <w:r>
        <w:rPr>
          <w:color w:val="006FC0"/>
          <w:spacing w:val="-7"/>
          <w:sz w:val="22"/>
        </w:rPr>
        <w:t> </w:t>
      </w:r>
      <w:r>
        <w:rPr>
          <w:b/>
          <w:color w:val="006FC0"/>
          <w:sz w:val="22"/>
          <w:u w:val="single" w:color="006FC0"/>
        </w:rPr>
        <w:t>one</w:t>
      </w:r>
      <w:r>
        <w:rPr>
          <w:b/>
          <w:color w:val="006FC0"/>
          <w:spacing w:val="-13"/>
          <w:sz w:val="22"/>
          <w:u w:val="single" w:color="006FC0"/>
        </w:rPr>
        <w:t> </w:t>
      </w:r>
      <w:r>
        <w:rPr>
          <w:b/>
          <w:color w:val="006FC0"/>
          <w:sz w:val="22"/>
          <w:u w:val="single" w:color="006FC0"/>
        </w:rPr>
        <w:t>or</w:t>
      </w:r>
      <w:r>
        <w:rPr>
          <w:b/>
          <w:color w:val="006FC0"/>
          <w:spacing w:val="-9"/>
          <w:sz w:val="22"/>
          <w:u w:val="single" w:color="006FC0"/>
        </w:rPr>
        <w:t> </w:t>
      </w:r>
      <w:r>
        <w:rPr>
          <w:b/>
          <w:color w:val="006FC0"/>
          <w:sz w:val="22"/>
          <w:u w:val="single" w:color="006FC0"/>
        </w:rPr>
        <w:t>more</w:t>
      </w:r>
      <w:r>
        <w:rPr>
          <w:b/>
          <w:color w:val="006FC0"/>
          <w:spacing w:val="-8"/>
          <w:sz w:val="22"/>
          <w:u w:val="single" w:color="006FC0"/>
        </w:rPr>
        <w:t> </w:t>
      </w:r>
      <w:r>
        <w:rPr>
          <w:b/>
          <w:color w:val="006FC0"/>
          <w:sz w:val="22"/>
          <w:u w:val="single" w:color="006FC0"/>
        </w:rPr>
        <w:t>appeals</w:t>
      </w:r>
      <w:r>
        <w:rPr>
          <w:b/>
          <w:color w:val="006FC0"/>
          <w:spacing w:val="-14"/>
          <w:sz w:val="22"/>
          <w:u w:val="single" w:color="006FC0"/>
        </w:rPr>
        <w:t> </w:t>
      </w:r>
      <w:r>
        <w:rPr>
          <w:b/>
          <w:color w:val="006FC0"/>
          <w:sz w:val="22"/>
          <w:u w:val="single" w:color="006FC0"/>
        </w:rPr>
        <w:t>arising</w:t>
      </w:r>
      <w:r>
        <w:rPr>
          <w:b/>
          <w:color w:val="006FC0"/>
          <w:spacing w:val="-6"/>
          <w:sz w:val="22"/>
          <w:u w:val="single" w:color="006FC0"/>
        </w:rPr>
        <w:t> </w:t>
      </w:r>
      <w:r>
        <w:rPr>
          <w:b/>
          <w:color w:val="006FC0"/>
          <w:sz w:val="22"/>
          <w:u w:val="single" w:color="006FC0"/>
        </w:rPr>
        <w:t>out</w:t>
      </w:r>
      <w:r>
        <w:rPr>
          <w:b/>
          <w:color w:val="006FC0"/>
          <w:spacing w:val="-11"/>
          <w:sz w:val="22"/>
          <w:u w:val="single" w:color="006FC0"/>
        </w:rPr>
        <w:t> </w:t>
      </w:r>
      <w:r>
        <w:rPr>
          <w:b/>
          <w:color w:val="006FC0"/>
          <w:sz w:val="22"/>
          <w:u w:val="single" w:color="006FC0"/>
        </w:rPr>
        <w:t>of</w:t>
      </w:r>
      <w:r>
        <w:rPr>
          <w:b/>
          <w:color w:val="006FC0"/>
          <w:spacing w:val="-10"/>
          <w:sz w:val="22"/>
          <w:u w:val="single" w:color="006FC0"/>
        </w:rPr>
        <w:t> </w:t>
      </w:r>
      <w:r>
        <w:rPr>
          <w:b/>
          <w:color w:val="006FC0"/>
          <w:sz w:val="22"/>
          <w:u w:val="single" w:color="006FC0"/>
        </w:rPr>
        <w:t>such SCN</w:t>
      </w:r>
      <w:r>
        <w:rPr>
          <w:b/>
          <w:color w:val="006FC0"/>
          <w:sz w:val="22"/>
        </w:rPr>
        <w:t> </w:t>
      </w:r>
      <w:r>
        <w:rPr>
          <w:color w:val="006FC0"/>
          <w:sz w:val="22"/>
        </w:rPr>
        <w:t>and the same are pending as on 30.06.2019, relief amount shall be:</w:t>
      </w:r>
      <w:r>
        <w:rPr>
          <w:color w:val="006FC0"/>
          <w:spacing w:val="-25"/>
          <w:sz w:val="22"/>
        </w:rPr>
        <w:t> </w:t>
      </w:r>
      <w:r>
        <w:rPr>
          <w:color w:val="006FC0"/>
          <w:sz w:val="22"/>
        </w:rPr>
        <w:t>-</w:t>
      </w:r>
    </w:p>
    <w:p>
      <w:pPr>
        <w:pStyle w:val="BodyText"/>
        <w:spacing w:before="6"/>
        <w:rPr>
          <w:sz w:val="19"/>
        </w:rPr>
      </w:pPr>
    </w:p>
    <w:p>
      <w:pPr>
        <w:pStyle w:val="ListParagraph"/>
        <w:numPr>
          <w:ilvl w:val="2"/>
          <w:numId w:val="7"/>
        </w:numPr>
        <w:tabs>
          <w:tab w:pos="2981" w:val="left" w:leader="none"/>
          <w:tab w:pos="2982" w:val="left" w:leader="none"/>
        </w:tabs>
        <w:spacing w:line="261" w:lineRule="auto" w:before="56" w:after="0"/>
        <w:ind w:left="2981" w:right="922" w:hanging="720"/>
        <w:jc w:val="left"/>
        <w:rPr>
          <w:b/>
          <w:color w:val="C45811"/>
          <w:sz w:val="22"/>
        </w:rPr>
      </w:pPr>
      <w:r>
        <w:rPr>
          <w:color w:val="006FC0"/>
          <w:sz w:val="22"/>
        </w:rPr>
        <w:t>70% of tax dues, if amount of duty is </w:t>
      </w:r>
      <w:r>
        <w:rPr>
          <w:b/>
          <w:color w:val="006FC0"/>
          <w:sz w:val="22"/>
        </w:rPr>
        <w:t>up to Rs.50 lacs</w:t>
      </w:r>
      <w:r>
        <w:rPr>
          <w:b/>
          <w:color w:val="C45811"/>
          <w:sz w:val="22"/>
        </w:rPr>
        <w:t> </w:t>
      </w:r>
      <w:r>
        <w:rPr>
          <w:b/>
          <w:color w:val="C45811"/>
          <w:sz w:val="22"/>
          <w:u w:val="single" w:color="C45811"/>
        </w:rPr>
        <w:t>(i.e. only 30% is required to be</w:t>
      </w:r>
      <w:r>
        <w:rPr>
          <w:b/>
          <w:color w:val="C45811"/>
          <w:spacing w:val="-7"/>
          <w:sz w:val="22"/>
          <w:u w:val="single" w:color="C45811"/>
        </w:rPr>
        <w:t> </w:t>
      </w:r>
      <w:r>
        <w:rPr>
          <w:b/>
          <w:color w:val="C45811"/>
          <w:sz w:val="22"/>
          <w:u w:val="single" w:color="C45811"/>
        </w:rPr>
        <w:t>paid).</w:t>
      </w:r>
    </w:p>
    <w:p>
      <w:pPr>
        <w:pStyle w:val="ListParagraph"/>
        <w:numPr>
          <w:ilvl w:val="2"/>
          <w:numId w:val="7"/>
        </w:numPr>
        <w:tabs>
          <w:tab w:pos="2981" w:val="left" w:leader="none"/>
          <w:tab w:pos="2982" w:val="left" w:leader="none"/>
        </w:tabs>
        <w:spacing w:line="256" w:lineRule="auto" w:before="0" w:after="0"/>
        <w:ind w:left="2981" w:right="877" w:hanging="720"/>
        <w:jc w:val="left"/>
        <w:rPr>
          <w:b/>
          <w:color w:val="C45811"/>
          <w:sz w:val="22"/>
        </w:rPr>
      </w:pPr>
      <w:r>
        <w:rPr>
          <w:color w:val="006FC0"/>
          <w:sz w:val="22"/>
        </w:rPr>
        <w:t>50% of tax dues, if amount of duty is </w:t>
      </w:r>
      <w:r>
        <w:rPr>
          <w:b/>
          <w:color w:val="006FC0"/>
          <w:sz w:val="22"/>
        </w:rPr>
        <w:t>more than Rs.50 lacs</w:t>
      </w:r>
      <w:r>
        <w:rPr>
          <w:b/>
          <w:color w:val="C45811"/>
          <w:sz w:val="22"/>
        </w:rPr>
        <w:t> </w:t>
      </w:r>
      <w:r>
        <w:rPr>
          <w:b/>
          <w:color w:val="C45811"/>
          <w:sz w:val="22"/>
          <w:u w:val="single" w:color="C45811"/>
        </w:rPr>
        <w:t>(i.e. only 50% is required to be</w:t>
      </w:r>
      <w:r>
        <w:rPr>
          <w:b/>
          <w:color w:val="C45811"/>
          <w:spacing w:val="-8"/>
          <w:sz w:val="22"/>
          <w:u w:val="single" w:color="C45811"/>
        </w:rPr>
        <w:t> </w:t>
      </w:r>
      <w:r>
        <w:rPr>
          <w:b/>
          <w:color w:val="C45811"/>
          <w:sz w:val="22"/>
          <w:u w:val="single" w:color="C45811"/>
        </w:rPr>
        <w:t>paid).</w:t>
      </w:r>
    </w:p>
    <w:p>
      <w:pPr>
        <w:pStyle w:val="BodyText"/>
        <w:spacing w:before="4"/>
        <w:rPr>
          <w:b/>
          <w:sz w:val="20"/>
        </w:rPr>
      </w:pPr>
      <w:r>
        <w:rPr/>
        <w:pict>
          <v:shape style="position:absolute;margin-left:187.509995pt;margin-top:14.651011pt;width:369.3pt;height:61.75pt;mso-position-horizontal-relative:page;mso-position-vertical-relative:paragraph;z-index:-251657216;mso-wrap-distance-left:0;mso-wrap-distance-right:0" type="#_x0000_t202" filled="false" stroked="true" strokeweight=".47998pt" strokecolor="#000000">
            <v:textbox inset="0,0,0,0">
              <w:txbxContent>
                <w:p>
                  <w:pPr>
                    <w:spacing w:before="2"/>
                    <w:ind w:left="105" w:right="0" w:firstLine="0"/>
                    <w:jc w:val="left"/>
                    <w:rPr>
                      <w:b/>
                      <w:sz w:val="20"/>
                    </w:rPr>
                  </w:pPr>
                  <w:r>
                    <w:rPr>
                      <w:sz w:val="20"/>
                    </w:rPr>
                    <w:t>“Amount of Duty” for clause (a) is </w:t>
                  </w:r>
                  <w:r>
                    <w:rPr>
                      <w:b/>
                      <w:sz w:val="20"/>
                      <w:u w:val="single"/>
                    </w:rPr>
                    <w:t>total disputed duty.</w:t>
                  </w:r>
                </w:p>
                <w:p>
                  <w:pPr>
                    <w:spacing w:line="240" w:lineRule="auto" w:before="1"/>
                    <w:ind w:left="105" w:right="175" w:firstLine="0"/>
                    <w:jc w:val="left"/>
                    <w:rPr>
                      <w:sz w:val="20"/>
                    </w:rPr>
                  </w:pPr>
                  <w:r>
                    <w:rPr>
                      <w:sz w:val="20"/>
                    </w:rPr>
                    <w:t>Example: - Mr. A filed an appeal for a disputed amount of Rs.70 lacs and pre-deposit amount is Rs.25 lacs. In this case </w:t>
                  </w:r>
                  <w:r>
                    <w:rPr>
                      <w:sz w:val="20"/>
                      <w:u w:val="single"/>
                    </w:rPr>
                    <w:t>amount of duty</w:t>
                  </w:r>
                  <w:r>
                    <w:rPr>
                      <w:sz w:val="20"/>
                    </w:rPr>
                    <w:t> shall be Rs.70 lacs and relief will Rs.35 lacs (i.e. 50% of amount of duty {para 2(iv) of Circular No.1072/05/2019-CX dated 25.09.2019}).</w:t>
                  </w:r>
                </w:p>
              </w:txbxContent>
            </v:textbox>
            <v:stroke dashstyle="solid"/>
            <w10:wrap type="topAndBottom"/>
          </v:shape>
        </w:pict>
      </w:r>
    </w:p>
    <w:p>
      <w:pPr>
        <w:pStyle w:val="BodyText"/>
        <w:spacing w:before="9"/>
        <w:rPr>
          <w:b/>
          <w:sz w:val="16"/>
        </w:rPr>
      </w:pPr>
    </w:p>
    <w:p>
      <w:pPr>
        <w:pStyle w:val="ListParagraph"/>
        <w:numPr>
          <w:ilvl w:val="1"/>
          <w:numId w:val="7"/>
        </w:numPr>
        <w:tabs>
          <w:tab w:pos="1902" w:val="left" w:leader="none"/>
        </w:tabs>
        <w:spacing w:line="259" w:lineRule="auto" w:before="56" w:after="0"/>
        <w:ind w:left="1901" w:right="773" w:hanging="361"/>
        <w:jc w:val="both"/>
        <w:rPr>
          <w:b/>
          <w:sz w:val="22"/>
        </w:rPr>
      </w:pPr>
      <w:r>
        <w:rPr>
          <w:color w:val="006FC0"/>
          <w:sz w:val="22"/>
        </w:rPr>
        <w:t>Where </w:t>
      </w:r>
      <w:r>
        <w:rPr>
          <w:b/>
          <w:color w:val="C45811"/>
          <w:sz w:val="22"/>
        </w:rPr>
        <w:t>tax dues are relatable </w:t>
      </w:r>
      <w:r>
        <w:rPr>
          <w:color w:val="006FC0"/>
          <w:sz w:val="22"/>
        </w:rPr>
        <w:t>to a </w:t>
      </w:r>
      <w:r>
        <w:rPr>
          <w:b/>
          <w:color w:val="006FC0"/>
          <w:sz w:val="22"/>
          <w:u w:val="single" w:color="006FC0"/>
        </w:rPr>
        <w:t>SCN</w:t>
      </w:r>
      <w:r>
        <w:rPr>
          <w:b/>
          <w:color w:val="006FC0"/>
          <w:sz w:val="22"/>
        </w:rPr>
        <w:t> </w:t>
      </w:r>
      <w:r>
        <w:rPr>
          <w:color w:val="006FC0"/>
          <w:sz w:val="22"/>
        </w:rPr>
        <w:t>for </w:t>
      </w:r>
      <w:r>
        <w:rPr>
          <w:b/>
          <w:color w:val="FF0000"/>
          <w:sz w:val="22"/>
        </w:rPr>
        <w:t>late fee or penalty only </w:t>
      </w:r>
      <w:r>
        <w:rPr>
          <w:b/>
          <w:color w:val="006FC0"/>
          <w:sz w:val="22"/>
        </w:rPr>
        <w:t>and SCN is </w:t>
      </w:r>
      <w:r>
        <w:rPr>
          <w:color w:val="006FC0"/>
          <w:sz w:val="22"/>
        </w:rPr>
        <w:t>issued only to collect late fee or penalty</w:t>
      </w:r>
      <w:r>
        <w:rPr>
          <w:b/>
          <w:color w:val="006FC0"/>
          <w:sz w:val="22"/>
        </w:rPr>
        <w:t>, </w:t>
      </w:r>
      <w:r>
        <w:rPr>
          <w:b/>
          <w:color w:val="006FC0"/>
          <w:sz w:val="22"/>
          <w:u w:val="single" w:color="006FC0"/>
        </w:rPr>
        <w:t>entire amount of late fee or penalty</w:t>
      </w:r>
      <w:r>
        <w:rPr>
          <w:b/>
          <w:color w:val="006FC0"/>
          <w:sz w:val="22"/>
        </w:rPr>
        <w:t> </w:t>
      </w:r>
      <w:r>
        <w:rPr>
          <w:color w:val="006FC0"/>
          <w:sz w:val="22"/>
        </w:rPr>
        <w:t>shall be termed as</w:t>
      </w:r>
      <w:r>
        <w:rPr>
          <w:color w:val="006FC0"/>
          <w:spacing w:val="-6"/>
          <w:sz w:val="22"/>
        </w:rPr>
        <w:t> </w:t>
      </w:r>
      <w:r>
        <w:rPr>
          <w:b/>
          <w:color w:val="006FC0"/>
          <w:sz w:val="22"/>
          <w:u w:val="single" w:color="006FC0"/>
        </w:rPr>
        <w:t>relief</w:t>
      </w:r>
      <w:r>
        <w:rPr>
          <w:b/>
          <w:color w:val="006FC0"/>
          <w:sz w:val="22"/>
        </w:rPr>
        <w:t>.</w:t>
      </w:r>
    </w:p>
    <w:p>
      <w:pPr>
        <w:pStyle w:val="BodyText"/>
        <w:spacing w:before="11"/>
        <w:rPr>
          <w:b/>
          <w:sz w:val="18"/>
        </w:rPr>
      </w:pPr>
    </w:p>
    <w:p>
      <w:pPr>
        <w:pStyle w:val="ListParagraph"/>
        <w:numPr>
          <w:ilvl w:val="1"/>
          <w:numId w:val="7"/>
        </w:numPr>
        <w:tabs>
          <w:tab w:pos="1902" w:val="left" w:leader="none"/>
        </w:tabs>
        <w:spacing w:line="240" w:lineRule="auto" w:before="56" w:after="0"/>
        <w:ind w:left="1901" w:right="0" w:hanging="361"/>
        <w:jc w:val="left"/>
        <w:rPr>
          <w:sz w:val="22"/>
        </w:rPr>
      </w:pPr>
      <w:r>
        <w:rPr>
          <w:color w:val="006FC0"/>
          <w:sz w:val="22"/>
        </w:rPr>
        <w:t>Where </w:t>
      </w:r>
      <w:r>
        <w:rPr>
          <w:b/>
          <w:color w:val="C45811"/>
          <w:sz w:val="22"/>
        </w:rPr>
        <w:t>tax dues are relatable </w:t>
      </w:r>
      <w:r>
        <w:rPr>
          <w:color w:val="006FC0"/>
          <w:sz w:val="22"/>
        </w:rPr>
        <w:t>to an </w:t>
      </w:r>
      <w:r>
        <w:rPr>
          <w:b/>
          <w:color w:val="006FC0"/>
          <w:sz w:val="22"/>
          <w:u w:val="single" w:color="006FC0"/>
        </w:rPr>
        <w:t>amount in arrears</w:t>
      </w:r>
      <w:r>
        <w:rPr>
          <w:color w:val="006FC0"/>
          <w:sz w:val="22"/>
        </w:rPr>
        <w:t>, relief amount shall be:</w:t>
      </w:r>
      <w:r>
        <w:rPr>
          <w:color w:val="006FC0"/>
          <w:spacing w:val="-27"/>
          <w:sz w:val="22"/>
        </w:rPr>
        <w:t> </w:t>
      </w:r>
      <w:r>
        <w:rPr>
          <w:color w:val="006FC0"/>
          <w:sz w:val="22"/>
        </w:rPr>
        <w:t>-</w:t>
      </w:r>
    </w:p>
    <w:p>
      <w:pPr>
        <w:pStyle w:val="BodyText"/>
        <w:rPr>
          <w:sz w:val="21"/>
        </w:rPr>
      </w:pPr>
    </w:p>
    <w:p>
      <w:pPr>
        <w:pStyle w:val="ListParagraph"/>
        <w:numPr>
          <w:ilvl w:val="2"/>
          <w:numId w:val="7"/>
        </w:numPr>
        <w:tabs>
          <w:tab w:pos="2981" w:val="left" w:leader="none"/>
          <w:tab w:pos="2982" w:val="left" w:leader="none"/>
        </w:tabs>
        <w:spacing w:line="261" w:lineRule="auto" w:before="56" w:after="0"/>
        <w:ind w:left="2981" w:right="784" w:hanging="720"/>
        <w:jc w:val="left"/>
        <w:rPr>
          <w:b/>
          <w:color w:val="006FC0"/>
          <w:sz w:val="22"/>
        </w:rPr>
      </w:pPr>
      <w:r>
        <w:rPr>
          <w:color w:val="006FC0"/>
          <w:sz w:val="22"/>
        </w:rPr>
        <w:t>60% of tax dues if amount of duty is </w:t>
      </w:r>
      <w:r>
        <w:rPr>
          <w:b/>
          <w:color w:val="006FC0"/>
          <w:sz w:val="22"/>
        </w:rPr>
        <w:t>up to Rs.50 lacs</w:t>
      </w:r>
      <w:r>
        <w:rPr>
          <w:b/>
          <w:color w:val="C45811"/>
          <w:sz w:val="22"/>
          <w:u w:val="single" w:color="C45811"/>
        </w:rPr>
        <w:t> (i.e. only 40% is required to be</w:t>
      </w:r>
      <w:r>
        <w:rPr>
          <w:b/>
          <w:color w:val="C45811"/>
          <w:spacing w:val="-4"/>
          <w:sz w:val="22"/>
          <w:u w:val="single" w:color="C45811"/>
        </w:rPr>
        <w:t> </w:t>
      </w:r>
      <w:r>
        <w:rPr>
          <w:b/>
          <w:color w:val="C45811"/>
          <w:sz w:val="22"/>
          <w:u w:val="single" w:color="C45811"/>
        </w:rPr>
        <w:t>paid).</w:t>
      </w:r>
    </w:p>
    <w:p>
      <w:pPr>
        <w:pStyle w:val="ListParagraph"/>
        <w:numPr>
          <w:ilvl w:val="2"/>
          <w:numId w:val="7"/>
        </w:numPr>
        <w:tabs>
          <w:tab w:pos="2981" w:val="left" w:leader="none"/>
          <w:tab w:pos="2982" w:val="left" w:leader="none"/>
        </w:tabs>
        <w:spacing w:line="256" w:lineRule="auto" w:before="0" w:after="0"/>
        <w:ind w:left="2981" w:right="877" w:hanging="720"/>
        <w:jc w:val="left"/>
        <w:rPr>
          <w:b/>
          <w:color w:val="006FC0"/>
          <w:sz w:val="22"/>
        </w:rPr>
      </w:pPr>
      <w:r>
        <w:rPr>
          <w:color w:val="006FC0"/>
          <w:sz w:val="22"/>
        </w:rPr>
        <w:t>40% of tax dues, if amount of duty is </w:t>
      </w:r>
      <w:r>
        <w:rPr>
          <w:b/>
          <w:color w:val="006FC0"/>
          <w:sz w:val="22"/>
        </w:rPr>
        <w:t>more than Rs.50 lacs</w:t>
      </w:r>
      <w:r>
        <w:rPr>
          <w:b/>
          <w:color w:val="C45811"/>
          <w:sz w:val="22"/>
        </w:rPr>
        <w:t> </w:t>
      </w:r>
      <w:r>
        <w:rPr>
          <w:b/>
          <w:color w:val="C45811"/>
          <w:sz w:val="22"/>
          <w:u w:val="single" w:color="C45811"/>
        </w:rPr>
        <w:t>(i.e. only 60% is required to be</w:t>
      </w:r>
      <w:r>
        <w:rPr>
          <w:b/>
          <w:color w:val="C45811"/>
          <w:spacing w:val="-7"/>
          <w:sz w:val="22"/>
          <w:u w:val="single" w:color="C45811"/>
        </w:rPr>
        <w:t> </w:t>
      </w:r>
      <w:r>
        <w:rPr>
          <w:b/>
          <w:color w:val="C45811"/>
          <w:sz w:val="22"/>
          <w:u w:val="single" w:color="C45811"/>
        </w:rPr>
        <w:t>paid).</w:t>
      </w:r>
    </w:p>
    <w:p>
      <w:pPr>
        <w:spacing w:after="0" w:line="256" w:lineRule="auto"/>
        <w:jc w:val="left"/>
        <w:rPr>
          <w:sz w:val="22"/>
        </w:rPr>
        <w:sectPr>
          <w:pgSz w:w="11910" w:h="16840"/>
          <w:pgMar w:header="764" w:footer="992" w:top="1620" w:bottom="1180" w:left="1340" w:right="660"/>
        </w:sectPr>
      </w:pPr>
    </w:p>
    <w:p>
      <w:pPr>
        <w:pStyle w:val="BodyText"/>
        <w:rPr>
          <w:b/>
          <w:sz w:val="20"/>
        </w:rPr>
      </w:pPr>
    </w:p>
    <w:p>
      <w:pPr>
        <w:pStyle w:val="BodyText"/>
        <w:spacing w:before="1"/>
        <w:rPr>
          <w:b/>
          <w:sz w:val="27"/>
        </w:rPr>
      </w:pPr>
    </w:p>
    <w:p>
      <w:pPr>
        <w:pStyle w:val="BodyText"/>
        <w:ind w:left="2261"/>
        <w:rPr>
          <w:sz w:val="20"/>
        </w:rPr>
      </w:pPr>
      <w:r>
        <w:rPr>
          <w:sz w:val="20"/>
        </w:rPr>
        <w:pict>
          <v:shape style="width:342.85pt;height:76.350pt;mso-position-horizontal-relative:char;mso-position-vertical-relative:line" type="#_x0000_t202" filled="false" stroked="true" strokeweight=".48004pt" strokecolor="#000000">
            <w10:anchorlock/>
            <v:textbox inset="0,0,0,0">
              <w:txbxContent>
                <w:p>
                  <w:pPr>
                    <w:spacing w:before="1"/>
                    <w:ind w:left="105" w:right="515" w:firstLine="0"/>
                    <w:jc w:val="left"/>
                    <w:rPr>
                      <w:b/>
                      <w:sz w:val="22"/>
                    </w:rPr>
                  </w:pPr>
                  <w:r>
                    <w:rPr>
                      <w:sz w:val="20"/>
                    </w:rPr>
                    <w:t>“Amount of Duty” for clause (c) is total </w:t>
                  </w:r>
                  <w:r>
                    <w:rPr>
                      <w:b/>
                      <w:sz w:val="22"/>
                      <w:u w:val="single"/>
                    </w:rPr>
                    <w:t>disputed duty less pre-deposit or</w:t>
                  </w:r>
                  <w:r>
                    <w:rPr>
                      <w:b/>
                      <w:sz w:val="22"/>
                    </w:rPr>
                    <w:t> </w:t>
                  </w:r>
                  <w:r>
                    <w:rPr>
                      <w:b/>
                      <w:sz w:val="22"/>
                      <w:u w:val="single"/>
                    </w:rPr>
                    <w:t>deposit during investigation.</w:t>
                  </w:r>
                </w:p>
                <w:p>
                  <w:pPr>
                    <w:spacing w:before="1"/>
                    <w:ind w:left="105" w:right="214" w:firstLine="0"/>
                    <w:jc w:val="left"/>
                    <w:rPr>
                      <w:sz w:val="20"/>
                    </w:rPr>
                  </w:pPr>
                  <w:r>
                    <w:rPr>
                      <w:sz w:val="20"/>
                    </w:rPr>
                    <w:t>Example: - Mr. A has duty demand of Rs.70 lacs and pre-deposit amount is Rs.25 lacs and no appeal is filed. In this case </w:t>
                  </w:r>
                  <w:r>
                    <w:rPr>
                      <w:sz w:val="20"/>
                      <w:u w:val="single"/>
                    </w:rPr>
                    <w:t>amount of duty </w:t>
                  </w:r>
                  <w:r>
                    <w:rPr>
                      <w:sz w:val="20"/>
                    </w:rPr>
                    <w:t>shall be Rs.45 lacs (70-25) and relief will Rs.27 lacs (i.e. 60% of amount of duty {para 2(iv) of Circular No.1072/05/2019-CX dated 25.09.2019}).</w:t>
                  </w:r>
                </w:p>
              </w:txbxContent>
            </v:textbox>
            <v:stroke dashstyle="solid"/>
          </v:shape>
        </w:pict>
      </w:r>
      <w:r>
        <w:rPr>
          <w:sz w:val="20"/>
        </w:rPr>
      </w:r>
    </w:p>
    <w:p>
      <w:pPr>
        <w:pStyle w:val="BodyText"/>
        <w:spacing w:before="4"/>
        <w:rPr>
          <w:b/>
          <w:sz w:val="29"/>
        </w:rPr>
      </w:pPr>
    </w:p>
    <w:p>
      <w:pPr>
        <w:pStyle w:val="ListParagraph"/>
        <w:numPr>
          <w:ilvl w:val="2"/>
          <w:numId w:val="7"/>
        </w:numPr>
        <w:tabs>
          <w:tab w:pos="2981" w:val="left" w:leader="none"/>
          <w:tab w:pos="2982" w:val="left" w:leader="none"/>
        </w:tabs>
        <w:spacing w:line="261" w:lineRule="auto" w:before="57" w:after="0"/>
        <w:ind w:left="2981" w:right="1040" w:hanging="720"/>
        <w:jc w:val="left"/>
        <w:rPr>
          <w:color w:val="006FC0"/>
          <w:sz w:val="22"/>
        </w:rPr>
      </w:pPr>
      <w:r>
        <w:rPr>
          <w:color w:val="00AFEF"/>
          <w:sz w:val="22"/>
        </w:rPr>
        <w:t>In a return if assesse has indicated an amount of duty payable but not paid, in this case relief amount shall be:</w:t>
      </w:r>
      <w:r>
        <w:rPr>
          <w:color w:val="00AFEF"/>
          <w:spacing w:val="-17"/>
          <w:sz w:val="22"/>
        </w:rPr>
        <w:t> </w:t>
      </w:r>
      <w:r>
        <w:rPr>
          <w:color w:val="00AFEF"/>
          <w:sz w:val="22"/>
        </w:rPr>
        <w:t>-</w:t>
      </w:r>
    </w:p>
    <w:p>
      <w:pPr>
        <w:pStyle w:val="ListParagraph"/>
        <w:numPr>
          <w:ilvl w:val="3"/>
          <w:numId w:val="7"/>
        </w:numPr>
        <w:tabs>
          <w:tab w:pos="3341" w:val="left" w:leader="none"/>
          <w:tab w:pos="3342" w:val="left" w:leader="none"/>
        </w:tabs>
        <w:spacing w:line="261" w:lineRule="auto" w:before="0" w:after="0"/>
        <w:ind w:left="3342" w:right="894" w:hanging="361"/>
        <w:jc w:val="left"/>
        <w:rPr>
          <w:b/>
          <w:sz w:val="22"/>
        </w:rPr>
      </w:pPr>
      <w:r>
        <w:rPr>
          <w:color w:val="006FC0"/>
          <w:sz w:val="22"/>
        </w:rPr>
        <w:t>60% of tax dues, if indicated payable amount is </w:t>
      </w:r>
      <w:r>
        <w:rPr>
          <w:b/>
          <w:color w:val="006FC0"/>
          <w:sz w:val="22"/>
        </w:rPr>
        <w:t>up to Rs.50 lacs</w:t>
      </w:r>
      <w:r>
        <w:rPr>
          <w:b/>
          <w:color w:val="C45811"/>
          <w:sz w:val="22"/>
          <w:u w:val="single" w:color="C45811"/>
        </w:rPr>
        <w:t> (i.e. only 40% is required to be</w:t>
      </w:r>
      <w:r>
        <w:rPr>
          <w:b/>
          <w:color w:val="C45811"/>
          <w:spacing w:val="-12"/>
          <w:sz w:val="22"/>
          <w:u w:val="single" w:color="C45811"/>
        </w:rPr>
        <w:t> </w:t>
      </w:r>
      <w:r>
        <w:rPr>
          <w:b/>
          <w:color w:val="C45811"/>
          <w:sz w:val="22"/>
          <w:u w:val="single" w:color="C45811"/>
        </w:rPr>
        <w:t>paid).</w:t>
      </w:r>
    </w:p>
    <w:p>
      <w:pPr>
        <w:pStyle w:val="BodyText"/>
        <w:spacing w:before="7"/>
        <w:rPr>
          <w:b/>
          <w:sz w:val="15"/>
        </w:rPr>
      </w:pPr>
    </w:p>
    <w:p>
      <w:pPr>
        <w:pStyle w:val="ListParagraph"/>
        <w:numPr>
          <w:ilvl w:val="3"/>
          <w:numId w:val="7"/>
        </w:numPr>
        <w:tabs>
          <w:tab w:pos="3341" w:val="left" w:leader="none"/>
          <w:tab w:pos="3342" w:val="left" w:leader="none"/>
        </w:tabs>
        <w:spacing w:line="261" w:lineRule="auto" w:before="89" w:after="0"/>
        <w:ind w:left="3342" w:right="803" w:hanging="361"/>
        <w:jc w:val="left"/>
        <w:rPr>
          <w:b/>
          <w:sz w:val="22"/>
        </w:rPr>
      </w:pPr>
      <w:r>
        <w:rPr>
          <w:color w:val="006FC0"/>
          <w:sz w:val="22"/>
        </w:rPr>
        <w:t>40% of tax dues, if indicated payable amount is </w:t>
      </w:r>
      <w:r>
        <w:rPr>
          <w:b/>
          <w:color w:val="006FC0"/>
          <w:sz w:val="22"/>
        </w:rPr>
        <w:t>more than Rs.50 lacs</w:t>
      </w:r>
      <w:r>
        <w:rPr>
          <w:b/>
          <w:color w:val="C45811"/>
          <w:sz w:val="22"/>
        </w:rPr>
        <w:t> </w:t>
      </w:r>
      <w:r>
        <w:rPr>
          <w:b/>
          <w:color w:val="C45811"/>
          <w:sz w:val="22"/>
          <w:u w:val="single" w:color="C45811"/>
        </w:rPr>
        <w:t>(i.e. only 60% is required to be</w:t>
      </w:r>
      <w:r>
        <w:rPr>
          <w:b/>
          <w:color w:val="C45811"/>
          <w:spacing w:val="-11"/>
          <w:sz w:val="22"/>
          <w:u w:val="single" w:color="C45811"/>
        </w:rPr>
        <w:t> </w:t>
      </w:r>
      <w:r>
        <w:rPr>
          <w:b/>
          <w:color w:val="C45811"/>
          <w:sz w:val="22"/>
          <w:u w:val="single" w:color="C45811"/>
        </w:rPr>
        <w:t>paid).</w:t>
      </w:r>
    </w:p>
    <w:p>
      <w:pPr>
        <w:pStyle w:val="BodyText"/>
        <w:spacing w:before="10"/>
        <w:rPr>
          <w:b/>
          <w:sz w:val="19"/>
        </w:rPr>
      </w:pPr>
      <w:r>
        <w:rPr/>
        <w:pict>
          <v:shape style="position:absolute;margin-left:216.309998pt;margin-top:14.327184pt;width:306.850pt;height:73.95pt;mso-position-horizontal-relative:page;mso-position-vertical-relative:paragraph;z-index:-251655168;mso-wrap-distance-left:0;mso-wrap-distance-right:0" type="#_x0000_t202" filled="false" stroked="true" strokeweight=".48004pt" strokecolor="#000000">
            <v:textbox inset="0,0,0,0">
              <w:txbxContent>
                <w:p>
                  <w:pPr>
                    <w:spacing w:before="1"/>
                    <w:ind w:left="106" w:right="100" w:firstLine="0"/>
                    <w:jc w:val="both"/>
                    <w:rPr>
                      <w:sz w:val="20"/>
                    </w:rPr>
                  </w:pPr>
                  <w:r>
                    <w:rPr>
                      <w:sz w:val="20"/>
                    </w:rPr>
                    <w:t>Mr.</w:t>
                  </w:r>
                  <w:r>
                    <w:rPr>
                      <w:spacing w:val="-6"/>
                      <w:sz w:val="20"/>
                    </w:rPr>
                    <w:t> </w:t>
                  </w:r>
                  <w:r>
                    <w:rPr>
                      <w:sz w:val="20"/>
                    </w:rPr>
                    <w:t>B</w:t>
                  </w:r>
                  <w:r>
                    <w:rPr>
                      <w:spacing w:val="-7"/>
                      <w:sz w:val="20"/>
                    </w:rPr>
                    <w:t> </w:t>
                  </w:r>
                  <w:r>
                    <w:rPr>
                      <w:sz w:val="20"/>
                    </w:rPr>
                    <w:t>filed</w:t>
                  </w:r>
                  <w:r>
                    <w:rPr>
                      <w:spacing w:val="-2"/>
                      <w:sz w:val="20"/>
                    </w:rPr>
                    <w:t> </w:t>
                  </w:r>
                  <w:r>
                    <w:rPr>
                      <w:sz w:val="20"/>
                    </w:rPr>
                    <w:t>a</w:t>
                  </w:r>
                  <w:r>
                    <w:rPr>
                      <w:spacing w:val="-8"/>
                      <w:sz w:val="20"/>
                    </w:rPr>
                    <w:t> </w:t>
                  </w:r>
                  <w:r>
                    <w:rPr>
                      <w:sz w:val="20"/>
                    </w:rPr>
                    <w:t>return</w:t>
                  </w:r>
                  <w:r>
                    <w:rPr>
                      <w:spacing w:val="-3"/>
                      <w:sz w:val="20"/>
                    </w:rPr>
                    <w:t> </w:t>
                  </w:r>
                  <w:r>
                    <w:rPr>
                      <w:sz w:val="20"/>
                    </w:rPr>
                    <w:t>on</w:t>
                  </w:r>
                  <w:r>
                    <w:rPr>
                      <w:spacing w:val="-8"/>
                      <w:sz w:val="20"/>
                    </w:rPr>
                    <w:t> </w:t>
                  </w:r>
                  <w:r>
                    <w:rPr>
                      <w:sz w:val="20"/>
                    </w:rPr>
                    <w:t>20.06.2019</w:t>
                  </w:r>
                  <w:r>
                    <w:rPr>
                      <w:spacing w:val="-5"/>
                      <w:sz w:val="20"/>
                    </w:rPr>
                    <w:t> </w:t>
                  </w:r>
                  <w:r>
                    <w:rPr>
                      <w:sz w:val="20"/>
                    </w:rPr>
                    <w:t>total</w:t>
                  </w:r>
                  <w:r>
                    <w:rPr>
                      <w:spacing w:val="-1"/>
                      <w:sz w:val="20"/>
                    </w:rPr>
                    <w:t> </w:t>
                  </w:r>
                  <w:r>
                    <w:rPr>
                      <w:sz w:val="20"/>
                    </w:rPr>
                    <w:t>duty</w:t>
                  </w:r>
                  <w:r>
                    <w:rPr>
                      <w:spacing w:val="-7"/>
                      <w:sz w:val="20"/>
                    </w:rPr>
                    <w:t> </w:t>
                  </w:r>
                  <w:r>
                    <w:rPr>
                      <w:sz w:val="20"/>
                    </w:rPr>
                    <w:t>liability</w:t>
                  </w:r>
                  <w:r>
                    <w:rPr>
                      <w:spacing w:val="-8"/>
                      <w:sz w:val="20"/>
                    </w:rPr>
                    <w:t> </w:t>
                  </w:r>
                  <w:r>
                    <w:rPr>
                      <w:sz w:val="20"/>
                    </w:rPr>
                    <w:t>was</w:t>
                  </w:r>
                  <w:r>
                    <w:rPr>
                      <w:spacing w:val="-5"/>
                      <w:sz w:val="20"/>
                    </w:rPr>
                    <w:t> </w:t>
                  </w:r>
                  <w:r>
                    <w:rPr>
                      <w:sz w:val="20"/>
                    </w:rPr>
                    <w:t>Rs.80</w:t>
                  </w:r>
                  <w:r>
                    <w:rPr>
                      <w:spacing w:val="-4"/>
                      <w:sz w:val="20"/>
                    </w:rPr>
                    <w:t> </w:t>
                  </w:r>
                  <w:r>
                    <w:rPr>
                      <w:sz w:val="20"/>
                    </w:rPr>
                    <w:t>lacs</w:t>
                  </w:r>
                  <w:r>
                    <w:rPr>
                      <w:spacing w:val="-5"/>
                      <w:sz w:val="20"/>
                    </w:rPr>
                    <w:t> </w:t>
                  </w:r>
                  <w:r>
                    <w:rPr>
                      <w:sz w:val="20"/>
                    </w:rPr>
                    <w:t>out</w:t>
                  </w:r>
                  <w:r>
                    <w:rPr>
                      <w:spacing w:val="-3"/>
                      <w:sz w:val="20"/>
                    </w:rPr>
                    <w:t> of </w:t>
                  </w:r>
                  <w:r>
                    <w:rPr>
                      <w:sz w:val="20"/>
                    </w:rPr>
                    <w:t>which Rs.40 lacs already paid at </w:t>
                  </w:r>
                  <w:r>
                    <w:rPr>
                      <w:spacing w:val="-3"/>
                      <w:sz w:val="20"/>
                    </w:rPr>
                    <w:t>the </w:t>
                  </w:r>
                  <w:r>
                    <w:rPr>
                      <w:sz w:val="20"/>
                    </w:rPr>
                    <w:t>time of filing return and balance amount is</w:t>
                  </w:r>
                  <w:r>
                    <w:rPr>
                      <w:spacing w:val="-5"/>
                      <w:sz w:val="20"/>
                    </w:rPr>
                    <w:t> </w:t>
                  </w:r>
                  <w:r>
                    <w:rPr>
                      <w:sz w:val="20"/>
                    </w:rPr>
                    <w:t>outstanding.</w:t>
                  </w:r>
                </w:p>
                <w:p>
                  <w:pPr>
                    <w:pStyle w:val="BodyText"/>
                    <w:spacing w:before="3"/>
                    <w:rPr>
                      <w:b/>
                      <w:sz w:val="20"/>
                    </w:rPr>
                  </w:pPr>
                </w:p>
                <w:p>
                  <w:pPr>
                    <w:spacing w:before="0"/>
                    <w:ind w:left="106" w:right="102" w:firstLine="0"/>
                    <w:jc w:val="both"/>
                    <w:rPr>
                      <w:sz w:val="20"/>
                    </w:rPr>
                  </w:pPr>
                  <w:r>
                    <w:rPr>
                      <w:sz w:val="20"/>
                    </w:rPr>
                    <w:t>In</w:t>
                  </w:r>
                  <w:r>
                    <w:rPr>
                      <w:spacing w:val="-4"/>
                      <w:sz w:val="20"/>
                    </w:rPr>
                    <w:t> </w:t>
                  </w:r>
                  <w:r>
                    <w:rPr>
                      <w:sz w:val="20"/>
                    </w:rPr>
                    <w:t>this</w:t>
                  </w:r>
                  <w:r>
                    <w:rPr>
                      <w:spacing w:val="-10"/>
                      <w:sz w:val="20"/>
                    </w:rPr>
                    <w:t> </w:t>
                  </w:r>
                  <w:r>
                    <w:rPr>
                      <w:sz w:val="20"/>
                    </w:rPr>
                    <w:t>case</w:t>
                  </w:r>
                  <w:r>
                    <w:rPr>
                      <w:spacing w:val="-8"/>
                      <w:sz w:val="20"/>
                    </w:rPr>
                    <w:t> </w:t>
                  </w:r>
                  <w:r>
                    <w:rPr>
                      <w:sz w:val="20"/>
                    </w:rPr>
                    <w:t>indicated</w:t>
                  </w:r>
                  <w:r>
                    <w:rPr>
                      <w:spacing w:val="-4"/>
                      <w:sz w:val="20"/>
                    </w:rPr>
                    <w:t> </w:t>
                  </w:r>
                  <w:r>
                    <w:rPr>
                      <w:sz w:val="20"/>
                    </w:rPr>
                    <w:t>payable</w:t>
                  </w:r>
                  <w:r>
                    <w:rPr>
                      <w:spacing w:val="-8"/>
                      <w:sz w:val="20"/>
                    </w:rPr>
                    <w:t> </w:t>
                  </w:r>
                  <w:r>
                    <w:rPr>
                      <w:sz w:val="20"/>
                    </w:rPr>
                    <w:t>amount</w:t>
                  </w:r>
                  <w:r>
                    <w:rPr>
                      <w:spacing w:val="-9"/>
                      <w:sz w:val="20"/>
                    </w:rPr>
                    <w:t> </w:t>
                  </w:r>
                  <w:r>
                    <w:rPr>
                      <w:sz w:val="20"/>
                    </w:rPr>
                    <w:t>is</w:t>
                  </w:r>
                  <w:r>
                    <w:rPr>
                      <w:spacing w:val="-10"/>
                      <w:sz w:val="20"/>
                    </w:rPr>
                    <w:t> </w:t>
                  </w:r>
                  <w:r>
                    <w:rPr>
                      <w:sz w:val="20"/>
                    </w:rPr>
                    <w:t>Rs.40</w:t>
                  </w:r>
                  <w:r>
                    <w:rPr>
                      <w:spacing w:val="-10"/>
                      <w:sz w:val="20"/>
                    </w:rPr>
                    <w:t> </w:t>
                  </w:r>
                  <w:r>
                    <w:rPr>
                      <w:sz w:val="20"/>
                    </w:rPr>
                    <w:t>lacs</w:t>
                  </w:r>
                  <w:r>
                    <w:rPr>
                      <w:spacing w:val="-5"/>
                      <w:sz w:val="20"/>
                    </w:rPr>
                    <w:t> </w:t>
                  </w:r>
                  <w:r>
                    <w:rPr>
                      <w:spacing w:val="-3"/>
                      <w:sz w:val="20"/>
                    </w:rPr>
                    <w:t>and</w:t>
                  </w:r>
                  <w:r>
                    <w:rPr>
                      <w:spacing w:val="-8"/>
                      <w:sz w:val="20"/>
                    </w:rPr>
                    <w:t> </w:t>
                  </w:r>
                  <w:r>
                    <w:rPr>
                      <w:sz w:val="20"/>
                    </w:rPr>
                    <w:t>relief</w:t>
                  </w:r>
                  <w:r>
                    <w:rPr>
                      <w:spacing w:val="-8"/>
                      <w:sz w:val="20"/>
                    </w:rPr>
                    <w:t> </w:t>
                  </w:r>
                  <w:r>
                    <w:rPr>
                      <w:sz w:val="20"/>
                    </w:rPr>
                    <w:t>amount</w:t>
                  </w:r>
                  <w:r>
                    <w:rPr>
                      <w:spacing w:val="-9"/>
                      <w:sz w:val="20"/>
                    </w:rPr>
                    <w:t> </w:t>
                  </w:r>
                  <w:r>
                    <w:rPr>
                      <w:sz w:val="20"/>
                    </w:rPr>
                    <w:t>shall be Rs.24 lacs (Rs.40 lacs * </w:t>
                  </w:r>
                  <w:r>
                    <w:rPr>
                      <w:spacing w:val="-3"/>
                      <w:sz w:val="20"/>
                    </w:rPr>
                    <w:t>60%) </w:t>
                  </w:r>
                  <w:r>
                    <w:rPr>
                      <w:sz w:val="20"/>
                    </w:rPr>
                    <w:t>and payable amount shall </w:t>
                  </w:r>
                  <w:r>
                    <w:rPr>
                      <w:spacing w:val="-3"/>
                      <w:sz w:val="20"/>
                    </w:rPr>
                    <w:t>be </w:t>
                  </w:r>
                  <w:r>
                    <w:rPr>
                      <w:sz w:val="20"/>
                    </w:rPr>
                    <w:t>Rs.16</w:t>
                  </w:r>
                  <w:r>
                    <w:rPr>
                      <w:spacing w:val="-6"/>
                      <w:sz w:val="20"/>
                    </w:rPr>
                    <w:t> </w:t>
                  </w:r>
                  <w:r>
                    <w:rPr>
                      <w:sz w:val="20"/>
                    </w:rPr>
                    <w:t>lacs</w:t>
                  </w:r>
                </w:p>
              </w:txbxContent>
            </v:textbox>
            <v:stroke dashstyle="solid"/>
            <w10:wrap type="topAndBottom"/>
          </v:shape>
        </w:pict>
      </w:r>
    </w:p>
    <w:p>
      <w:pPr>
        <w:pStyle w:val="BodyText"/>
        <w:spacing w:before="9"/>
        <w:rPr>
          <w:b/>
          <w:sz w:val="16"/>
        </w:rPr>
      </w:pPr>
    </w:p>
    <w:p>
      <w:pPr>
        <w:pStyle w:val="ListParagraph"/>
        <w:numPr>
          <w:ilvl w:val="1"/>
          <w:numId w:val="7"/>
        </w:numPr>
        <w:tabs>
          <w:tab w:pos="1902" w:val="left" w:leader="none"/>
        </w:tabs>
        <w:spacing w:line="259" w:lineRule="auto" w:before="56" w:after="0"/>
        <w:ind w:left="1901" w:right="771" w:hanging="361"/>
        <w:jc w:val="both"/>
        <w:rPr>
          <w:sz w:val="22"/>
        </w:rPr>
      </w:pPr>
      <w:r>
        <w:rPr>
          <w:color w:val="006FC0"/>
          <w:sz w:val="22"/>
        </w:rPr>
        <w:t>Where </w:t>
      </w:r>
      <w:r>
        <w:rPr>
          <w:b/>
          <w:color w:val="C45811"/>
          <w:sz w:val="22"/>
        </w:rPr>
        <w:t>tax dues are linked </w:t>
      </w:r>
      <w:r>
        <w:rPr>
          <w:color w:val="006FC0"/>
          <w:sz w:val="22"/>
        </w:rPr>
        <w:t>with any enquiry, investigation or audit which are pending but amount of duty has been quantified up to 30.06.2019, relief</w:t>
      </w:r>
      <w:r>
        <w:rPr>
          <w:color w:val="006FC0"/>
          <w:spacing w:val="-34"/>
          <w:sz w:val="22"/>
        </w:rPr>
        <w:t> </w:t>
      </w:r>
      <w:r>
        <w:rPr>
          <w:color w:val="006FC0"/>
          <w:sz w:val="22"/>
        </w:rPr>
        <w:t>amount shall be:</w:t>
      </w:r>
      <w:r>
        <w:rPr>
          <w:color w:val="006FC0"/>
          <w:spacing w:val="-3"/>
          <w:sz w:val="22"/>
        </w:rPr>
        <w:t> </w:t>
      </w:r>
      <w:r>
        <w:rPr>
          <w:color w:val="006FC0"/>
          <w:sz w:val="22"/>
        </w:rPr>
        <w:t>-</w:t>
      </w:r>
    </w:p>
    <w:p>
      <w:pPr>
        <w:pStyle w:val="BodyText"/>
        <w:spacing w:before="11"/>
        <w:rPr>
          <w:sz w:val="23"/>
        </w:rPr>
      </w:pPr>
    </w:p>
    <w:p>
      <w:pPr>
        <w:pStyle w:val="ListParagraph"/>
        <w:numPr>
          <w:ilvl w:val="2"/>
          <w:numId w:val="7"/>
        </w:numPr>
        <w:tabs>
          <w:tab w:pos="2981" w:val="left" w:leader="none"/>
          <w:tab w:pos="2982" w:val="left" w:leader="none"/>
        </w:tabs>
        <w:spacing w:line="261" w:lineRule="auto" w:before="0" w:after="0"/>
        <w:ind w:left="2981" w:right="1069" w:hanging="720"/>
        <w:jc w:val="left"/>
        <w:rPr>
          <w:b/>
          <w:color w:val="006FC0"/>
          <w:sz w:val="22"/>
        </w:rPr>
      </w:pPr>
      <w:r>
        <w:rPr>
          <w:color w:val="006FC0"/>
          <w:sz w:val="22"/>
        </w:rPr>
        <w:t>70% of tax dues, if quantified amount is </w:t>
      </w:r>
      <w:r>
        <w:rPr>
          <w:b/>
          <w:color w:val="006FC0"/>
          <w:sz w:val="22"/>
        </w:rPr>
        <w:t>up to Rs.50 lacs</w:t>
      </w:r>
      <w:r>
        <w:rPr>
          <w:b/>
          <w:color w:val="C45811"/>
          <w:sz w:val="22"/>
        </w:rPr>
        <w:t> </w:t>
      </w:r>
      <w:r>
        <w:rPr>
          <w:b/>
          <w:color w:val="C45811"/>
          <w:sz w:val="22"/>
          <w:u w:val="single" w:color="C45811"/>
        </w:rPr>
        <w:t>(i.e. only 30% is required to be</w:t>
      </w:r>
      <w:r>
        <w:rPr>
          <w:b/>
          <w:color w:val="C45811"/>
          <w:spacing w:val="-7"/>
          <w:sz w:val="22"/>
          <w:u w:val="single" w:color="C45811"/>
        </w:rPr>
        <w:t> </w:t>
      </w:r>
      <w:r>
        <w:rPr>
          <w:b/>
          <w:color w:val="C45811"/>
          <w:sz w:val="22"/>
          <w:u w:val="single" w:color="C45811"/>
        </w:rPr>
        <w:t>paid).</w:t>
      </w:r>
    </w:p>
    <w:p>
      <w:pPr>
        <w:pStyle w:val="ListParagraph"/>
        <w:numPr>
          <w:ilvl w:val="2"/>
          <w:numId w:val="7"/>
        </w:numPr>
        <w:tabs>
          <w:tab w:pos="2981" w:val="left" w:leader="none"/>
          <w:tab w:pos="2982" w:val="left" w:leader="none"/>
        </w:tabs>
        <w:spacing w:line="261" w:lineRule="auto" w:before="154" w:after="0"/>
        <w:ind w:left="2981" w:right="1037" w:hanging="720"/>
        <w:jc w:val="left"/>
        <w:rPr>
          <w:b/>
          <w:color w:val="006FC0"/>
          <w:sz w:val="22"/>
        </w:rPr>
      </w:pPr>
      <w:r>
        <w:rPr>
          <w:color w:val="006FC0"/>
          <w:sz w:val="22"/>
        </w:rPr>
        <w:t>50% of tax dues, if quantified amount is </w:t>
      </w:r>
      <w:r>
        <w:rPr>
          <w:b/>
          <w:color w:val="006FC0"/>
          <w:sz w:val="22"/>
        </w:rPr>
        <w:t>more than Rs.50 lacs</w:t>
      </w:r>
      <w:r>
        <w:rPr>
          <w:b/>
          <w:color w:val="C45811"/>
          <w:sz w:val="22"/>
        </w:rPr>
        <w:t> </w:t>
      </w:r>
      <w:r>
        <w:rPr>
          <w:b/>
          <w:color w:val="C45811"/>
          <w:sz w:val="22"/>
          <w:u w:val="single" w:color="C45811"/>
        </w:rPr>
        <w:t>(i.e. only 50% is required to be</w:t>
      </w:r>
      <w:r>
        <w:rPr>
          <w:b/>
          <w:color w:val="C45811"/>
          <w:spacing w:val="-8"/>
          <w:sz w:val="22"/>
          <w:u w:val="single" w:color="C45811"/>
        </w:rPr>
        <w:t> </w:t>
      </w:r>
      <w:r>
        <w:rPr>
          <w:b/>
          <w:color w:val="C45811"/>
          <w:sz w:val="22"/>
          <w:u w:val="single" w:color="C45811"/>
        </w:rPr>
        <w:t>paid).</w:t>
      </w:r>
    </w:p>
    <w:p>
      <w:pPr>
        <w:pStyle w:val="BodyText"/>
        <w:rPr>
          <w:b/>
          <w:sz w:val="20"/>
        </w:rPr>
      </w:pPr>
    </w:p>
    <w:p>
      <w:pPr>
        <w:pStyle w:val="BodyText"/>
        <w:rPr>
          <w:b/>
          <w:sz w:val="25"/>
        </w:rPr>
      </w:pPr>
    </w:p>
    <w:p>
      <w:pPr>
        <w:pStyle w:val="ListParagraph"/>
        <w:numPr>
          <w:ilvl w:val="1"/>
          <w:numId w:val="7"/>
        </w:numPr>
        <w:tabs>
          <w:tab w:pos="1589" w:val="left" w:leader="none"/>
        </w:tabs>
        <w:spacing w:line="261" w:lineRule="auto" w:before="56" w:after="0"/>
        <w:ind w:left="1541" w:right="775" w:hanging="327"/>
        <w:jc w:val="left"/>
        <w:rPr>
          <w:color w:val="006FC0"/>
          <w:sz w:val="22"/>
        </w:rPr>
      </w:pPr>
      <w:r>
        <w:rPr/>
        <w:tab/>
      </w:r>
      <w:r>
        <w:rPr>
          <w:color w:val="006FC0"/>
          <w:sz w:val="22"/>
        </w:rPr>
        <w:t>Where</w:t>
      </w:r>
      <w:r>
        <w:rPr>
          <w:color w:val="006FC0"/>
          <w:spacing w:val="-4"/>
          <w:sz w:val="22"/>
        </w:rPr>
        <w:t> </w:t>
      </w:r>
      <w:r>
        <w:rPr>
          <w:b/>
          <w:color w:val="C45811"/>
          <w:sz w:val="22"/>
        </w:rPr>
        <w:t>tax</w:t>
      </w:r>
      <w:r>
        <w:rPr>
          <w:b/>
          <w:color w:val="C45811"/>
          <w:spacing w:val="-4"/>
          <w:sz w:val="22"/>
        </w:rPr>
        <w:t> </w:t>
      </w:r>
      <w:r>
        <w:rPr>
          <w:b/>
          <w:color w:val="C45811"/>
          <w:sz w:val="22"/>
        </w:rPr>
        <w:t>dues</w:t>
      </w:r>
      <w:r>
        <w:rPr>
          <w:b/>
          <w:color w:val="C45811"/>
          <w:spacing w:val="-5"/>
          <w:sz w:val="22"/>
        </w:rPr>
        <w:t> </w:t>
      </w:r>
      <w:r>
        <w:rPr>
          <w:b/>
          <w:color w:val="C45811"/>
          <w:sz w:val="22"/>
        </w:rPr>
        <w:t>are</w:t>
      </w:r>
      <w:r>
        <w:rPr>
          <w:b/>
          <w:color w:val="C45811"/>
          <w:spacing w:val="-4"/>
          <w:sz w:val="22"/>
        </w:rPr>
        <w:t> </w:t>
      </w:r>
      <w:r>
        <w:rPr>
          <w:b/>
          <w:color w:val="C45811"/>
          <w:sz w:val="22"/>
        </w:rPr>
        <w:t>payable</w:t>
      </w:r>
      <w:r>
        <w:rPr>
          <w:b/>
          <w:color w:val="C45811"/>
          <w:spacing w:val="-1"/>
          <w:sz w:val="22"/>
        </w:rPr>
        <w:t> </w:t>
      </w:r>
      <w:r>
        <w:rPr>
          <w:color w:val="006FC0"/>
          <w:sz w:val="22"/>
        </w:rPr>
        <w:t>on</w:t>
      </w:r>
      <w:r>
        <w:rPr>
          <w:color w:val="006FC0"/>
          <w:spacing w:val="-4"/>
          <w:sz w:val="22"/>
        </w:rPr>
        <w:t> </w:t>
      </w:r>
      <w:r>
        <w:rPr>
          <w:color w:val="006FC0"/>
          <w:sz w:val="22"/>
        </w:rPr>
        <w:t>account</w:t>
      </w:r>
      <w:r>
        <w:rPr>
          <w:color w:val="006FC0"/>
          <w:spacing w:val="-5"/>
          <w:sz w:val="22"/>
        </w:rPr>
        <w:t> </w:t>
      </w:r>
      <w:r>
        <w:rPr>
          <w:color w:val="006FC0"/>
          <w:sz w:val="22"/>
        </w:rPr>
        <w:t>of</w:t>
      </w:r>
      <w:r>
        <w:rPr>
          <w:color w:val="006FC0"/>
          <w:spacing w:val="-4"/>
          <w:sz w:val="22"/>
        </w:rPr>
        <w:t> </w:t>
      </w:r>
      <w:r>
        <w:rPr>
          <w:color w:val="006FC0"/>
          <w:sz w:val="22"/>
        </w:rPr>
        <w:t>voluntary</w:t>
      </w:r>
      <w:r>
        <w:rPr>
          <w:color w:val="006FC0"/>
          <w:spacing w:val="2"/>
          <w:sz w:val="22"/>
        </w:rPr>
        <w:t> </w:t>
      </w:r>
      <w:r>
        <w:rPr>
          <w:color w:val="006FC0"/>
          <w:sz w:val="22"/>
        </w:rPr>
        <w:t>disclosure by</w:t>
      </w:r>
      <w:r>
        <w:rPr>
          <w:color w:val="006FC0"/>
          <w:spacing w:val="-3"/>
          <w:sz w:val="22"/>
        </w:rPr>
        <w:t> </w:t>
      </w:r>
      <w:r>
        <w:rPr>
          <w:color w:val="006FC0"/>
          <w:sz w:val="22"/>
        </w:rPr>
        <w:t>the</w:t>
      </w:r>
      <w:r>
        <w:rPr>
          <w:color w:val="006FC0"/>
          <w:spacing w:val="-3"/>
          <w:sz w:val="22"/>
        </w:rPr>
        <w:t> </w:t>
      </w:r>
      <w:r>
        <w:rPr>
          <w:color w:val="006FC0"/>
          <w:sz w:val="22"/>
        </w:rPr>
        <w:t>declarant,</w:t>
      </w:r>
      <w:r>
        <w:rPr>
          <w:color w:val="006FC0"/>
          <w:spacing w:val="-5"/>
          <w:sz w:val="22"/>
        </w:rPr>
        <w:t> </w:t>
      </w:r>
      <w:r>
        <w:rPr>
          <w:b/>
          <w:color w:val="006FC0"/>
          <w:sz w:val="22"/>
          <w:u w:val="single" w:color="006FC0"/>
        </w:rPr>
        <w:t>No Relief Available</w:t>
      </w:r>
      <w:r>
        <w:rPr>
          <w:color w:val="006FC0"/>
          <w:sz w:val="22"/>
        </w:rPr>
        <w:t>.</w:t>
      </w:r>
    </w:p>
    <w:p>
      <w:pPr>
        <w:pStyle w:val="BodyText"/>
        <w:spacing w:line="259" w:lineRule="auto" w:before="154"/>
        <w:ind w:left="1541" w:right="772" w:hanging="1441"/>
        <w:jc w:val="both"/>
      </w:pPr>
      <w:r>
        <w:rPr>
          <w:b/>
        </w:rPr>
        <w:t>Sec.124 (2) – </w:t>
      </w:r>
      <w:r>
        <w:rPr>
          <w:color w:val="006FC0"/>
        </w:rPr>
        <w:t>The following amount </w:t>
      </w:r>
      <w:r>
        <w:rPr>
          <w:b/>
          <w:color w:val="006FC0"/>
          <w:u w:val="single" w:color="006FC0"/>
        </w:rPr>
        <w:t>shall be deducted</w:t>
      </w:r>
      <w:r>
        <w:rPr>
          <w:b/>
          <w:color w:val="006FC0"/>
        </w:rPr>
        <w:t> </w:t>
      </w:r>
      <w:r>
        <w:rPr>
          <w:color w:val="006FC0"/>
        </w:rPr>
        <w:t>from the amount of duty payable (i.e. tax dues-relief) while issuing the statement indicating the amount payable by the declarant.</w:t>
      </w:r>
    </w:p>
    <w:p>
      <w:pPr>
        <w:pStyle w:val="ListParagraph"/>
        <w:numPr>
          <w:ilvl w:val="0"/>
          <w:numId w:val="8"/>
        </w:numPr>
        <w:tabs>
          <w:tab w:pos="2261" w:val="left" w:leader="none"/>
          <w:tab w:pos="2262" w:val="left" w:leader="none"/>
        </w:tabs>
        <w:spacing w:line="254" w:lineRule="auto" w:before="157" w:after="0"/>
        <w:ind w:left="2261" w:right="779" w:hanging="360"/>
        <w:jc w:val="left"/>
        <w:rPr>
          <w:sz w:val="22"/>
        </w:rPr>
      </w:pPr>
      <w:r>
        <w:rPr>
          <w:color w:val="006FC0"/>
          <w:sz w:val="22"/>
        </w:rPr>
        <w:t>Amount paid as pre-deposit at any stage of appellate proceedings under the Indirect Tax Enactment</w:t>
      </w:r>
      <w:r>
        <w:rPr>
          <w:color w:val="006FC0"/>
          <w:spacing w:val="-11"/>
          <w:sz w:val="22"/>
        </w:rPr>
        <w:t> </w:t>
      </w:r>
      <w:r>
        <w:rPr>
          <w:color w:val="006FC0"/>
          <w:sz w:val="22"/>
        </w:rPr>
        <w:t>or</w:t>
      </w:r>
    </w:p>
    <w:p>
      <w:pPr>
        <w:pStyle w:val="BodyText"/>
        <w:spacing w:before="4"/>
        <w:rPr>
          <w:sz w:val="24"/>
        </w:rPr>
      </w:pPr>
    </w:p>
    <w:p>
      <w:pPr>
        <w:pStyle w:val="ListParagraph"/>
        <w:numPr>
          <w:ilvl w:val="0"/>
          <w:numId w:val="8"/>
        </w:numPr>
        <w:tabs>
          <w:tab w:pos="2261" w:val="left" w:leader="none"/>
          <w:tab w:pos="2262" w:val="left" w:leader="none"/>
        </w:tabs>
        <w:spacing w:line="240" w:lineRule="auto" w:before="1" w:after="0"/>
        <w:ind w:left="2261" w:right="0" w:hanging="361"/>
        <w:jc w:val="left"/>
        <w:rPr>
          <w:sz w:val="22"/>
        </w:rPr>
      </w:pPr>
      <w:r>
        <w:rPr>
          <w:color w:val="006FC0"/>
          <w:sz w:val="22"/>
        </w:rPr>
        <w:t>As deposit during enquiry, investigation or</w:t>
      </w:r>
      <w:r>
        <w:rPr>
          <w:color w:val="006FC0"/>
          <w:spacing w:val="-16"/>
          <w:sz w:val="22"/>
        </w:rPr>
        <w:t> </w:t>
      </w:r>
      <w:r>
        <w:rPr>
          <w:color w:val="006FC0"/>
          <w:sz w:val="22"/>
        </w:rPr>
        <w:t>audit</w:t>
      </w:r>
    </w:p>
    <w:p>
      <w:pPr>
        <w:pStyle w:val="BodyText"/>
        <w:spacing w:line="261" w:lineRule="auto" w:before="171"/>
        <w:ind w:left="1541" w:right="773"/>
        <w:jc w:val="both"/>
      </w:pPr>
      <w:r>
        <w:rPr>
          <w:color w:val="006FC0"/>
        </w:rPr>
        <w:t>Proviso: - Declarant shall </w:t>
      </w:r>
      <w:r>
        <w:rPr>
          <w:b/>
          <w:color w:val="006FC0"/>
          <w:u w:val="single" w:color="006FC0"/>
        </w:rPr>
        <w:t>not be entitled</w:t>
      </w:r>
      <w:r>
        <w:rPr>
          <w:b/>
          <w:color w:val="006FC0"/>
        </w:rPr>
        <w:t> </w:t>
      </w:r>
      <w:r>
        <w:rPr>
          <w:color w:val="006FC0"/>
        </w:rPr>
        <w:t>for </w:t>
      </w:r>
      <w:r>
        <w:rPr>
          <w:color w:val="FF0000"/>
        </w:rPr>
        <w:t>refund </w:t>
      </w:r>
      <w:r>
        <w:rPr>
          <w:color w:val="006FC0"/>
        </w:rPr>
        <w:t>if said pre-deposit or deposit amount</w:t>
      </w:r>
      <w:r>
        <w:rPr>
          <w:color w:val="006FC0"/>
          <w:spacing w:val="-13"/>
        </w:rPr>
        <w:t> </w:t>
      </w:r>
      <w:r>
        <w:rPr>
          <w:color w:val="006FC0"/>
          <w:u w:val="single" w:color="006FC0"/>
        </w:rPr>
        <w:t>exceeds</w:t>
      </w:r>
      <w:r>
        <w:rPr>
          <w:color w:val="006FC0"/>
          <w:spacing w:val="-6"/>
        </w:rPr>
        <w:t> </w:t>
      </w:r>
      <w:r>
        <w:rPr>
          <w:color w:val="006FC0"/>
        </w:rPr>
        <w:t>the</w:t>
      </w:r>
      <w:r>
        <w:rPr>
          <w:color w:val="006FC0"/>
          <w:spacing w:val="-11"/>
        </w:rPr>
        <w:t> </w:t>
      </w:r>
      <w:r>
        <w:rPr>
          <w:color w:val="006FC0"/>
        </w:rPr>
        <w:t>amount</w:t>
      </w:r>
      <w:r>
        <w:rPr>
          <w:color w:val="006FC0"/>
          <w:spacing w:val="-9"/>
        </w:rPr>
        <w:t> </w:t>
      </w:r>
      <w:r>
        <w:rPr>
          <w:color w:val="006FC0"/>
        </w:rPr>
        <w:t>payable</w:t>
      </w:r>
      <w:r>
        <w:rPr>
          <w:color w:val="006FC0"/>
          <w:spacing w:val="-10"/>
        </w:rPr>
        <w:t> </w:t>
      </w:r>
      <w:r>
        <w:rPr>
          <w:color w:val="006FC0"/>
        </w:rPr>
        <w:t>under</w:t>
      </w:r>
      <w:r>
        <w:rPr>
          <w:color w:val="006FC0"/>
          <w:spacing w:val="-7"/>
        </w:rPr>
        <w:t> </w:t>
      </w:r>
      <w:r>
        <w:rPr>
          <w:color w:val="006FC0"/>
        </w:rPr>
        <w:t>this</w:t>
      </w:r>
      <w:r>
        <w:rPr>
          <w:color w:val="006FC0"/>
          <w:spacing w:val="-12"/>
        </w:rPr>
        <w:t> </w:t>
      </w:r>
      <w:r>
        <w:rPr>
          <w:color w:val="006FC0"/>
        </w:rPr>
        <w:t>scheme</w:t>
      </w:r>
      <w:r>
        <w:rPr>
          <w:color w:val="006FC0"/>
          <w:spacing w:val="-10"/>
        </w:rPr>
        <w:t> </w:t>
      </w:r>
      <w:r>
        <w:rPr>
          <w:color w:val="006FC0"/>
        </w:rPr>
        <w:t>as</w:t>
      </w:r>
      <w:r>
        <w:rPr>
          <w:color w:val="006FC0"/>
          <w:spacing w:val="-12"/>
        </w:rPr>
        <w:t> </w:t>
      </w:r>
      <w:r>
        <w:rPr>
          <w:color w:val="006FC0"/>
        </w:rPr>
        <w:t>indicated</w:t>
      </w:r>
      <w:r>
        <w:rPr>
          <w:color w:val="006FC0"/>
          <w:spacing w:val="-7"/>
        </w:rPr>
        <w:t> </w:t>
      </w:r>
      <w:r>
        <w:rPr>
          <w:color w:val="006FC0"/>
        </w:rPr>
        <w:t>in</w:t>
      </w:r>
      <w:r>
        <w:rPr>
          <w:color w:val="006FC0"/>
          <w:spacing w:val="-8"/>
        </w:rPr>
        <w:t> </w:t>
      </w:r>
      <w:r>
        <w:rPr>
          <w:color w:val="006FC0"/>
        </w:rPr>
        <w:t>the</w:t>
      </w:r>
      <w:r>
        <w:rPr>
          <w:color w:val="006FC0"/>
          <w:spacing w:val="-11"/>
        </w:rPr>
        <w:t> </w:t>
      </w:r>
      <w:r>
        <w:rPr>
          <w:color w:val="006FC0"/>
        </w:rPr>
        <w:t>statement issued by the designated</w:t>
      </w:r>
      <w:r>
        <w:rPr>
          <w:color w:val="006FC0"/>
          <w:spacing w:val="-10"/>
        </w:rPr>
        <w:t> </w:t>
      </w:r>
      <w:r>
        <w:rPr>
          <w:color w:val="006FC0"/>
        </w:rPr>
        <w:t>committee.</w:t>
      </w:r>
    </w:p>
    <w:p>
      <w:pPr>
        <w:spacing w:after="0" w:line="261" w:lineRule="auto"/>
        <w:jc w:val="both"/>
        <w:sectPr>
          <w:pgSz w:w="11910" w:h="16840"/>
          <w:pgMar w:header="764" w:footer="992" w:top="1620" w:bottom="1180" w:left="1340" w:right="660"/>
        </w:sectPr>
      </w:pPr>
    </w:p>
    <w:p>
      <w:pPr>
        <w:pStyle w:val="BodyText"/>
        <w:rPr>
          <w:sz w:val="20"/>
        </w:rPr>
      </w:pPr>
    </w:p>
    <w:p>
      <w:pPr>
        <w:pStyle w:val="BodyText"/>
        <w:rPr>
          <w:sz w:val="20"/>
        </w:rPr>
      </w:pPr>
    </w:p>
    <w:p>
      <w:pPr>
        <w:pStyle w:val="BodyText"/>
        <w:spacing w:before="5"/>
        <w:rPr>
          <w:sz w:val="20"/>
        </w:rPr>
      </w:pPr>
    </w:p>
    <w:p>
      <w:pPr>
        <w:pStyle w:val="BodyText"/>
        <w:ind w:left="1540"/>
        <w:rPr>
          <w:sz w:val="20"/>
        </w:rPr>
      </w:pPr>
      <w:r>
        <w:rPr>
          <w:sz w:val="20"/>
        </w:rPr>
        <w:pict>
          <v:shape style="width:378.9pt;height:122.45pt;mso-position-horizontal-relative:char;mso-position-vertical-relative:line" type="#_x0000_t202" filled="false" stroked="true" strokeweight=".48004pt" strokecolor="#000000">
            <w10:anchorlock/>
            <v:textbox inset="0,0,0,0">
              <w:txbxContent>
                <w:p>
                  <w:pPr>
                    <w:spacing w:line="240" w:lineRule="auto" w:before="0"/>
                    <w:ind w:left="105" w:right="377" w:firstLine="0"/>
                    <w:jc w:val="left"/>
                    <w:rPr>
                      <w:sz w:val="20"/>
                    </w:rPr>
                  </w:pPr>
                  <w:r>
                    <w:rPr>
                      <w:sz w:val="20"/>
                    </w:rPr>
                    <w:t>Note 1: - If tax dues on account of </w:t>
                  </w:r>
                  <w:r>
                    <w:rPr>
                      <w:b/>
                      <w:sz w:val="20"/>
                    </w:rPr>
                    <w:t>“litigation”</w:t>
                  </w:r>
                  <w:r>
                    <w:rPr>
                      <w:sz w:val="20"/>
                    </w:rPr>
                    <w:t>, tax dues less relief shall be calculated as below: - {para 2(iv) of Circular No.1072/05/2019-CX dated 25.09.2019}</w:t>
                  </w:r>
                </w:p>
                <w:p>
                  <w:pPr>
                    <w:pStyle w:val="BodyText"/>
                    <w:spacing w:before="11"/>
                    <w:rPr>
                      <w:sz w:val="19"/>
                    </w:rPr>
                  </w:pPr>
                </w:p>
                <w:p>
                  <w:pPr>
                    <w:spacing w:before="0"/>
                    <w:ind w:left="105" w:right="607" w:firstLine="0"/>
                    <w:jc w:val="left"/>
                    <w:rPr>
                      <w:sz w:val="20"/>
                    </w:rPr>
                  </w:pPr>
                  <w:r>
                    <w:rPr>
                      <w:sz w:val="20"/>
                    </w:rPr>
                    <w:t>Example: - Mr. A filed an appeal for a disputed amount of Rs.90 lacs and pre-deposit amount is Rs.30 lacs. In this case,</w:t>
                  </w:r>
                </w:p>
                <w:p>
                  <w:pPr>
                    <w:spacing w:before="2"/>
                    <w:ind w:left="1920" w:right="0" w:firstLine="0"/>
                    <w:jc w:val="left"/>
                    <w:rPr>
                      <w:sz w:val="20"/>
                    </w:rPr>
                  </w:pPr>
                  <w:r>
                    <w:rPr>
                      <w:sz w:val="20"/>
                    </w:rPr>
                    <w:t>Tax dues = Rs.90 Lacs</w:t>
                  </w:r>
                </w:p>
                <w:p>
                  <w:pPr>
                    <w:spacing w:before="0"/>
                    <w:ind w:left="1916" w:right="2281" w:firstLine="0"/>
                    <w:jc w:val="left"/>
                    <w:rPr>
                      <w:sz w:val="20"/>
                    </w:rPr>
                  </w:pPr>
                  <w:r>
                    <w:rPr>
                      <w:sz w:val="20"/>
                    </w:rPr>
                    <w:t>Relief = 50% of Rs.90 Lacs (i.e. Rs.45 Lacs) Pre-deposit = Rs.30 Lacs</w:t>
                  </w:r>
                </w:p>
                <w:p>
                  <w:pPr>
                    <w:spacing w:line="240" w:lineRule="auto" w:before="0"/>
                    <w:ind w:left="3140" w:right="416" w:hanging="1311"/>
                    <w:jc w:val="left"/>
                    <w:rPr>
                      <w:b/>
                      <w:sz w:val="20"/>
                    </w:rPr>
                  </w:pPr>
                  <w:r>
                    <w:rPr>
                      <w:sz w:val="20"/>
                    </w:rPr>
                    <w:t>Amt payable under this scheme = Tax due (-) relief (-) pre-deposit Rs.90 lacs - Rs.45 lacs - Rs.30 Lacs = </w:t>
                  </w:r>
                  <w:r>
                    <w:rPr>
                      <w:b/>
                      <w:sz w:val="20"/>
                    </w:rPr>
                    <w:t>Rs.15 Lacs</w:t>
                  </w:r>
                </w:p>
              </w:txbxContent>
            </v:textbox>
            <v:stroke dashstyle="solid"/>
          </v:shape>
        </w:pict>
      </w:r>
      <w:r>
        <w:rPr>
          <w:sz w:val="20"/>
        </w:rPr>
      </w:r>
    </w:p>
    <w:p>
      <w:pPr>
        <w:pStyle w:val="BodyText"/>
        <w:rPr>
          <w:sz w:val="20"/>
        </w:rPr>
      </w:pPr>
    </w:p>
    <w:p>
      <w:pPr>
        <w:pStyle w:val="BodyText"/>
        <w:spacing w:before="6"/>
        <w:rPr>
          <w:sz w:val="11"/>
        </w:rPr>
      </w:pPr>
      <w:r>
        <w:rPr/>
        <w:pict>
          <v:shape style="position:absolute;margin-left:144.289993pt;margin-top:9.263019pt;width:378.9pt;height:122.7pt;mso-position-horizontal-relative:page;mso-position-vertical-relative:paragraph;z-index:-251653120;mso-wrap-distance-left:0;mso-wrap-distance-right:0" type="#_x0000_t202" filled="false" stroked="true" strokeweight=".48004pt" strokecolor="#000000">
            <v:textbox inset="0,0,0,0">
              <w:txbxContent>
                <w:p>
                  <w:pPr>
                    <w:spacing w:before="1"/>
                    <w:ind w:left="105" w:right="377" w:firstLine="0"/>
                    <w:jc w:val="left"/>
                    <w:rPr>
                      <w:sz w:val="20"/>
                    </w:rPr>
                  </w:pPr>
                  <w:r>
                    <w:rPr>
                      <w:sz w:val="20"/>
                    </w:rPr>
                    <w:t>Note 2: - If tax dues on account of </w:t>
                  </w:r>
                  <w:r>
                    <w:rPr>
                      <w:b/>
                      <w:sz w:val="20"/>
                    </w:rPr>
                    <w:t>“litigation”</w:t>
                  </w:r>
                  <w:r>
                    <w:rPr>
                      <w:sz w:val="20"/>
                    </w:rPr>
                    <w:t>, tax dues less relief shall be calculated as below: - {para 2(iv) of Circular No.1072/05/2019-CX dated 25.09.2019}</w:t>
                  </w:r>
                </w:p>
                <w:p>
                  <w:pPr>
                    <w:pStyle w:val="BodyText"/>
                    <w:spacing w:before="6"/>
                    <w:rPr>
                      <w:sz w:val="20"/>
                    </w:rPr>
                  </w:pPr>
                </w:p>
                <w:p>
                  <w:pPr>
                    <w:spacing w:line="235" w:lineRule="auto" w:before="1"/>
                    <w:ind w:left="105" w:right="607" w:firstLine="0"/>
                    <w:jc w:val="left"/>
                    <w:rPr>
                      <w:sz w:val="20"/>
                    </w:rPr>
                  </w:pPr>
                  <w:r>
                    <w:rPr>
                      <w:sz w:val="20"/>
                    </w:rPr>
                    <w:t>Example: - Mr. A filed an appeal for a disputed amount of Rs.90 lacs and pre-deposit amount is Rs.50 lacs. In this case,</w:t>
                  </w:r>
                </w:p>
                <w:p>
                  <w:pPr>
                    <w:spacing w:before="2"/>
                    <w:ind w:left="1920" w:right="0" w:firstLine="0"/>
                    <w:jc w:val="left"/>
                    <w:rPr>
                      <w:sz w:val="20"/>
                    </w:rPr>
                  </w:pPr>
                  <w:r>
                    <w:rPr>
                      <w:sz w:val="20"/>
                    </w:rPr>
                    <w:t>Tax dues = Rs.90 Lacs</w:t>
                  </w:r>
                </w:p>
                <w:p>
                  <w:pPr>
                    <w:spacing w:before="1"/>
                    <w:ind w:left="1916" w:right="2281" w:firstLine="0"/>
                    <w:jc w:val="left"/>
                    <w:rPr>
                      <w:sz w:val="20"/>
                    </w:rPr>
                  </w:pPr>
                  <w:r>
                    <w:rPr>
                      <w:sz w:val="20"/>
                    </w:rPr>
                    <w:t>Relief = 50% of Rs.90 Lacs (i.e. Rs.45 Lacs) Pre-deposit = Rs.50 Lacs</w:t>
                  </w:r>
                </w:p>
                <w:p>
                  <w:pPr>
                    <w:spacing w:before="1"/>
                    <w:ind w:left="1872" w:right="89" w:firstLine="0"/>
                    <w:jc w:val="left"/>
                    <w:rPr>
                      <w:b/>
                      <w:sz w:val="20"/>
                    </w:rPr>
                  </w:pPr>
                  <w:r>
                    <w:rPr>
                      <w:sz w:val="20"/>
                    </w:rPr>
                    <w:t>Amt payable under this scheme = Tax due (-) Relief (-) Pre-deposit Rs.90 Lacs - Rs.45 lacs - Rs.50 Lacs = </w:t>
                  </w:r>
                  <w:r>
                    <w:rPr>
                      <w:b/>
                      <w:sz w:val="20"/>
                    </w:rPr>
                    <w:t>(-) Rs.5 lacs but restricted to NIL</w:t>
                  </w:r>
                </w:p>
              </w:txbxContent>
            </v:textbox>
            <v:stroke dashstyle="solid"/>
            <w10:wrap type="topAndBottom"/>
          </v:shape>
        </w:pict>
      </w:r>
      <w:r>
        <w:rPr/>
        <w:pict>
          <v:shape style="position:absolute;margin-left:144.289993pt;margin-top:153.553009pt;width:378.9pt;height:100.6pt;mso-position-horizontal-relative:page;mso-position-vertical-relative:paragraph;z-index:-251652096;mso-wrap-distance-left:0;mso-wrap-distance-right:0" type="#_x0000_t202" filled="false" stroked="true" strokeweight=".48004pt" strokecolor="#000000">
            <v:textbox inset="0,0,0,0">
              <w:txbxContent>
                <w:p>
                  <w:pPr>
                    <w:spacing w:before="1"/>
                    <w:ind w:left="105" w:right="444" w:firstLine="0"/>
                    <w:jc w:val="left"/>
                    <w:rPr>
                      <w:sz w:val="20"/>
                    </w:rPr>
                  </w:pPr>
                  <w:r>
                    <w:rPr>
                      <w:color w:val="006FC0"/>
                      <w:sz w:val="22"/>
                    </w:rPr>
                    <w:t>Note 3: - If tax dues on account of </w:t>
                  </w:r>
                  <w:r>
                    <w:rPr>
                      <w:b/>
                      <w:color w:val="FF0000"/>
                      <w:sz w:val="22"/>
                    </w:rPr>
                    <w:t>“Arrears”</w:t>
                  </w:r>
                  <w:r>
                    <w:rPr>
                      <w:color w:val="006FC0"/>
                      <w:sz w:val="22"/>
                    </w:rPr>
                    <w:t>, tax dues less relief shall be calculated as below: - </w:t>
                  </w:r>
                  <w:r>
                    <w:rPr>
                      <w:sz w:val="20"/>
                    </w:rPr>
                    <w:t>{para 2(iv) of Circular No.1072/05/2019-CX dated 25.09.2019}</w:t>
                  </w:r>
                </w:p>
                <w:p>
                  <w:pPr>
                    <w:pStyle w:val="BodyText"/>
                    <w:spacing w:before="1"/>
                    <w:rPr>
                      <w:sz w:val="20"/>
                    </w:rPr>
                  </w:pPr>
                </w:p>
                <w:p>
                  <w:pPr>
                    <w:spacing w:before="0"/>
                    <w:ind w:left="105" w:right="263" w:firstLine="0"/>
                    <w:jc w:val="left"/>
                    <w:rPr>
                      <w:sz w:val="20"/>
                    </w:rPr>
                  </w:pPr>
                  <w:r>
                    <w:rPr>
                      <w:sz w:val="20"/>
                    </w:rPr>
                    <w:t>Example: - Mr. A has confirmed demand Rs.90 lacs and pre-deposit amount is Rs.42 lacs. In this case,</w:t>
                  </w:r>
                </w:p>
                <w:p>
                  <w:pPr>
                    <w:spacing w:line="241" w:lineRule="exact" w:before="0"/>
                    <w:ind w:left="1469" w:right="0" w:firstLine="0"/>
                    <w:jc w:val="left"/>
                    <w:rPr>
                      <w:sz w:val="20"/>
                    </w:rPr>
                  </w:pPr>
                  <w:r>
                    <w:rPr>
                      <w:sz w:val="20"/>
                    </w:rPr>
                    <w:t>Tax dues = Rs.90 Lacs</w:t>
                  </w:r>
                </w:p>
                <w:p>
                  <w:pPr>
                    <w:spacing w:before="1"/>
                    <w:ind w:left="1464" w:right="0" w:firstLine="0"/>
                    <w:jc w:val="left"/>
                    <w:rPr>
                      <w:sz w:val="20"/>
                    </w:rPr>
                  </w:pPr>
                  <w:r>
                    <w:rPr>
                      <w:sz w:val="20"/>
                    </w:rPr>
                    <w:t>Relief = 60% of Rs.48 Lacs (Rs.90 lacs – Rs.42 lacs) = Rs.28.80 lacs</w:t>
                  </w:r>
                </w:p>
                <w:p>
                  <w:pPr>
                    <w:spacing w:line="243" w:lineRule="exact" w:before="1"/>
                    <w:ind w:left="1421" w:right="0" w:firstLine="0"/>
                    <w:jc w:val="left"/>
                    <w:rPr>
                      <w:b/>
                      <w:sz w:val="20"/>
                    </w:rPr>
                  </w:pPr>
                  <w:r>
                    <w:rPr>
                      <w:sz w:val="20"/>
                    </w:rPr>
                    <w:t>Amt payable under this scheme = Rs.48 lacs - Rs.28.80 Lacs = </w:t>
                  </w:r>
                  <w:r>
                    <w:rPr>
                      <w:b/>
                      <w:sz w:val="20"/>
                    </w:rPr>
                    <w:t>Rs.19.20 lacs</w:t>
                  </w:r>
                </w:p>
              </w:txbxContent>
            </v:textbox>
            <v:stroke dashstyle="solid"/>
            <w10:wrap type="topAndBottom"/>
          </v:shape>
        </w:pict>
      </w:r>
    </w:p>
    <w:p>
      <w:pPr>
        <w:pStyle w:val="BodyText"/>
        <w:spacing w:before="12"/>
        <w:rPr>
          <w:sz w:val="28"/>
        </w:rPr>
      </w:pPr>
    </w:p>
    <w:p>
      <w:pPr>
        <w:pStyle w:val="BodyText"/>
        <w:rPr>
          <w:sz w:val="20"/>
        </w:rPr>
      </w:pPr>
    </w:p>
    <w:p>
      <w:pPr>
        <w:pStyle w:val="BodyText"/>
        <w:spacing w:before="4"/>
        <w:rPr>
          <w:sz w:val="11"/>
        </w:rPr>
      </w:pPr>
      <w:r>
        <w:rPr/>
        <w:pict>
          <v:shape style="position:absolute;margin-left:144.289993pt;margin-top:9.132984pt;width:378.9pt;height:100.65pt;mso-position-horizontal-relative:page;mso-position-vertical-relative:paragraph;z-index:-251651072;mso-wrap-distance-left:0;mso-wrap-distance-right:0" type="#_x0000_t202" filled="false" stroked="true" strokeweight=".48004pt" strokecolor="#000000">
            <v:textbox inset="0,0,0,0">
              <w:txbxContent>
                <w:p>
                  <w:pPr>
                    <w:spacing w:before="1"/>
                    <w:ind w:left="105" w:right="444" w:firstLine="0"/>
                    <w:jc w:val="left"/>
                    <w:rPr>
                      <w:sz w:val="20"/>
                    </w:rPr>
                  </w:pPr>
                  <w:r>
                    <w:rPr>
                      <w:color w:val="006FC0"/>
                      <w:sz w:val="22"/>
                    </w:rPr>
                    <w:t>Note 3: - If tax dues on account of </w:t>
                  </w:r>
                  <w:r>
                    <w:rPr>
                      <w:b/>
                      <w:color w:val="FF0000"/>
                      <w:sz w:val="22"/>
                    </w:rPr>
                    <w:t>“Arrears”</w:t>
                  </w:r>
                  <w:r>
                    <w:rPr>
                      <w:color w:val="006FC0"/>
                      <w:sz w:val="22"/>
                    </w:rPr>
                    <w:t>, tax dues less relief shall be calculated as below: - </w:t>
                  </w:r>
                  <w:r>
                    <w:rPr>
                      <w:sz w:val="20"/>
                    </w:rPr>
                    <w:t>{para 2(iv) of Circular No.1072/05/2019-CX dated 25.09.2019}</w:t>
                  </w:r>
                </w:p>
                <w:p>
                  <w:pPr>
                    <w:pStyle w:val="BodyText"/>
                    <w:spacing w:before="2"/>
                    <w:rPr>
                      <w:sz w:val="20"/>
                    </w:rPr>
                  </w:pPr>
                </w:p>
                <w:p>
                  <w:pPr>
                    <w:spacing w:before="0"/>
                    <w:ind w:left="105" w:right="263" w:firstLine="0"/>
                    <w:jc w:val="left"/>
                    <w:rPr>
                      <w:sz w:val="20"/>
                    </w:rPr>
                  </w:pPr>
                  <w:r>
                    <w:rPr>
                      <w:sz w:val="20"/>
                    </w:rPr>
                    <w:t>Example: - Mr. A has confirmed demand Rs.95 lacs and pre-deposit amount is Rs.40 lacs. In this case,</w:t>
                  </w:r>
                </w:p>
                <w:p>
                  <w:pPr>
                    <w:spacing w:line="241" w:lineRule="exact" w:before="0"/>
                    <w:ind w:left="1920" w:right="0" w:firstLine="0"/>
                    <w:jc w:val="left"/>
                    <w:rPr>
                      <w:sz w:val="20"/>
                    </w:rPr>
                  </w:pPr>
                  <w:r>
                    <w:rPr>
                      <w:sz w:val="20"/>
                    </w:rPr>
                    <w:t>tax dues = Rs.95 Lacs</w:t>
                  </w:r>
                </w:p>
                <w:p>
                  <w:pPr>
                    <w:spacing w:before="1"/>
                    <w:ind w:left="1916" w:right="0" w:firstLine="0"/>
                    <w:jc w:val="left"/>
                    <w:rPr>
                      <w:sz w:val="20"/>
                    </w:rPr>
                  </w:pPr>
                  <w:r>
                    <w:rPr>
                      <w:sz w:val="20"/>
                    </w:rPr>
                    <w:t>Relief = 40% of Rs.55 Lacs (Rs.95 lacs – Rs.40 lacs) = Rs.22 lacs</w:t>
                  </w:r>
                </w:p>
                <w:p>
                  <w:pPr>
                    <w:spacing w:line="243" w:lineRule="exact" w:before="1"/>
                    <w:ind w:left="1872" w:right="0" w:firstLine="0"/>
                    <w:jc w:val="left"/>
                    <w:rPr>
                      <w:b/>
                      <w:sz w:val="20"/>
                    </w:rPr>
                  </w:pPr>
                  <w:r>
                    <w:rPr>
                      <w:sz w:val="20"/>
                    </w:rPr>
                    <w:t>Amt payable under this scheme = Rs.55 lacs - Rs.22 Lacs = </w:t>
                  </w:r>
                  <w:r>
                    <w:rPr>
                      <w:b/>
                      <w:sz w:val="20"/>
                    </w:rPr>
                    <w:t>Rs.33 lacs</w:t>
                  </w:r>
                </w:p>
              </w:txbxContent>
            </v:textbox>
            <v:stroke dashstyle="solid"/>
            <w10:wrap type="topAndBottom"/>
          </v:shape>
        </w:pict>
      </w:r>
    </w:p>
    <w:p>
      <w:pPr>
        <w:pStyle w:val="BodyText"/>
        <w:spacing w:before="3"/>
        <w:rPr>
          <w:sz w:val="26"/>
        </w:rPr>
      </w:pPr>
    </w:p>
    <w:p>
      <w:pPr>
        <w:spacing w:before="102"/>
        <w:ind w:left="100" w:right="0" w:firstLine="0"/>
        <w:jc w:val="left"/>
        <w:rPr>
          <w:rFonts w:ascii="Arial Black" w:hAnsi="Arial Black"/>
          <w:sz w:val="20"/>
        </w:rPr>
      </w:pPr>
      <w:r>
        <w:rPr>
          <w:rFonts w:ascii="Arial Black" w:hAnsi="Arial Black"/>
          <w:sz w:val="20"/>
        </w:rPr>
        <w:t>Sec-125 – Eligible to make declaration –</w:t>
      </w:r>
    </w:p>
    <w:p>
      <w:pPr>
        <w:pStyle w:val="ListParagraph"/>
        <w:numPr>
          <w:ilvl w:val="0"/>
          <w:numId w:val="9"/>
        </w:numPr>
        <w:tabs>
          <w:tab w:pos="1181" w:val="left" w:leader="none"/>
        </w:tabs>
        <w:spacing w:line="256" w:lineRule="auto" w:before="185" w:after="0"/>
        <w:ind w:left="1181" w:right="1359" w:hanging="360"/>
        <w:jc w:val="left"/>
        <w:rPr>
          <w:sz w:val="22"/>
        </w:rPr>
      </w:pPr>
      <w:r>
        <w:rPr>
          <w:color w:val="006FC0"/>
          <w:sz w:val="22"/>
        </w:rPr>
        <w:t>All the persons shall be eligible to make declaration under this scheme,</w:t>
      </w:r>
      <w:r>
        <w:rPr>
          <w:color w:val="FF0000"/>
          <w:sz w:val="22"/>
        </w:rPr>
        <w:t> </w:t>
      </w:r>
      <w:r>
        <w:rPr>
          <w:b/>
          <w:color w:val="FF0000"/>
          <w:sz w:val="22"/>
          <w:u w:val="single" w:color="FF0000"/>
        </w:rPr>
        <w:t>except the following</w:t>
      </w:r>
      <w:r>
        <w:rPr>
          <w:color w:val="006FC0"/>
          <w:sz w:val="22"/>
        </w:rPr>
        <w:t>:</w:t>
      </w:r>
      <w:r>
        <w:rPr>
          <w:color w:val="006FC0"/>
          <w:spacing w:val="-4"/>
          <w:sz w:val="22"/>
        </w:rPr>
        <w:t> </w:t>
      </w:r>
      <w:r>
        <w:rPr>
          <w:color w:val="006FC0"/>
          <w:sz w:val="22"/>
        </w:rPr>
        <w:t>-</w:t>
      </w:r>
    </w:p>
    <w:p>
      <w:pPr>
        <w:pStyle w:val="BodyText"/>
        <w:spacing w:before="6"/>
        <w:rPr>
          <w:sz w:val="19"/>
        </w:rPr>
      </w:pPr>
    </w:p>
    <w:p>
      <w:pPr>
        <w:pStyle w:val="ListParagraph"/>
        <w:numPr>
          <w:ilvl w:val="1"/>
          <w:numId w:val="9"/>
        </w:numPr>
        <w:tabs>
          <w:tab w:pos="1541" w:val="left" w:leader="none"/>
        </w:tabs>
        <w:spacing w:line="256" w:lineRule="auto" w:before="56" w:after="0"/>
        <w:ind w:left="1541" w:right="1013" w:hanging="360"/>
        <w:jc w:val="left"/>
        <w:rPr>
          <w:sz w:val="22"/>
        </w:rPr>
      </w:pPr>
      <w:r>
        <w:rPr>
          <w:color w:val="006FC0"/>
          <w:sz w:val="22"/>
        </w:rPr>
        <w:t>Who have filed an appeal before appellate forum and such appeal has been finally heard up to</w:t>
      </w:r>
      <w:r>
        <w:rPr>
          <w:color w:val="006FC0"/>
          <w:spacing w:val="-6"/>
          <w:sz w:val="22"/>
        </w:rPr>
        <w:t> </w:t>
      </w:r>
      <w:r>
        <w:rPr>
          <w:color w:val="006FC0"/>
          <w:sz w:val="22"/>
        </w:rPr>
        <w:t>30.06.2019.</w:t>
      </w:r>
    </w:p>
    <w:p>
      <w:pPr>
        <w:spacing w:after="0" w:line="256" w:lineRule="auto"/>
        <w:jc w:val="left"/>
        <w:rPr>
          <w:sz w:val="22"/>
        </w:rPr>
        <w:sectPr>
          <w:pgSz w:w="11910" w:h="16840"/>
          <w:pgMar w:header="764" w:footer="992" w:top="1620" w:bottom="1180" w:left="1340" w:right="660"/>
        </w:sectPr>
      </w:pPr>
    </w:p>
    <w:p>
      <w:pPr>
        <w:pStyle w:val="BodyText"/>
        <w:spacing w:before="8"/>
        <w:rPr>
          <w:sz w:val="18"/>
        </w:rPr>
      </w:pPr>
    </w:p>
    <w:p>
      <w:pPr>
        <w:pStyle w:val="ListParagraph"/>
        <w:numPr>
          <w:ilvl w:val="2"/>
          <w:numId w:val="9"/>
        </w:numPr>
        <w:tabs>
          <w:tab w:pos="2622" w:val="left" w:leader="none"/>
        </w:tabs>
        <w:spacing w:line="259" w:lineRule="auto" w:before="61" w:after="0"/>
        <w:ind w:left="2621" w:right="769" w:hanging="360"/>
        <w:jc w:val="both"/>
        <w:rPr>
          <w:sz w:val="20"/>
        </w:rPr>
      </w:pPr>
      <w:r>
        <w:rPr>
          <w:sz w:val="20"/>
        </w:rPr>
        <w:t>In this situation, assessee can proceed further under “arrears” category </w:t>
      </w:r>
      <w:r>
        <w:rPr>
          <w:b/>
          <w:sz w:val="20"/>
          <w:u w:val="single"/>
        </w:rPr>
        <w:t>not under litigation category</w:t>
      </w:r>
      <w:r>
        <w:rPr>
          <w:sz w:val="20"/>
        </w:rPr>
        <w:t>. Hence, there is additional </w:t>
      </w:r>
      <w:r>
        <w:rPr>
          <w:spacing w:val="-3"/>
          <w:sz w:val="20"/>
        </w:rPr>
        <w:t>10% </w:t>
      </w:r>
      <w:r>
        <w:rPr>
          <w:sz w:val="20"/>
        </w:rPr>
        <w:t>duty burden on declarant and relief % shall </w:t>
      </w:r>
      <w:r>
        <w:rPr>
          <w:spacing w:val="-3"/>
          <w:sz w:val="20"/>
        </w:rPr>
        <w:t>be </w:t>
      </w:r>
      <w:r>
        <w:rPr>
          <w:sz w:val="20"/>
        </w:rPr>
        <w:t>applied on net outstanding amount (i.e. tax disputed – pre-deposit/deposits). {Para 2(viii) of Circular No.1072/05/2019-CX Dated 25.09.2019 [Para 8(5) of Form</w:t>
      </w:r>
      <w:r>
        <w:rPr>
          <w:spacing w:val="-5"/>
          <w:sz w:val="20"/>
        </w:rPr>
        <w:t> </w:t>
      </w:r>
      <w:r>
        <w:rPr>
          <w:sz w:val="20"/>
        </w:rPr>
        <w:t>SVLDRS-1.]</w:t>
      </w:r>
    </w:p>
    <w:p>
      <w:pPr>
        <w:pStyle w:val="BodyText"/>
        <w:spacing w:before="9"/>
        <w:rPr>
          <w:sz w:val="23"/>
        </w:rPr>
      </w:pPr>
    </w:p>
    <w:p>
      <w:pPr>
        <w:pStyle w:val="ListParagraph"/>
        <w:numPr>
          <w:ilvl w:val="1"/>
          <w:numId w:val="9"/>
        </w:numPr>
        <w:tabs>
          <w:tab w:pos="1541" w:val="left" w:leader="none"/>
        </w:tabs>
        <w:spacing w:line="240" w:lineRule="auto" w:before="0" w:after="0"/>
        <w:ind w:left="1541" w:right="0" w:hanging="360"/>
        <w:jc w:val="left"/>
        <w:rPr>
          <w:sz w:val="22"/>
        </w:rPr>
      </w:pPr>
      <w:r>
        <w:rPr>
          <w:color w:val="006FC0"/>
          <w:sz w:val="22"/>
        </w:rPr>
        <w:t>Who have been </w:t>
      </w:r>
      <w:r>
        <w:rPr>
          <w:b/>
          <w:color w:val="FF0000"/>
          <w:sz w:val="22"/>
        </w:rPr>
        <w:t>convicted </w:t>
      </w:r>
      <w:r>
        <w:rPr>
          <w:color w:val="006FC0"/>
          <w:sz w:val="22"/>
        </w:rPr>
        <w:t>for the matter which he </w:t>
      </w:r>
      <w:r>
        <w:rPr>
          <w:b/>
          <w:color w:val="006FC0"/>
          <w:sz w:val="22"/>
          <w:u w:val="single" w:color="006FC0"/>
        </w:rPr>
        <w:t>intends to file</w:t>
      </w:r>
      <w:r>
        <w:rPr>
          <w:b/>
          <w:color w:val="006FC0"/>
          <w:spacing w:val="-22"/>
          <w:sz w:val="22"/>
          <w:u w:val="single" w:color="006FC0"/>
        </w:rPr>
        <w:t> </w:t>
      </w:r>
      <w:r>
        <w:rPr>
          <w:b/>
          <w:color w:val="006FC0"/>
          <w:sz w:val="22"/>
          <w:u w:val="single" w:color="006FC0"/>
        </w:rPr>
        <w:t>declaration</w:t>
      </w:r>
      <w:r>
        <w:rPr>
          <w:color w:val="006FC0"/>
          <w:sz w:val="22"/>
        </w:rPr>
        <w:t>.</w:t>
      </w:r>
    </w:p>
    <w:p>
      <w:pPr>
        <w:spacing w:line="254" w:lineRule="auto" w:before="20"/>
        <w:ind w:left="2261" w:right="852" w:hanging="360"/>
        <w:jc w:val="both"/>
        <w:rPr>
          <w:sz w:val="20"/>
        </w:rPr>
      </w:pPr>
      <w:r>
        <w:rPr>
          <w:rFonts w:ascii="Courier New"/>
          <w:sz w:val="20"/>
        </w:rPr>
        <w:t>o </w:t>
      </w:r>
      <w:r>
        <w:rPr>
          <w:sz w:val="20"/>
        </w:rPr>
        <w:t>In this situation, assessee shall be not be able to file declaration under any category of this scheme. [Para 8(1) of Form SVLDRS-1.]</w:t>
      </w:r>
    </w:p>
    <w:p>
      <w:pPr>
        <w:pStyle w:val="BodyText"/>
        <w:spacing w:before="12"/>
        <w:rPr>
          <w:sz w:val="21"/>
        </w:rPr>
      </w:pPr>
    </w:p>
    <w:p>
      <w:pPr>
        <w:pStyle w:val="ListParagraph"/>
        <w:numPr>
          <w:ilvl w:val="1"/>
          <w:numId w:val="9"/>
        </w:numPr>
        <w:tabs>
          <w:tab w:pos="1541" w:val="left" w:leader="none"/>
        </w:tabs>
        <w:spacing w:line="256" w:lineRule="auto" w:before="0" w:after="0"/>
        <w:ind w:left="1541" w:right="871" w:hanging="360"/>
        <w:jc w:val="both"/>
        <w:rPr>
          <w:sz w:val="22"/>
        </w:rPr>
      </w:pPr>
      <w:r>
        <w:rPr>
          <w:color w:val="006FC0"/>
          <w:sz w:val="22"/>
        </w:rPr>
        <w:t>Who have been issued SCN and final hearing against </w:t>
      </w:r>
      <w:r>
        <w:rPr>
          <w:color w:val="006FC0"/>
          <w:spacing w:val="-3"/>
          <w:sz w:val="22"/>
        </w:rPr>
        <w:t>such </w:t>
      </w:r>
      <w:r>
        <w:rPr>
          <w:color w:val="006FC0"/>
          <w:sz w:val="22"/>
        </w:rPr>
        <w:t>SCN has taken place up to 30.06.2019.</w:t>
      </w:r>
    </w:p>
    <w:p>
      <w:pPr>
        <w:spacing w:line="252" w:lineRule="auto" w:before="1"/>
        <w:ind w:left="2261" w:right="770" w:hanging="360"/>
        <w:jc w:val="both"/>
        <w:rPr>
          <w:sz w:val="20"/>
        </w:rPr>
      </w:pPr>
      <w:r>
        <w:rPr>
          <w:rFonts w:ascii="Courier New" w:hAnsi="Courier New"/>
          <w:sz w:val="20"/>
        </w:rPr>
        <w:t>o </w:t>
      </w:r>
      <w:r>
        <w:rPr>
          <w:sz w:val="20"/>
        </w:rPr>
        <w:t>In this situation, assessee can proceed further under “arrears” category </w:t>
      </w:r>
      <w:r>
        <w:rPr>
          <w:b/>
          <w:sz w:val="20"/>
          <w:u w:val="single"/>
        </w:rPr>
        <w:t>not under litigation category</w:t>
      </w:r>
      <w:r>
        <w:rPr>
          <w:sz w:val="20"/>
        </w:rPr>
        <w:t>. Hence, </w:t>
      </w:r>
      <w:r>
        <w:rPr>
          <w:spacing w:val="-3"/>
          <w:sz w:val="20"/>
        </w:rPr>
        <w:t>there </w:t>
      </w:r>
      <w:r>
        <w:rPr>
          <w:sz w:val="20"/>
        </w:rPr>
        <w:t>is additional 10% tax burden on declarant </w:t>
      </w:r>
      <w:r>
        <w:rPr>
          <w:spacing w:val="-3"/>
          <w:sz w:val="20"/>
        </w:rPr>
        <w:t>and </w:t>
      </w:r>
      <w:r>
        <w:rPr>
          <w:sz w:val="20"/>
        </w:rPr>
        <w:t>relief</w:t>
      </w:r>
    </w:p>
    <w:p>
      <w:pPr>
        <w:spacing w:line="259" w:lineRule="auto" w:before="9"/>
        <w:ind w:left="2261" w:right="769" w:firstLine="0"/>
        <w:jc w:val="both"/>
        <w:rPr>
          <w:sz w:val="20"/>
        </w:rPr>
      </w:pPr>
      <w:r>
        <w:rPr>
          <w:sz w:val="20"/>
        </w:rPr>
        <w:t>% shall be applied on net outstanding amount (i.e. tax disputed – pre- deposit/deposits). {Para 2(viii) of Circular No.1072/05/2019-CX Dated 25.09.2019 [Para 8(5) of Form SVLDRS-1]}</w:t>
      </w:r>
    </w:p>
    <w:p>
      <w:pPr>
        <w:pStyle w:val="BodyText"/>
        <w:spacing w:before="9"/>
        <w:rPr>
          <w:sz w:val="23"/>
        </w:rPr>
      </w:pPr>
    </w:p>
    <w:p>
      <w:pPr>
        <w:pStyle w:val="ListParagraph"/>
        <w:numPr>
          <w:ilvl w:val="1"/>
          <w:numId w:val="9"/>
        </w:numPr>
        <w:tabs>
          <w:tab w:pos="1541" w:val="left" w:leader="none"/>
        </w:tabs>
        <w:spacing w:line="240" w:lineRule="auto" w:before="0" w:after="0"/>
        <w:ind w:left="1541" w:right="0" w:hanging="360"/>
        <w:jc w:val="left"/>
        <w:rPr>
          <w:sz w:val="22"/>
        </w:rPr>
      </w:pPr>
      <w:r>
        <w:rPr>
          <w:color w:val="006FC0"/>
          <w:sz w:val="22"/>
        </w:rPr>
        <w:t>Who have been issued SCN for an erroneous refund or</w:t>
      </w:r>
      <w:r>
        <w:rPr>
          <w:color w:val="006FC0"/>
          <w:spacing w:val="-22"/>
          <w:sz w:val="22"/>
        </w:rPr>
        <w:t> </w:t>
      </w:r>
      <w:r>
        <w:rPr>
          <w:color w:val="006FC0"/>
          <w:sz w:val="22"/>
        </w:rPr>
        <w:t>refund.</w:t>
      </w:r>
    </w:p>
    <w:p>
      <w:pPr>
        <w:spacing w:line="254" w:lineRule="auto" w:before="24"/>
        <w:ind w:left="2261" w:right="775" w:hanging="360"/>
        <w:jc w:val="both"/>
        <w:rPr>
          <w:sz w:val="20"/>
        </w:rPr>
      </w:pPr>
      <w:r>
        <w:rPr>
          <w:rFonts w:ascii="Courier New"/>
          <w:sz w:val="20"/>
        </w:rPr>
        <w:t>o </w:t>
      </w:r>
      <w:r>
        <w:rPr>
          <w:sz w:val="20"/>
        </w:rPr>
        <w:t>In this situation, assessee shall be not be able to file declaration under any category of this scheme. [Para 8(4) </w:t>
      </w:r>
      <w:r>
        <w:rPr>
          <w:spacing w:val="-3"/>
          <w:sz w:val="20"/>
        </w:rPr>
        <w:t>of </w:t>
      </w:r>
      <w:r>
        <w:rPr>
          <w:sz w:val="20"/>
        </w:rPr>
        <w:t>Form</w:t>
      </w:r>
      <w:r>
        <w:rPr>
          <w:spacing w:val="4"/>
          <w:sz w:val="20"/>
        </w:rPr>
        <w:t> </w:t>
      </w:r>
      <w:r>
        <w:rPr>
          <w:sz w:val="20"/>
        </w:rPr>
        <w:t>SVLDRS-1.]</w:t>
      </w:r>
    </w:p>
    <w:p>
      <w:pPr>
        <w:pStyle w:val="BodyText"/>
        <w:spacing w:before="12"/>
        <w:rPr>
          <w:sz w:val="23"/>
        </w:rPr>
      </w:pPr>
    </w:p>
    <w:p>
      <w:pPr>
        <w:pStyle w:val="ListParagraph"/>
        <w:numPr>
          <w:ilvl w:val="1"/>
          <w:numId w:val="9"/>
        </w:numPr>
        <w:tabs>
          <w:tab w:pos="1541" w:val="left" w:leader="none"/>
        </w:tabs>
        <w:spacing w:line="259" w:lineRule="auto" w:before="0" w:after="0"/>
        <w:ind w:left="1541" w:right="779" w:hanging="360"/>
        <w:jc w:val="both"/>
        <w:rPr>
          <w:sz w:val="22"/>
        </w:rPr>
      </w:pPr>
      <w:r>
        <w:rPr>
          <w:color w:val="006FC0"/>
          <w:sz w:val="22"/>
        </w:rPr>
        <w:t>Who have been subjected to an enquiry, investigation or audit and amount of duty involved in such enquiry, investigation or audit has</w:t>
      </w:r>
      <w:r>
        <w:rPr>
          <w:color w:val="FF0000"/>
          <w:sz w:val="22"/>
        </w:rPr>
        <w:t> </w:t>
      </w:r>
      <w:r>
        <w:rPr>
          <w:b/>
          <w:color w:val="FF0000"/>
          <w:sz w:val="22"/>
          <w:u w:val="single" w:color="FF0000"/>
        </w:rPr>
        <w:t>not</w:t>
      </w:r>
      <w:r>
        <w:rPr>
          <w:b/>
          <w:color w:val="FF0000"/>
          <w:sz w:val="22"/>
        </w:rPr>
        <w:t> </w:t>
      </w:r>
      <w:r>
        <w:rPr>
          <w:color w:val="006FC0"/>
          <w:sz w:val="22"/>
        </w:rPr>
        <w:t>been quantified up to 30.06.2019.</w:t>
      </w:r>
    </w:p>
    <w:p>
      <w:pPr>
        <w:spacing w:line="259" w:lineRule="auto" w:before="0"/>
        <w:ind w:left="2261" w:right="767" w:hanging="360"/>
        <w:jc w:val="both"/>
        <w:rPr>
          <w:sz w:val="20"/>
        </w:rPr>
      </w:pPr>
      <w:r>
        <w:rPr/>
        <w:pict>
          <v:rect style="position:absolute;margin-left:509.950012pt;margin-top:51.301498pt;width:2.64pt;height:.72pt;mso-position-horizontal-relative:page;mso-position-vertical-relative:paragraph;z-index:-252313600" filled="true" fillcolor="#000000" stroked="false">
            <v:fill type="solid"/>
            <w10:wrap type="none"/>
          </v:rect>
        </w:pict>
      </w:r>
      <w:r>
        <w:rPr>
          <w:rFonts w:ascii="Courier New" w:hAnsi="Courier New"/>
          <w:sz w:val="20"/>
        </w:rPr>
        <w:t>o </w:t>
      </w:r>
      <w:r>
        <w:rPr>
          <w:sz w:val="20"/>
        </w:rPr>
        <w:t>It can be said that if enquiry, investigation or audit is</w:t>
      </w:r>
      <w:r>
        <w:rPr>
          <w:color w:val="FF0000"/>
          <w:sz w:val="20"/>
          <w:u w:val="single" w:color="FF0000"/>
        </w:rPr>
        <w:t> </w:t>
      </w:r>
      <w:r>
        <w:rPr>
          <w:b/>
          <w:color w:val="FF0000"/>
          <w:sz w:val="20"/>
          <w:u w:val="single" w:color="FF0000"/>
        </w:rPr>
        <w:t>“pending” and duty amount is not quantified</w:t>
      </w:r>
      <w:r>
        <w:rPr>
          <w:sz w:val="20"/>
        </w:rPr>
        <w:t>. </w:t>
      </w:r>
      <w:r>
        <w:rPr>
          <w:b/>
          <w:sz w:val="20"/>
          <w:u w:val="single"/>
        </w:rPr>
        <w:t>HOWEVER, DOCUMENTS OR INFORMATION DURING THE COURSE OF ENQUIRY, INVESTIGATION OR AUDIT HAVE BEEN SUBMITTED, IN THIS SITUATION DECLARATION CAN BE FILED UNDER </w:t>
      </w:r>
      <w:r>
        <w:rPr>
          <w:b/>
          <w:color w:val="FF0000"/>
          <w:sz w:val="22"/>
          <w:u w:val="single" w:color="000000"/>
        </w:rPr>
        <w:t>VOLUNTARY CATEGORY</w:t>
      </w:r>
      <w:r>
        <w:rPr>
          <w:b/>
          <w:sz w:val="20"/>
        </w:rPr>
        <w:t>. </w:t>
      </w:r>
      <w:r>
        <w:rPr>
          <w:sz w:val="20"/>
        </w:rPr>
        <w:t>It means no relief of tax, only interest or penalty will be waived. But designated committee may take a view that the provisions of section 125(1)(f) are attracted or not. “Here is the scope with the Revenue to determine”. {para 2(vi) of Circular No. 1072/05/2019-CX} and [Para 8(10) of Form SVLDRS-1.]</w:t>
      </w:r>
    </w:p>
    <w:p>
      <w:pPr>
        <w:pStyle w:val="BodyText"/>
        <w:spacing w:before="8"/>
        <w:rPr>
          <w:sz w:val="20"/>
        </w:rPr>
      </w:pPr>
    </w:p>
    <w:p>
      <w:pPr>
        <w:pStyle w:val="ListParagraph"/>
        <w:numPr>
          <w:ilvl w:val="1"/>
          <w:numId w:val="9"/>
        </w:numPr>
        <w:tabs>
          <w:tab w:pos="1541" w:val="left" w:leader="none"/>
        </w:tabs>
        <w:spacing w:line="240" w:lineRule="auto" w:before="0" w:after="0"/>
        <w:ind w:left="1541" w:right="0" w:hanging="360"/>
        <w:jc w:val="left"/>
        <w:rPr>
          <w:sz w:val="22"/>
        </w:rPr>
      </w:pPr>
      <w:r>
        <w:rPr>
          <w:color w:val="006FC0"/>
          <w:sz w:val="22"/>
        </w:rPr>
        <w:t>A person making the voluntary disclosure:</w:t>
      </w:r>
      <w:r>
        <w:rPr>
          <w:color w:val="006FC0"/>
          <w:spacing w:val="-10"/>
          <w:sz w:val="22"/>
        </w:rPr>
        <w:t> </w:t>
      </w:r>
      <w:r>
        <w:rPr>
          <w:color w:val="006FC0"/>
          <w:sz w:val="22"/>
        </w:rPr>
        <w:t>-</w:t>
      </w:r>
    </w:p>
    <w:p>
      <w:pPr>
        <w:pStyle w:val="ListParagraph"/>
        <w:numPr>
          <w:ilvl w:val="0"/>
          <w:numId w:val="10"/>
        </w:numPr>
        <w:tabs>
          <w:tab w:pos="2261" w:val="left" w:leader="none"/>
          <w:tab w:pos="2262" w:val="left" w:leader="none"/>
        </w:tabs>
        <w:spacing w:line="240" w:lineRule="auto" w:before="25" w:after="0"/>
        <w:ind w:left="2261" w:right="0" w:hanging="361"/>
        <w:jc w:val="left"/>
        <w:rPr>
          <w:sz w:val="22"/>
        </w:rPr>
      </w:pPr>
      <w:r>
        <w:rPr>
          <w:color w:val="006FC0"/>
          <w:sz w:val="22"/>
        </w:rPr>
        <w:t>After being subjected to enquiry, investigation or audit</w:t>
      </w:r>
      <w:r>
        <w:rPr>
          <w:color w:val="006FC0"/>
          <w:spacing w:val="-21"/>
          <w:sz w:val="22"/>
        </w:rPr>
        <w:t> </w:t>
      </w:r>
      <w:r>
        <w:rPr>
          <w:color w:val="006FC0"/>
          <w:sz w:val="22"/>
        </w:rPr>
        <w:t>or</w:t>
      </w:r>
    </w:p>
    <w:p>
      <w:pPr>
        <w:pStyle w:val="ListParagraph"/>
        <w:numPr>
          <w:ilvl w:val="0"/>
          <w:numId w:val="10"/>
        </w:numPr>
        <w:tabs>
          <w:tab w:pos="2261" w:val="left" w:leader="none"/>
          <w:tab w:pos="2262" w:val="left" w:leader="none"/>
        </w:tabs>
        <w:spacing w:line="259" w:lineRule="auto" w:before="12" w:after="0"/>
        <w:ind w:left="2261" w:right="775" w:hanging="360"/>
        <w:jc w:val="left"/>
        <w:rPr>
          <w:sz w:val="22"/>
        </w:rPr>
      </w:pPr>
      <w:r>
        <w:rPr>
          <w:color w:val="006FC0"/>
          <w:sz w:val="22"/>
        </w:rPr>
        <w:t>Having filed a return under indirect tax enactment, wherein duty payable amount is indicated but not</w:t>
      </w:r>
      <w:r>
        <w:rPr>
          <w:color w:val="006FC0"/>
          <w:spacing w:val="-17"/>
          <w:sz w:val="22"/>
        </w:rPr>
        <w:t> </w:t>
      </w:r>
      <w:r>
        <w:rPr>
          <w:color w:val="006FC0"/>
          <w:sz w:val="22"/>
        </w:rPr>
        <w:t>paid.</w:t>
      </w:r>
    </w:p>
    <w:p>
      <w:pPr>
        <w:pStyle w:val="BodyText"/>
        <w:spacing w:before="1"/>
        <w:rPr>
          <w:sz w:val="9"/>
        </w:rPr>
      </w:pPr>
      <w:r>
        <w:rPr/>
        <w:pict>
          <v:shape style="position:absolute;margin-left:142.850006pt;margin-top:7.785192pt;width:380.8pt;height:111.45pt;mso-position-horizontal-relative:page;mso-position-vertical-relative:paragraph;z-index:-251650048;mso-wrap-distance-left:0;mso-wrap-distance-right:0" type="#_x0000_t202" filled="false" stroked="true" strokeweight=".47998pt" strokecolor="#000000">
            <v:textbox inset="0,0,0,0">
              <w:txbxContent>
                <w:p>
                  <w:pPr>
                    <w:spacing w:before="2"/>
                    <w:ind w:left="105" w:right="0" w:firstLine="0"/>
                    <w:jc w:val="left"/>
                    <w:rPr>
                      <w:i/>
                      <w:sz w:val="20"/>
                    </w:rPr>
                  </w:pPr>
                  <w:r>
                    <w:rPr>
                      <w:i/>
                      <w:sz w:val="20"/>
                    </w:rPr>
                    <w:t>This scheme cannot be opted if the Voluntary disclosure is made under below situations: -</w:t>
                  </w:r>
                </w:p>
                <w:p>
                  <w:pPr>
                    <w:pStyle w:val="BodyText"/>
                    <w:spacing w:before="1"/>
                    <w:rPr>
                      <w:sz w:val="20"/>
                    </w:rPr>
                  </w:pPr>
                </w:p>
                <w:p>
                  <w:pPr>
                    <w:numPr>
                      <w:ilvl w:val="0"/>
                      <w:numId w:val="11"/>
                    </w:numPr>
                    <w:tabs>
                      <w:tab w:pos="1546" w:val="left" w:leader="none"/>
                      <w:tab w:pos="1547" w:val="left" w:leader="none"/>
                    </w:tabs>
                    <w:spacing w:before="0"/>
                    <w:ind w:left="1546" w:right="98" w:hanging="361"/>
                    <w:jc w:val="left"/>
                    <w:rPr>
                      <w:i/>
                      <w:sz w:val="20"/>
                    </w:rPr>
                  </w:pPr>
                  <w:r>
                    <w:rPr>
                      <w:i/>
                      <w:sz w:val="20"/>
                    </w:rPr>
                    <w:t>After being subjected to enquiry or investigation and </w:t>
                  </w:r>
                  <w:r>
                    <w:rPr>
                      <w:i/>
                      <w:spacing w:val="-3"/>
                      <w:sz w:val="20"/>
                    </w:rPr>
                    <w:t>such </w:t>
                  </w:r>
                  <w:r>
                    <w:rPr>
                      <w:i/>
                      <w:sz w:val="20"/>
                    </w:rPr>
                    <w:t>enquiry or </w:t>
                  </w:r>
                  <w:r>
                    <w:rPr>
                      <w:i/>
                      <w:sz w:val="20"/>
                    </w:rPr>
                    <w:t>investigation is yet </w:t>
                  </w:r>
                  <w:r>
                    <w:rPr>
                      <w:i/>
                      <w:spacing w:val="-3"/>
                      <w:sz w:val="20"/>
                    </w:rPr>
                    <w:t>to </w:t>
                  </w:r>
                  <w:r>
                    <w:rPr>
                      <w:i/>
                      <w:sz w:val="20"/>
                    </w:rPr>
                    <w:t>be started or it is at early</w:t>
                  </w:r>
                  <w:r>
                    <w:rPr>
                      <w:i/>
                      <w:spacing w:val="-3"/>
                      <w:sz w:val="20"/>
                    </w:rPr>
                    <w:t> </w:t>
                  </w:r>
                  <w:r>
                    <w:rPr>
                      <w:i/>
                      <w:sz w:val="20"/>
                    </w:rPr>
                    <w:t>stage.</w:t>
                  </w:r>
                </w:p>
                <w:p>
                  <w:pPr>
                    <w:pStyle w:val="BodyText"/>
                    <w:spacing w:before="6"/>
                    <w:rPr>
                      <w:sz w:val="20"/>
                    </w:rPr>
                  </w:pPr>
                </w:p>
                <w:p>
                  <w:pPr>
                    <w:numPr>
                      <w:ilvl w:val="0"/>
                      <w:numId w:val="11"/>
                    </w:numPr>
                    <w:tabs>
                      <w:tab w:pos="1546" w:val="left" w:leader="none"/>
                      <w:tab w:pos="1547" w:val="left" w:leader="none"/>
                    </w:tabs>
                    <w:spacing w:line="235" w:lineRule="auto" w:before="0"/>
                    <w:ind w:left="1546" w:right="100" w:hanging="361"/>
                    <w:jc w:val="left"/>
                    <w:rPr>
                      <w:i/>
                      <w:sz w:val="20"/>
                    </w:rPr>
                  </w:pPr>
                  <w:r>
                    <w:rPr>
                      <w:i/>
                      <w:sz w:val="20"/>
                    </w:rPr>
                    <w:t>After being subjected </w:t>
                  </w:r>
                  <w:r>
                    <w:rPr>
                      <w:i/>
                      <w:spacing w:val="-3"/>
                      <w:sz w:val="20"/>
                    </w:rPr>
                    <w:t>to </w:t>
                  </w:r>
                  <w:r>
                    <w:rPr>
                      <w:i/>
                      <w:sz w:val="20"/>
                    </w:rPr>
                    <w:t>audit and </w:t>
                  </w:r>
                  <w:r>
                    <w:rPr>
                      <w:i/>
                      <w:spacing w:val="-3"/>
                      <w:sz w:val="20"/>
                    </w:rPr>
                    <w:t>such </w:t>
                  </w:r>
                  <w:r>
                    <w:rPr>
                      <w:i/>
                      <w:sz w:val="20"/>
                    </w:rPr>
                    <w:t>audit is yet </w:t>
                  </w:r>
                  <w:r>
                    <w:rPr>
                      <w:i/>
                      <w:spacing w:val="-3"/>
                      <w:sz w:val="20"/>
                    </w:rPr>
                    <w:t>to </w:t>
                  </w:r>
                  <w:r>
                    <w:rPr>
                      <w:i/>
                      <w:sz w:val="20"/>
                    </w:rPr>
                    <w:t>be started or it is at </w:t>
                  </w:r>
                  <w:r>
                    <w:rPr>
                      <w:i/>
                      <w:sz w:val="20"/>
                    </w:rPr>
                    <w:t>early</w:t>
                  </w:r>
                  <w:r>
                    <w:rPr>
                      <w:i/>
                      <w:spacing w:val="-2"/>
                      <w:sz w:val="20"/>
                    </w:rPr>
                    <w:t> </w:t>
                  </w:r>
                  <w:r>
                    <w:rPr>
                      <w:i/>
                      <w:sz w:val="20"/>
                    </w:rPr>
                    <w:t>stage.</w:t>
                  </w:r>
                </w:p>
                <w:p>
                  <w:pPr>
                    <w:pStyle w:val="BodyText"/>
                    <w:spacing w:before="3"/>
                    <w:rPr>
                      <w:sz w:val="20"/>
                    </w:rPr>
                  </w:pPr>
                </w:p>
                <w:p>
                  <w:pPr>
                    <w:numPr>
                      <w:ilvl w:val="0"/>
                      <w:numId w:val="11"/>
                    </w:numPr>
                    <w:tabs>
                      <w:tab w:pos="1546" w:val="left" w:leader="none"/>
                      <w:tab w:pos="1547" w:val="left" w:leader="none"/>
                    </w:tabs>
                    <w:spacing w:line="262" w:lineRule="exact" w:before="1"/>
                    <w:ind w:left="1546" w:right="0" w:hanging="361"/>
                    <w:jc w:val="left"/>
                    <w:rPr>
                      <w:i/>
                      <w:color w:val="006FC0"/>
                      <w:sz w:val="22"/>
                    </w:rPr>
                  </w:pPr>
                  <w:r>
                    <w:rPr>
                      <w:i/>
                      <w:sz w:val="20"/>
                    </w:rPr>
                    <w:t>If</w:t>
                  </w:r>
                  <w:r>
                    <w:rPr>
                      <w:i/>
                      <w:spacing w:val="-3"/>
                      <w:sz w:val="20"/>
                    </w:rPr>
                    <w:t> </w:t>
                  </w:r>
                  <w:r>
                    <w:rPr>
                      <w:i/>
                      <w:sz w:val="20"/>
                    </w:rPr>
                    <w:t>return</w:t>
                  </w:r>
                  <w:r>
                    <w:rPr>
                      <w:i/>
                      <w:spacing w:val="-1"/>
                      <w:sz w:val="20"/>
                    </w:rPr>
                    <w:t> </w:t>
                  </w:r>
                  <w:r>
                    <w:rPr>
                      <w:i/>
                      <w:sz w:val="20"/>
                    </w:rPr>
                    <w:t>is</w:t>
                  </w:r>
                  <w:r>
                    <w:rPr>
                      <w:i/>
                      <w:spacing w:val="-5"/>
                      <w:sz w:val="20"/>
                    </w:rPr>
                    <w:t> </w:t>
                  </w:r>
                  <w:r>
                    <w:rPr>
                      <w:i/>
                      <w:sz w:val="20"/>
                    </w:rPr>
                    <w:t>field, where</w:t>
                  </w:r>
                  <w:r>
                    <w:rPr>
                      <w:i/>
                      <w:spacing w:val="-4"/>
                      <w:sz w:val="20"/>
                    </w:rPr>
                    <w:t> </w:t>
                  </w:r>
                  <w:r>
                    <w:rPr>
                      <w:i/>
                      <w:sz w:val="20"/>
                    </w:rPr>
                    <w:t>duty</w:t>
                  </w:r>
                  <w:r>
                    <w:rPr>
                      <w:i/>
                      <w:spacing w:val="-7"/>
                      <w:sz w:val="20"/>
                    </w:rPr>
                    <w:t> </w:t>
                  </w:r>
                  <w:r>
                    <w:rPr>
                      <w:i/>
                      <w:sz w:val="20"/>
                    </w:rPr>
                    <w:t>payable</w:t>
                  </w:r>
                  <w:r>
                    <w:rPr>
                      <w:i/>
                      <w:spacing w:val="-3"/>
                      <w:sz w:val="20"/>
                    </w:rPr>
                    <w:t> </w:t>
                  </w:r>
                  <w:r>
                    <w:rPr>
                      <w:i/>
                      <w:sz w:val="20"/>
                    </w:rPr>
                    <w:t>amount</w:t>
                  </w:r>
                  <w:r>
                    <w:rPr>
                      <w:i/>
                      <w:spacing w:val="-4"/>
                      <w:sz w:val="20"/>
                    </w:rPr>
                    <w:t> </w:t>
                  </w:r>
                  <w:r>
                    <w:rPr>
                      <w:i/>
                      <w:sz w:val="20"/>
                    </w:rPr>
                    <w:t>is</w:t>
                  </w:r>
                  <w:r>
                    <w:rPr>
                      <w:i/>
                      <w:spacing w:val="-4"/>
                      <w:sz w:val="20"/>
                    </w:rPr>
                    <w:t> </w:t>
                  </w:r>
                  <w:r>
                    <w:rPr>
                      <w:i/>
                      <w:sz w:val="20"/>
                    </w:rPr>
                    <w:t>indicated</w:t>
                  </w:r>
                  <w:r>
                    <w:rPr>
                      <w:i/>
                      <w:spacing w:val="-6"/>
                      <w:sz w:val="20"/>
                    </w:rPr>
                    <w:t> </w:t>
                  </w:r>
                  <w:r>
                    <w:rPr>
                      <w:i/>
                      <w:sz w:val="20"/>
                    </w:rPr>
                    <w:t>but</w:t>
                  </w:r>
                  <w:r>
                    <w:rPr>
                      <w:i/>
                      <w:spacing w:val="-8"/>
                      <w:sz w:val="20"/>
                    </w:rPr>
                    <w:t> </w:t>
                  </w:r>
                  <w:r>
                    <w:rPr>
                      <w:i/>
                      <w:sz w:val="20"/>
                    </w:rPr>
                    <w:t>it</w:t>
                  </w:r>
                  <w:r>
                    <w:rPr>
                      <w:i/>
                      <w:spacing w:val="-3"/>
                      <w:sz w:val="20"/>
                    </w:rPr>
                    <w:t> </w:t>
                  </w:r>
                  <w:r>
                    <w:rPr>
                      <w:i/>
                      <w:sz w:val="20"/>
                    </w:rPr>
                    <w:t>is</w:t>
                  </w:r>
                  <w:r>
                    <w:rPr>
                      <w:i/>
                      <w:spacing w:val="-5"/>
                      <w:sz w:val="20"/>
                    </w:rPr>
                    <w:t> </w:t>
                  </w:r>
                  <w:r>
                    <w:rPr>
                      <w:i/>
                      <w:sz w:val="20"/>
                    </w:rPr>
                    <w:t>not</w:t>
                  </w:r>
                  <w:r>
                    <w:rPr>
                      <w:i/>
                      <w:spacing w:val="-3"/>
                      <w:sz w:val="20"/>
                    </w:rPr>
                    <w:t> </w:t>
                  </w:r>
                  <w:r>
                    <w:rPr>
                      <w:i/>
                      <w:sz w:val="20"/>
                    </w:rPr>
                    <w:t>paid.</w:t>
                  </w:r>
                </w:p>
              </w:txbxContent>
            </v:textbox>
            <v:stroke dashstyle="solid"/>
            <w10:wrap type="topAndBottom"/>
          </v:shape>
        </w:pict>
      </w:r>
    </w:p>
    <w:p>
      <w:pPr>
        <w:spacing w:after="0"/>
        <w:rPr>
          <w:sz w:val="9"/>
        </w:rPr>
        <w:sectPr>
          <w:pgSz w:w="11910" w:h="16840"/>
          <w:pgMar w:header="764" w:footer="992" w:top="1620" w:bottom="1180" w:left="1340" w:right="660"/>
        </w:sectPr>
      </w:pPr>
    </w:p>
    <w:p>
      <w:pPr>
        <w:pStyle w:val="BodyText"/>
        <w:rPr>
          <w:sz w:val="19"/>
        </w:rPr>
      </w:pPr>
    </w:p>
    <w:p>
      <w:pPr>
        <w:pStyle w:val="ListParagraph"/>
        <w:numPr>
          <w:ilvl w:val="1"/>
          <w:numId w:val="9"/>
        </w:numPr>
        <w:tabs>
          <w:tab w:pos="1541" w:val="left" w:leader="none"/>
        </w:tabs>
        <w:spacing w:line="240" w:lineRule="auto" w:before="57" w:after="0"/>
        <w:ind w:left="1541" w:right="0" w:hanging="360"/>
        <w:jc w:val="left"/>
        <w:rPr>
          <w:sz w:val="22"/>
        </w:rPr>
      </w:pPr>
      <w:r>
        <w:rPr>
          <w:color w:val="006FC0"/>
          <w:sz w:val="22"/>
        </w:rPr>
        <w:t>Who have filed application before Settlement Commission for settlement of a</w:t>
      </w:r>
      <w:r>
        <w:rPr>
          <w:color w:val="006FC0"/>
          <w:spacing w:val="-26"/>
          <w:sz w:val="22"/>
        </w:rPr>
        <w:t> </w:t>
      </w:r>
      <w:r>
        <w:rPr>
          <w:color w:val="006FC0"/>
          <w:sz w:val="22"/>
        </w:rPr>
        <w:t>case?</w:t>
      </w:r>
    </w:p>
    <w:p>
      <w:pPr>
        <w:pStyle w:val="ListParagraph"/>
        <w:numPr>
          <w:ilvl w:val="0"/>
          <w:numId w:val="12"/>
        </w:numPr>
        <w:tabs>
          <w:tab w:pos="2262" w:val="left" w:leader="none"/>
        </w:tabs>
        <w:spacing w:line="254" w:lineRule="auto" w:before="19" w:after="0"/>
        <w:ind w:left="2261" w:right="852" w:hanging="360"/>
        <w:jc w:val="both"/>
        <w:rPr>
          <w:sz w:val="20"/>
        </w:rPr>
      </w:pPr>
      <w:r>
        <w:rPr>
          <w:sz w:val="20"/>
        </w:rPr>
        <w:t>In this situation, assessee shall be not be able to file declaration under any category of this scheme. [Para 8(2) </w:t>
      </w:r>
      <w:r>
        <w:rPr>
          <w:spacing w:val="-3"/>
          <w:sz w:val="20"/>
        </w:rPr>
        <w:t>of </w:t>
      </w:r>
      <w:r>
        <w:rPr>
          <w:sz w:val="20"/>
        </w:rPr>
        <w:t>Form</w:t>
      </w:r>
      <w:r>
        <w:rPr>
          <w:spacing w:val="5"/>
          <w:sz w:val="20"/>
        </w:rPr>
        <w:t> </w:t>
      </w:r>
      <w:r>
        <w:rPr>
          <w:sz w:val="20"/>
        </w:rPr>
        <w:t>SVLDRS-1]</w:t>
      </w:r>
    </w:p>
    <w:p>
      <w:pPr>
        <w:pStyle w:val="BodyText"/>
      </w:pPr>
    </w:p>
    <w:p>
      <w:pPr>
        <w:pStyle w:val="ListParagraph"/>
        <w:numPr>
          <w:ilvl w:val="0"/>
          <w:numId w:val="12"/>
        </w:numPr>
        <w:tabs>
          <w:tab w:pos="2262" w:val="left" w:leader="none"/>
        </w:tabs>
        <w:spacing w:line="256" w:lineRule="auto" w:before="0" w:after="0"/>
        <w:ind w:left="2261" w:right="765" w:hanging="360"/>
        <w:jc w:val="both"/>
        <w:rPr>
          <w:sz w:val="20"/>
        </w:rPr>
      </w:pPr>
      <w:r>
        <w:rPr>
          <w:sz w:val="20"/>
        </w:rPr>
        <w:t>In</w:t>
      </w:r>
      <w:r>
        <w:rPr>
          <w:spacing w:val="-13"/>
          <w:sz w:val="20"/>
        </w:rPr>
        <w:t> </w:t>
      </w:r>
      <w:r>
        <w:rPr>
          <w:sz w:val="20"/>
        </w:rPr>
        <w:t>many</w:t>
      </w:r>
      <w:r>
        <w:rPr>
          <w:spacing w:val="-13"/>
          <w:sz w:val="20"/>
        </w:rPr>
        <w:t> </w:t>
      </w:r>
      <w:r>
        <w:rPr>
          <w:sz w:val="20"/>
        </w:rPr>
        <w:t>cases</w:t>
      </w:r>
      <w:r>
        <w:rPr>
          <w:spacing w:val="-9"/>
          <w:sz w:val="20"/>
        </w:rPr>
        <w:t> </w:t>
      </w:r>
      <w:r>
        <w:rPr>
          <w:sz w:val="20"/>
        </w:rPr>
        <w:t>proceedings</w:t>
      </w:r>
      <w:r>
        <w:rPr>
          <w:spacing w:val="-14"/>
          <w:sz w:val="20"/>
        </w:rPr>
        <w:t> </w:t>
      </w:r>
      <w:r>
        <w:rPr>
          <w:sz w:val="20"/>
        </w:rPr>
        <w:t>before</w:t>
      </w:r>
      <w:r>
        <w:rPr>
          <w:spacing w:val="-12"/>
          <w:sz w:val="20"/>
        </w:rPr>
        <w:t> </w:t>
      </w:r>
      <w:r>
        <w:rPr>
          <w:sz w:val="20"/>
        </w:rPr>
        <w:t>Settlement</w:t>
      </w:r>
      <w:r>
        <w:rPr>
          <w:spacing w:val="-12"/>
          <w:sz w:val="20"/>
        </w:rPr>
        <w:t> </w:t>
      </w:r>
      <w:r>
        <w:rPr>
          <w:sz w:val="20"/>
        </w:rPr>
        <w:t>Commission</w:t>
      </w:r>
      <w:r>
        <w:rPr>
          <w:spacing w:val="-13"/>
          <w:sz w:val="20"/>
        </w:rPr>
        <w:t> </w:t>
      </w:r>
      <w:r>
        <w:rPr>
          <w:sz w:val="20"/>
        </w:rPr>
        <w:t>is</w:t>
      </w:r>
      <w:r>
        <w:rPr>
          <w:spacing w:val="-14"/>
          <w:sz w:val="20"/>
        </w:rPr>
        <w:t> </w:t>
      </w:r>
      <w:r>
        <w:rPr>
          <w:sz w:val="20"/>
        </w:rPr>
        <w:t>declined</w:t>
      </w:r>
      <w:r>
        <w:rPr>
          <w:spacing w:val="-12"/>
          <w:sz w:val="20"/>
        </w:rPr>
        <w:t> </w:t>
      </w:r>
      <w:r>
        <w:rPr>
          <w:spacing w:val="-3"/>
          <w:sz w:val="20"/>
        </w:rPr>
        <w:t>due</w:t>
      </w:r>
      <w:r>
        <w:rPr>
          <w:spacing w:val="-7"/>
          <w:sz w:val="20"/>
        </w:rPr>
        <w:t> </w:t>
      </w:r>
      <w:r>
        <w:rPr>
          <w:sz w:val="20"/>
        </w:rPr>
        <w:t>to</w:t>
      </w:r>
      <w:r>
        <w:rPr>
          <w:spacing w:val="-18"/>
          <w:sz w:val="20"/>
        </w:rPr>
        <w:t> </w:t>
      </w:r>
      <w:r>
        <w:rPr>
          <w:sz w:val="20"/>
        </w:rPr>
        <w:t>rejection of application or Order is not passed in time. In such a case, it will be assumed that no application has been filed and assessee may enjoy the benefits of</w:t>
      </w:r>
      <w:r>
        <w:rPr>
          <w:spacing w:val="29"/>
          <w:sz w:val="20"/>
        </w:rPr>
        <w:t> </w:t>
      </w:r>
      <w:r>
        <w:rPr>
          <w:sz w:val="20"/>
        </w:rPr>
        <w:t>this scheme.</w:t>
      </w:r>
    </w:p>
    <w:p>
      <w:pPr>
        <w:spacing w:before="2"/>
        <w:ind w:left="2261" w:right="0" w:firstLine="0"/>
        <w:jc w:val="both"/>
        <w:rPr>
          <w:sz w:val="20"/>
        </w:rPr>
      </w:pPr>
      <w:r>
        <w:rPr>
          <w:sz w:val="20"/>
        </w:rPr>
        <w:t>{Para 10(f) of Circular No.1071/4/2019-CX.8 dated 27.08.2019}.</w:t>
      </w:r>
    </w:p>
    <w:p>
      <w:pPr>
        <w:pStyle w:val="BodyText"/>
        <w:spacing w:before="3"/>
        <w:rPr>
          <w:sz w:val="25"/>
        </w:rPr>
      </w:pPr>
    </w:p>
    <w:p>
      <w:pPr>
        <w:pStyle w:val="ListParagraph"/>
        <w:numPr>
          <w:ilvl w:val="1"/>
          <w:numId w:val="9"/>
        </w:numPr>
        <w:tabs>
          <w:tab w:pos="1532" w:val="left" w:leader="none"/>
        </w:tabs>
        <w:spacing w:line="256" w:lineRule="auto" w:before="0" w:after="0"/>
        <w:ind w:left="1541" w:right="779" w:hanging="360"/>
        <w:jc w:val="left"/>
        <w:rPr>
          <w:sz w:val="22"/>
        </w:rPr>
      </w:pPr>
      <w:r>
        <w:rPr>
          <w:color w:val="006FC0"/>
          <w:sz w:val="22"/>
        </w:rPr>
        <w:t>Persons seeking to make declaration with respect to excisable goods set forth in the Fourth</w:t>
      </w:r>
      <w:r>
        <w:rPr>
          <w:color w:val="006FC0"/>
          <w:spacing w:val="-8"/>
          <w:sz w:val="22"/>
        </w:rPr>
        <w:t> </w:t>
      </w:r>
      <w:r>
        <w:rPr>
          <w:color w:val="006FC0"/>
          <w:sz w:val="22"/>
        </w:rPr>
        <w:t>Schedule</w:t>
      </w:r>
      <w:r>
        <w:rPr>
          <w:color w:val="006FC0"/>
          <w:spacing w:val="-11"/>
          <w:sz w:val="22"/>
        </w:rPr>
        <w:t> </w:t>
      </w:r>
      <w:r>
        <w:rPr>
          <w:color w:val="006FC0"/>
          <w:sz w:val="22"/>
        </w:rPr>
        <w:t>to</w:t>
      </w:r>
      <w:r>
        <w:rPr>
          <w:color w:val="006FC0"/>
          <w:spacing w:val="-8"/>
          <w:sz w:val="22"/>
        </w:rPr>
        <w:t> </w:t>
      </w:r>
      <w:r>
        <w:rPr>
          <w:color w:val="006FC0"/>
          <w:sz w:val="22"/>
        </w:rPr>
        <w:t>the</w:t>
      </w:r>
      <w:r>
        <w:rPr>
          <w:color w:val="006FC0"/>
          <w:spacing w:val="-7"/>
          <w:sz w:val="22"/>
        </w:rPr>
        <w:t> </w:t>
      </w:r>
      <w:r>
        <w:rPr>
          <w:color w:val="006FC0"/>
          <w:sz w:val="22"/>
        </w:rPr>
        <w:t>Central</w:t>
      </w:r>
      <w:r>
        <w:rPr>
          <w:color w:val="006FC0"/>
          <w:spacing w:val="-5"/>
          <w:sz w:val="22"/>
        </w:rPr>
        <w:t> </w:t>
      </w:r>
      <w:r>
        <w:rPr>
          <w:color w:val="006FC0"/>
          <w:sz w:val="22"/>
        </w:rPr>
        <w:t>Excise</w:t>
      </w:r>
      <w:r>
        <w:rPr>
          <w:color w:val="006FC0"/>
          <w:spacing w:val="-20"/>
          <w:sz w:val="22"/>
        </w:rPr>
        <w:t> </w:t>
      </w:r>
      <w:r>
        <w:rPr>
          <w:color w:val="006FC0"/>
          <w:sz w:val="22"/>
        </w:rPr>
        <w:t>Act,</w:t>
      </w:r>
      <w:r>
        <w:rPr>
          <w:color w:val="006FC0"/>
          <w:spacing w:val="-10"/>
          <w:sz w:val="22"/>
        </w:rPr>
        <w:t> </w:t>
      </w:r>
      <w:r>
        <w:rPr>
          <w:color w:val="006FC0"/>
          <w:sz w:val="22"/>
        </w:rPr>
        <w:t>1944.</w:t>
      </w:r>
    </w:p>
    <w:p>
      <w:pPr>
        <w:tabs>
          <w:tab w:pos="2261" w:val="left" w:leader="none"/>
        </w:tabs>
        <w:spacing w:line="254" w:lineRule="auto" w:before="6"/>
        <w:ind w:left="2261" w:right="852" w:hanging="360"/>
        <w:jc w:val="left"/>
        <w:rPr>
          <w:sz w:val="20"/>
        </w:rPr>
      </w:pPr>
      <w:r>
        <w:rPr>
          <w:sz w:val="20"/>
        </w:rPr>
        <w:t>-</w:t>
        <w:tab/>
        <w:t>In this situation, assessee shall be not be able to file declaration under any category of this scheme. [Para 8(3) </w:t>
      </w:r>
      <w:r>
        <w:rPr>
          <w:spacing w:val="-3"/>
          <w:sz w:val="20"/>
        </w:rPr>
        <w:t>of </w:t>
      </w:r>
      <w:r>
        <w:rPr>
          <w:sz w:val="20"/>
        </w:rPr>
        <w:t>Form</w:t>
      </w:r>
      <w:r>
        <w:rPr>
          <w:spacing w:val="4"/>
          <w:sz w:val="20"/>
        </w:rPr>
        <w:t> </w:t>
      </w:r>
      <w:r>
        <w:rPr>
          <w:sz w:val="20"/>
        </w:rPr>
        <w:t>SVLDRS-1.]</w:t>
      </w:r>
    </w:p>
    <w:p>
      <w:pPr>
        <w:pStyle w:val="ListParagraph"/>
        <w:numPr>
          <w:ilvl w:val="0"/>
          <w:numId w:val="9"/>
        </w:numPr>
        <w:tabs>
          <w:tab w:pos="384" w:val="left" w:leader="none"/>
        </w:tabs>
        <w:spacing w:line="240" w:lineRule="auto" w:before="169" w:after="0"/>
        <w:ind w:left="383" w:right="0" w:hanging="284"/>
        <w:jc w:val="left"/>
        <w:rPr>
          <w:sz w:val="22"/>
        </w:rPr>
      </w:pPr>
      <w:r>
        <w:rPr>
          <w:color w:val="006FC0"/>
          <w:sz w:val="22"/>
        </w:rPr>
        <w:t>Adeclaration</w:t>
      </w:r>
      <w:r>
        <w:rPr>
          <w:color w:val="006FC0"/>
          <w:spacing w:val="-17"/>
          <w:sz w:val="22"/>
        </w:rPr>
        <w:t> </w:t>
      </w:r>
      <w:r>
        <w:rPr>
          <w:color w:val="006FC0"/>
          <w:sz w:val="22"/>
        </w:rPr>
        <w:t>under</w:t>
      </w:r>
      <w:r>
        <w:rPr>
          <w:color w:val="006FC0"/>
          <w:spacing w:val="-11"/>
          <w:sz w:val="22"/>
        </w:rPr>
        <w:t> </w:t>
      </w:r>
      <w:r>
        <w:rPr>
          <w:color w:val="006FC0"/>
          <w:sz w:val="22"/>
        </w:rPr>
        <w:t>sub-section</w:t>
      </w:r>
      <w:r>
        <w:rPr>
          <w:color w:val="006FC0"/>
          <w:spacing w:val="-12"/>
          <w:sz w:val="22"/>
        </w:rPr>
        <w:t> </w:t>
      </w:r>
      <w:r>
        <w:rPr>
          <w:color w:val="006FC0"/>
          <w:sz w:val="22"/>
        </w:rPr>
        <w:t>(</w:t>
      </w:r>
      <w:r>
        <w:rPr>
          <w:i/>
          <w:color w:val="006FC0"/>
          <w:sz w:val="22"/>
        </w:rPr>
        <w:t>1</w:t>
      </w:r>
      <w:r>
        <w:rPr>
          <w:color w:val="006FC0"/>
          <w:sz w:val="22"/>
        </w:rPr>
        <w:t>)</w:t>
      </w:r>
      <w:r>
        <w:rPr>
          <w:color w:val="006FC0"/>
          <w:spacing w:val="-12"/>
          <w:sz w:val="22"/>
        </w:rPr>
        <w:t> </w:t>
      </w:r>
      <w:r>
        <w:rPr>
          <w:color w:val="006FC0"/>
          <w:sz w:val="22"/>
        </w:rPr>
        <w:t>shall</w:t>
      </w:r>
      <w:r>
        <w:rPr>
          <w:color w:val="006FC0"/>
          <w:spacing w:val="-14"/>
          <w:sz w:val="22"/>
        </w:rPr>
        <w:t> </w:t>
      </w:r>
      <w:r>
        <w:rPr>
          <w:color w:val="006FC0"/>
          <w:sz w:val="22"/>
        </w:rPr>
        <w:t>be</w:t>
      </w:r>
      <w:r>
        <w:rPr>
          <w:color w:val="006FC0"/>
          <w:spacing w:val="-11"/>
          <w:sz w:val="22"/>
        </w:rPr>
        <w:t> </w:t>
      </w:r>
      <w:r>
        <w:rPr>
          <w:color w:val="006FC0"/>
          <w:sz w:val="22"/>
        </w:rPr>
        <w:t>made</w:t>
      </w:r>
      <w:r>
        <w:rPr>
          <w:color w:val="006FC0"/>
          <w:spacing w:val="-15"/>
          <w:sz w:val="22"/>
        </w:rPr>
        <w:t> </w:t>
      </w:r>
      <w:r>
        <w:rPr>
          <w:color w:val="006FC0"/>
          <w:spacing w:val="-8"/>
          <w:sz w:val="22"/>
        </w:rPr>
        <w:t>as</w:t>
      </w:r>
      <w:r>
        <w:rPr>
          <w:color w:val="006FC0"/>
          <w:spacing w:val="-7"/>
          <w:sz w:val="22"/>
        </w:rPr>
        <w:t> </w:t>
      </w:r>
      <w:r>
        <w:rPr>
          <w:color w:val="006FC0"/>
          <w:sz w:val="22"/>
        </w:rPr>
        <w:t>per</w:t>
      </w:r>
      <w:r>
        <w:rPr>
          <w:color w:val="006FC0"/>
          <w:spacing w:val="-1"/>
          <w:sz w:val="22"/>
        </w:rPr>
        <w:t> </w:t>
      </w:r>
      <w:r>
        <w:rPr>
          <w:color w:val="006FC0"/>
          <w:sz w:val="22"/>
        </w:rPr>
        <w:t>rule</w:t>
      </w:r>
      <w:r>
        <w:rPr>
          <w:color w:val="006FC0"/>
          <w:spacing w:val="-2"/>
          <w:sz w:val="22"/>
        </w:rPr>
        <w:t> </w:t>
      </w:r>
      <w:r>
        <w:rPr>
          <w:color w:val="006FC0"/>
          <w:sz w:val="22"/>
        </w:rPr>
        <w:t>3</w:t>
      </w:r>
      <w:r>
        <w:rPr>
          <w:color w:val="006FC0"/>
          <w:spacing w:val="-4"/>
          <w:sz w:val="22"/>
        </w:rPr>
        <w:t> </w:t>
      </w:r>
      <w:r>
        <w:rPr>
          <w:color w:val="006FC0"/>
          <w:sz w:val="22"/>
        </w:rPr>
        <w:t>in</w:t>
      </w:r>
      <w:r>
        <w:rPr>
          <w:color w:val="006FC0"/>
          <w:spacing w:val="-3"/>
          <w:sz w:val="22"/>
        </w:rPr>
        <w:t> </w:t>
      </w:r>
      <w:r>
        <w:rPr>
          <w:color w:val="006FC0"/>
          <w:sz w:val="22"/>
        </w:rPr>
        <w:t>form</w:t>
      </w:r>
      <w:r>
        <w:rPr>
          <w:color w:val="006FC0"/>
          <w:spacing w:val="-2"/>
          <w:sz w:val="22"/>
        </w:rPr>
        <w:t> </w:t>
      </w:r>
      <w:r>
        <w:rPr>
          <w:color w:val="006FC0"/>
          <w:sz w:val="22"/>
        </w:rPr>
        <w:t>SVLDRS-1.</w:t>
      </w:r>
    </w:p>
    <w:p>
      <w:pPr>
        <w:pStyle w:val="BodyText"/>
      </w:pPr>
    </w:p>
    <w:p>
      <w:pPr>
        <w:spacing w:before="192"/>
        <w:ind w:left="100" w:right="0" w:firstLine="0"/>
        <w:jc w:val="left"/>
        <w:rPr>
          <w:rFonts w:ascii="Arial Black" w:hAnsi="Arial Black"/>
          <w:sz w:val="20"/>
        </w:rPr>
      </w:pPr>
      <w:r>
        <w:rPr>
          <w:rFonts w:ascii="Arial Black" w:hAnsi="Arial Black"/>
          <w:sz w:val="20"/>
        </w:rPr>
        <w:t>Sec-126 – Verification of declaration by designated committee–</w:t>
      </w:r>
    </w:p>
    <w:p>
      <w:pPr>
        <w:pStyle w:val="ListParagraph"/>
        <w:numPr>
          <w:ilvl w:val="0"/>
          <w:numId w:val="13"/>
        </w:numPr>
        <w:tabs>
          <w:tab w:pos="1181" w:val="left" w:leader="none"/>
        </w:tabs>
        <w:spacing w:line="252" w:lineRule="auto" w:before="185" w:after="0"/>
        <w:ind w:left="1181" w:right="769" w:hanging="360"/>
        <w:jc w:val="left"/>
        <w:rPr>
          <w:b/>
          <w:color w:val="006FC0"/>
          <w:sz w:val="22"/>
        </w:rPr>
      </w:pPr>
      <w:r>
        <w:rPr>
          <w:color w:val="006FC0"/>
          <w:sz w:val="22"/>
        </w:rPr>
        <w:t>Designated</w:t>
      </w:r>
      <w:r>
        <w:rPr>
          <w:color w:val="006FC0"/>
          <w:spacing w:val="-14"/>
          <w:sz w:val="22"/>
        </w:rPr>
        <w:t> </w:t>
      </w:r>
      <w:r>
        <w:rPr>
          <w:color w:val="006FC0"/>
          <w:sz w:val="22"/>
        </w:rPr>
        <w:t>committee</w:t>
      </w:r>
      <w:r>
        <w:rPr>
          <w:color w:val="006FC0"/>
          <w:spacing w:val="-13"/>
          <w:sz w:val="22"/>
        </w:rPr>
        <w:t> </w:t>
      </w:r>
      <w:r>
        <w:rPr>
          <w:color w:val="006FC0"/>
          <w:sz w:val="22"/>
        </w:rPr>
        <w:t>shall</w:t>
      </w:r>
      <w:r>
        <w:rPr>
          <w:color w:val="006FC0"/>
          <w:spacing w:val="-16"/>
          <w:sz w:val="22"/>
        </w:rPr>
        <w:t> </w:t>
      </w:r>
      <w:r>
        <w:rPr>
          <w:color w:val="006FC0"/>
          <w:sz w:val="22"/>
        </w:rPr>
        <w:t>verify</w:t>
      </w:r>
      <w:r>
        <w:rPr>
          <w:color w:val="006FC0"/>
          <w:spacing w:val="-13"/>
          <w:sz w:val="22"/>
        </w:rPr>
        <w:t> </w:t>
      </w:r>
      <w:r>
        <w:rPr>
          <w:color w:val="006FC0"/>
          <w:sz w:val="22"/>
        </w:rPr>
        <w:t>the</w:t>
      </w:r>
      <w:r>
        <w:rPr>
          <w:color w:val="006FC0"/>
          <w:spacing w:val="-12"/>
          <w:sz w:val="22"/>
        </w:rPr>
        <w:t> </w:t>
      </w:r>
      <w:r>
        <w:rPr>
          <w:color w:val="006FC0"/>
          <w:sz w:val="22"/>
        </w:rPr>
        <w:t>declaration</w:t>
      </w:r>
      <w:r>
        <w:rPr>
          <w:color w:val="006FC0"/>
          <w:spacing w:val="-15"/>
          <w:sz w:val="22"/>
        </w:rPr>
        <w:t> </w:t>
      </w:r>
      <w:r>
        <w:rPr>
          <w:color w:val="006FC0"/>
          <w:sz w:val="22"/>
        </w:rPr>
        <w:t>made</w:t>
      </w:r>
      <w:r>
        <w:rPr>
          <w:color w:val="006FC0"/>
          <w:spacing w:val="-13"/>
          <w:sz w:val="22"/>
        </w:rPr>
        <w:t> </w:t>
      </w:r>
      <w:r>
        <w:rPr>
          <w:color w:val="006FC0"/>
          <w:sz w:val="22"/>
        </w:rPr>
        <w:t>by</w:t>
      </w:r>
      <w:r>
        <w:rPr>
          <w:color w:val="006FC0"/>
          <w:spacing w:val="-12"/>
          <w:sz w:val="22"/>
        </w:rPr>
        <w:t> </w:t>
      </w:r>
      <w:r>
        <w:rPr>
          <w:color w:val="006FC0"/>
          <w:sz w:val="22"/>
        </w:rPr>
        <w:t>declarant</w:t>
      </w:r>
      <w:r>
        <w:rPr>
          <w:color w:val="006FC0"/>
          <w:spacing w:val="-16"/>
          <w:sz w:val="22"/>
        </w:rPr>
        <w:t> </w:t>
      </w:r>
      <w:r>
        <w:rPr>
          <w:color w:val="006FC0"/>
          <w:sz w:val="22"/>
        </w:rPr>
        <w:t>in</w:t>
      </w:r>
      <w:r>
        <w:rPr>
          <w:color w:val="006FC0"/>
          <w:spacing w:val="-14"/>
          <w:sz w:val="22"/>
        </w:rPr>
        <w:t> </w:t>
      </w:r>
      <w:r>
        <w:rPr>
          <w:color w:val="006FC0"/>
          <w:sz w:val="22"/>
        </w:rPr>
        <w:t>Form</w:t>
      </w:r>
      <w:r>
        <w:rPr>
          <w:color w:val="006FC0"/>
          <w:spacing w:val="-8"/>
          <w:sz w:val="22"/>
        </w:rPr>
        <w:t> </w:t>
      </w:r>
      <w:r>
        <w:rPr>
          <w:b/>
          <w:color w:val="C00000"/>
          <w:sz w:val="22"/>
        </w:rPr>
        <w:t>No.</w:t>
      </w:r>
      <w:r>
        <w:rPr>
          <w:b/>
          <w:color w:val="C00000"/>
          <w:spacing w:val="-19"/>
          <w:sz w:val="22"/>
        </w:rPr>
        <w:t> </w:t>
      </w:r>
      <w:r>
        <w:rPr>
          <w:b/>
          <w:color w:val="C00000"/>
          <w:sz w:val="22"/>
        </w:rPr>
        <w:t>SVLDRS- 1.</w:t>
      </w:r>
    </w:p>
    <w:p>
      <w:pPr>
        <w:pStyle w:val="BodyText"/>
        <w:spacing w:line="256" w:lineRule="auto" w:before="108"/>
        <w:ind w:left="1541" w:right="765"/>
      </w:pPr>
      <w:r>
        <w:rPr>
          <w:color w:val="006FC0"/>
        </w:rPr>
        <w:t>Proviso: - No verification shall be made in case where declarant has made voluntary disclosure in respect of duty amount.</w:t>
      </w:r>
    </w:p>
    <w:p>
      <w:pPr>
        <w:pStyle w:val="ListParagraph"/>
        <w:numPr>
          <w:ilvl w:val="0"/>
          <w:numId w:val="13"/>
        </w:numPr>
        <w:tabs>
          <w:tab w:pos="1181" w:val="left" w:leader="none"/>
        </w:tabs>
        <w:spacing w:line="254" w:lineRule="auto" w:before="102" w:after="0"/>
        <w:ind w:left="1181" w:right="783" w:hanging="360"/>
        <w:jc w:val="both"/>
        <w:rPr>
          <w:rFonts w:ascii="Times New Roman"/>
          <w:color w:val="006FC0"/>
          <w:sz w:val="22"/>
        </w:rPr>
      </w:pPr>
      <w:r>
        <w:rPr>
          <w:rFonts w:ascii="Times New Roman"/>
          <w:color w:val="006FC0"/>
          <w:sz w:val="22"/>
        </w:rPr>
        <w:t>The composition and functioning of the designated committee shall be such as </w:t>
      </w:r>
      <w:r>
        <w:rPr>
          <w:rFonts w:ascii="Times New Roman"/>
          <w:color w:val="006FC0"/>
          <w:spacing w:val="-3"/>
          <w:sz w:val="22"/>
        </w:rPr>
        <w:t>may </w:t>
      </w:r>
      <w:r>
        <w:rPr>
          <w:rFonts w:ascii="Times New Roman"/>
          <w:color w:val="006FC0"/>
          <w:sz w:val="22"/>
        </w:rPr>
        <w:t>be prescribed.</w:t>
      </w:r>
    </w:p>
    <w:p>
      <w:pPr>
        <w:pStyle w:val="BodyText"/>
        <w:spacing w:before="3"/>
        <w:rPr>
          <w:rFonts w:ascii="Times New Roman"/>
          <w:sz w:val="34"/>
        </w:rPr>
      </w:pPr>
    </w:p>
    <w:p>
      <w:pPr>
        <w:spacing w:before="1"/>
        <w:ind w:left="100" w:right="0" w:firstLine="0"/>
        <w:jc w:val="left"/>
        <w:rPr>
          <w:rFonts w:ascii="Arial Black" w:hAnsi="Arial Black"/>
          <w:sz w:val="20"/>
        </w:rPr>
      </w:pPr>
      <w:r>
        <w:rPr>
          <w:rFonts w:ascii="Arial Black" w:hAnsi="Arial Black"/>
          <w:sz w:val="20"/>
        </w:rPr>
        <w:t>Sec-127 – Issue of Statement by the designated Committee –</w:t>
      </w:r>
    </w:p>
    <w:p>
      <w:pPr>
        <w:pStyle w:val="ListParagraph"/>
        <w:numPr>
          <w:ilvl w:val="0"/>
          <w:numId w:val="14"/>
        </w:numPr>
        <w:tabs>
          <w:tab w:pos="1181" w:val="left" w:leader="none"/>
        </w:tabs>
        <w:spacing w:line="259" w:lineRule="auto" w:before="179" w:after="0"/>
        <w:ind w:left="1181" w:right="775" w:hanging="360"/>
        <w:jc w:val="both"/>
        <w:rPr>
          <w:sz w:val="22"/>
        </w:rPr>
      </w:pPr>
      <w:r>
        <w:rPr>
          <w:color w:val="006FC0"/>
          <w:sz w:val="22"/>
        </w:rPr>
        <w:t>Where amount of duty payable estimated by declarant</w:t>
      </w:r>
      <w:r>
        <w:rPr>
          <w:color w:val="C00000"/>
          <w:sz w:val="22"/>
        </w:rPr>
        <w:t> </w:t>
      </w:r>
      <w:r>
        <w:rPr>
          <w:b/>
          <w:color w:val="C00000"/>
          <w:sz w:val="22"/>
          <w:u w:val="single" w:color="C00000"/>
        </w:rPr>
        <w:t>is equal</w:t>
      </w:r>
      <w:r>
        <w:rPr>
          <w:b/>
          <w:color w:val="C00000"/>
          <w:sz w:val="22"/>
        </w:rPr>
        <w:t> </w:t>
      </w:r>
      <w:r>
        <w:rPr>
          <w:color w:val="006FC0"/>
          <w:sz w:val="22"/>
        </w:rPr>
        <w:t>to the amount estimated by</w:t>
      </w:r>
      <w:r>
        <w:rPr>
          <w:color w:val="006FC0"/>
          <w:spacing w:val="-7"/>
          <w:sz w:val="22"/>
        </w:rPr>
        <w:t> </w:t>
      </w:r>
      <w:r>
        <w:rPr>
          <w:color w:val="006FC0"/>
          <w:sz w:val="22"/>
        </w:rPr>
        <w:t>designated</w:t>
      </w:r>
      <w:r>
        <w:rPr>
          <w:color w:val="006FC0"/>
          <w:spacing w:val="-8"/>
          <w:sz w:val="22"/>
        </w:rPr>
        <w:t> </w:t>
      </w:r>
      <w:r>
        <w:rPr>
          <w:color w:val="006FC0"/>
          <w:sz w:val="22"/>
        </w:rPr>
        <w:t>committee</w:t>
      </w:r>
      <w:r>
        <w:rPr>
          <w:color w:val="006FC0"/>
          <w:spacing w:val="-4"/>
          <w:sz w:val="22"/>
        </w:rPr>
        <w:t> </w:t>
      </w:r>
      <w:r>
        <w:rPr>
          <w:color w:val="006FC0"/>
          <w:sz w:val="22"/>
        </w:rPr>
        <w:t>(DC),</w:t>
      </w:r>
      <w:r>
        <w:rPr>
          <w:color w:val="006FC0"/>
          <w:spacing w:val="-10"/>
          <w:sz w:val="22"/>
        </w:rPr>
        <w:t> </w:t>
      </w:r>
      <w:r>
        <w:rPr>
          <w:b/>
          <w:color w:val="006FC0"/>
          <w:sz w:val="22"/>
        </w:rPr>
        <w:t>within</w:t>
      </w:r>
      <w:r>
        <w:rPr>
          <w:b/>
          <w:color w:val="006FC0"/>
          <w:spacing w:val="-1"/>
          <w:sz w:val="22"/>
        </w:rPr>
        <w:t> </w:t>
      </w:r>
      <w:r>
        <w:rPr>
          <w:b/>
          <w:color w:val="006FC0"/>
          <w:sz w:val="22"/>
        </w:rPr>
        <w:t>60</w:t>
      </w:r>
      <w:r>
        <w:rPr>
          <w:b/>
          <w:color w:val="006FC0"/>
          <w:spacing w:val="-9"/>
          <w:sz w:val="22"/>
        </w:rPr>
        <w:t> </w:t>
      </w:r>
      <w:r>
        <w:rPr>
          <w:b/>
          <w:color w:val="006FC0"/>
          <w:sz w:val="22"/>
        </w:rPr>
        <w:t>days</w:t>
      </w:r>
      <w:r>
        <w:rPr>
          <w:b/>
          <w:color w:val="006FC0"/>
          <w:spacing w:val="-7"/>
          <w:sz w:val="22"/>
        </w:rPr>
        <w:t> </w:t>
      </w:r>
      <w:r>
        <w:rPr>
          <w:color w:val="006FC0"/>
          <w:sz w:val="22"/>
        </w:rPr>
        <w:t>from</w:t>
      </w:r>
      <w:r>
        <w:rPr>
          <w:color w:val="006FC0"/>
          <w:spacing w:val="-2"/>
          <w:sz w:val="22"/>
        </w:rPr>
        <w:t> </w:t>
      </w:r>
      <w:r>
        <w:rPr>
          <w:color w:val="006FC0"/>
          <w:sz w:val="22"/>
        </w:rPr>
        <w:t>the</w:t>
      </w:r>
      <w:r>
        <w:rPr>
          <w:color w:val="006FC0"/>
          <w:spacing w:val="-7"/>
          <w:sz w:val="22"/>
        </w:rPr>
        <w:t> </w:t>
      </w:r>
      <w:r>
        <w:rPr>
          <w:color w:val="006FC0"/>
          <w:sz w:val="22"/>
        </w:rPr>
        <w:t>date</w:t>
      </w:r>
      <w:r>
        <w:rPr>
          <w:color w:val="006FC0"/>
          <w:spacing w:val="-6"/>
          <w:sz w:val="22"/>
        </w:rPr>
        <w:t> </w:t>
      </w:r>
      <w:r>
        <w:rPr>
          <w:color w:val="006FC0"/>
          <w:sz w:val="22"/>
        </w:rPr>
        <w:t>of</w:t>
      </w:r>
      <w:r>
        <w:rPr>
          <w:color w:val="006FC0"/>
          <w:spacing w:val="-4"/>
          <w:sz w:val="22"/>
        </w:rPr>
        <w:t> </w:t>
      </w:r>
      <w:r>
        <w:rPr>
          <w:color w:val="006FC0"/>
          <w:sz w:val="22"/>
        </w:rPr>
        <w:t>receipt</w:t>
      </w:r>
      <w:r>
        <w:rPr>
          <w:color w:val="006FC0"/>
          <w:spacing w:val="-4"/>
          <w:sz w:val="22"/>
        </w:rPr>
        <w:t> </w:t>
      </w:r>
      <w:r>
        <w:rPr>
          <w:color w:val="006FC0"/>
          <w:sz w:val="22"/>
        </w:rPr>
        <w:t>of</w:t>
      </w:r>
      <w:r>
        <w:rPr>
          <w:color w:val="006FC0"/>
          <w:spacing w:val="-7"/>
          <w:sz w:val="22"/>
        </w:rPr>
        <w:t> </w:t>
      </w:r>
      <w:r>
        <w:rPr>
          <w:color w:val="006FC0"/>
          <w:sz w:val="22"/>
        </w:rPr>
        <w:t>declaration,</w:t>
      </w:r>
      <w:r>
        <w:rPr>
          <w:color w:val="006FC0"/>
          <w:spacing w:val="-9"/>
          <w:sz w:val="22"/>
        </w:rPr>
        <w:t> </w:t>
      </w:r>
      <w:r>
        <w:rPr>
          <w:color w:val="006FC0"/>
          <w:sz w:val="22"/>
        </w:rPr>
        <w:t>DC shall issue </w:t>
      </w:r>
      <w:r>
        <w:rPr>
          <w:b/>
          <w:color w:val="006FC0"/>
          <w:sz w:val="22"/>
          <w:u w:val="single" w:color="006FC0"/>
        </w:rPr>
        <w:t>a statement</w:t>
      </w:r>
      <w:r>
        <w:rPr>
          <w:b/>
          <w:color w:val="006FC0"/>
          <w:sz w:val="22"/>
        </w:rPr>
        <w:t> </w:t>
      </w:r>
      <w:r>
        <w:rPr>
          <w:color w:val="006FC0"/>
          <w:sz w:val="22"/>
        </w:rPr>
        <w:t>indicating the amount payable in form</w:t>
      </w:r>
      <w:r>
        <w:rPr>
          <w:color w:val="006FC0"/>
          <w:spacing w:val="-25"/>
          <w:sz w:val="22"/>
        </w:rPr>
        <w:t> </w:t>
      </w:r>
      <w:r>
        <w:rPr>
          <w:color w:val="006FC0"/>
          <w:sz w:val="22"/>
        </w:rPr>
        <w:t>SVLDRS-3.</w:t>
      </w:r>
    </w:p>
    <w:p>
      <w:pPr>
        <w:pStyle w:val="ListParagraph"/>
        <w:numPr>
          <w:ilvl w:val="0"/>
          <w:numId w:val="14"/>
        </w:numPr>
        <w:tabs>
          <w:tab w:pos="1181" w:val="left" w:leader="none"/>
        </w:tabs>
        <w:spacing w:line="256" w:lineRule="auto" w:before="114" w:after="0"/>
        <w:ind w:left="1181" w:right="774" w:hanging="360"/>
        <w:jc w:val="both"/>
        <w:rPr>
          <w:sz w:val="22"/>
        </w:rPr>
      </w:pPr>
      <w:r>
        <w:rPr>
          <w:color w:val="006FC0"/>
          <w:sz w:val="22"/>
        </w:rPr>
        <w:t>Where</w:t>
      </w:r>
      <w:r>
        <w:rPr>
          <w:color w:val="006FC0"/>
          <w:spacing w:val="-8"/>
          <w:sz w:val="22"/>
        </w:rPr>
        <w:t> </w:t>
      </w:r>
      <w:r>
        <w:rPr>
          <w:color w:val="006FC0"/>
          <w:sz w:val="22"/>
        </w:rPr>
        <w:t>amount</w:t>
      </w:r>
      <w:r>
        <w:rPr>
          <w:color w:val="006FC0"/>
          <w:spacing w:val="-9"/>
          <w:sz w:val="22"/>
        </w:rPr>
        <w:t> </w:t>
      </w:r>
      <w:r>
        <w:rPr>
          <w:color w:val="006FC0"/>
          <w:sz w:val="22"/>
        </w:rPr>
        <w:t>of</w:t>
      </w:r>
      <w:r>
        <w:rPr>
          <w:color w:val="006FC0"/>
          <w:spacing w:val="-7"/>
          <w:sz w:val="22"/>
        </w:rPr>
        <w:t> </w:t>
      </w:r>
      <w:r>
        <w:rPr>
          <w:color w:val="006FC0"/>
          <w:sz w:val="22"/>
        </w:rPr>
        <w:t>duty</w:t>
      </w:r>
      <w:r>
        <w:rPr>
          <w:color w:val="006FC0"/>
          <w:spacing w:val="-2"/>
          <w:sz w:val="22"/>
        </w:rPr>
        <w:t> </w:t>
      </w:r>
      <w:r>
        <w:rPr>
          <w:color w:val="006FC0"/>
          <w:sz w:val="22"/>
        </w:rPr>
        <w:t>payable</w:t>
      </w:r>
      <w:r>
        <w:rPr>
          <w:color w:val="006FC0"/>
          <w:spacing w:val="-7"/>
          <w:sz w:val="22"/>
        </w:rPr>
        <w:t> </w:t>
      </w:r>
      <w:r>
        <w:rPr>
          <w:color w:val="006FC0"/>
          <w:sz w:val="22"/>
        </w:rPr>
        <w:t>estimated</w:t>
      </w:r>
      <w:r>
        <w:rPr>
          <w:color w:val="006FC0"/>
          <w:spacing w:val="-7"/>
          <w:sz w:val="22"/>
        </w:rPr>
        <w:t> </w:t>
      </w:r>
      <w:r>
        <w:rPr>
          <w:color w:val="006FC0"/>
          <w:sz w:val="22"/>
        </w:rPr>
        <w:t>by</w:t>
      </w:r>
      <w:r>
        <w:rPr>
          <w:color w:val="006FC0"/>
          <w:spacing w:val="-6"/>
          <w:sz w:val="22"/>
        </w:rPr>
        <w:t> </w:t>
      </w:r>
      <w:r>
        <w:rPr>
          <w:color w:val="006FC0"/>
          <w:sz w:val="22"/>
        </w:rPr>
        <w:t>declarant</w:t>
      </w:r>
      <w:r>
        <w:rPr>
          <w:color w:val="C00000"/>
          <w:spacing w:val="-7"/>
          <w:sz w:val="22"/>
        </w:rPr>
        <w:t> </w:t>
      </w:r>
      <w:r>
        <w:rPr>
          <w:b/>
          <w:color w:val="C00000"/>
          <w:sz w:val="22"/>
          <w:u w:val="single" w:color="C00000"/>
        </w:rPr>
        <w:t>is</w:t>
      </w:r>
      <w:r>
        <w:rPr>
          <w:b/>
          <w:color w:val="C00000"/>
          <w:spacing w:val="-10"/>
          <w:sz w:val="22"/>
          <w:u w:val="single" w:color="C00000"/>
        </w:rPr>
        <w:t> </w:t>
      </w:r>
      <w:r>
        <w:rPr>
          <w:b/>
          <w:color w:val="C00000"/>
          <w:sz w:val="22"/>
          <w:u w:val="single" w:color="C00000"/>
        </w:rPr>
        <w:t>less</w:t>
      </w:r>
      <w:r>
        <w:rPr>
          <w:b/>
          <w:color w:val="C00000"/>
          <w:spacing w:val="-9"/>
          <w:sz w:val="22"/>
          <w:u w:val="single" w:color="C00000"/>
        </w:rPr>
        <w:t> </w:t>
      </w:r>
      <w:r>
        <w:rPr>
          <w:b/>
          <w:color w:val="C00000"/>
          <w:sz w:val="22"/>
          <w:u w:val="single" w:color="C00000"/>
        </w:rPr>
        <w:t>than</w:t>
      </w:r>
      <w:r>
        <w:rPr>
          <w:b/>
          <w:color w:val="C00000"/>
          <w:spacing w:val="-4"/>
          <w:sz w:val="22"/>
        </w:rPr>
        <w:t> </w:t>
      </w:r>
      <w:r>
        <w:rPr>
          <w:color w:val="006FC0"/>
          <w:sz w:val="22"/>
        </w:rPr>
        <w:t>the</w:t>
      </w:r>
      <w:r>
        <w:rPr>
          <w:color w:val="006FC0"/>
          <w:spacing w:val="-7"/>
          <w:sz w:val="22"/>
        </w:rPr>
        <w:t> </w:t>
      </w:r>
      <w:r>
        <w:rPr>
          <w:color w:val="006FC0"/>
          <w:sz w:val="22"/>
        </w:rPr>
        <w:t>amount</w:t>
      </w:r>
      <w:r>
        <w:rPr>
          <w:color w:val="006FC0"/>
          <w:spacing w:val="-5"/>
          <w:sz w:val="22"/>
        </w:rPr>
        <w:t> </w:t>
      </w:r>
      <w:r>
        <w:rPr>
          <w:color w:val="006FC0"/>
          <w:sz w:val="22"/>
        </w:rPr>
        <w:t>estimated by DC, within 30 days from the date of receipt of declaration, DC shall issue </w:t>
      </w:r>
      <w:r>
        <w:rPr>
          <w:b/>
          <w:color w:val="006FC0"/>
          <w:sz w:val="22"/>
          <w:u w:val="single" w:color="006FC0"/>
        </w:rPr>
        <w:t>an estimate</w:t>
      </w:r>
      <w:r>
        <w:rPr>
          <w:b/>
          <w:color w:val="006FC0"/>
          <w:sz w:val="22"/>
        </w:rPr>
        <w:t> </w:t>
      </w:r>
      <w:r>
        <w:rPr>
          <w:color w:val="006FC0"/>
          <w:sz w:val="22"/>
        </w:rPr>
        <w:t>of amount payable in form</w:t>
      </w:r>
      <w:r>
        <w:rPr>
          <w:color w:val="006FC0"/>
          <w:spacing w:val="-14"/>
          <w:sz w:val="22"/>
        </w:rPr>
        <w:t> </w:t>
      </w:r>
      <w:r>
        <w:rPr>
          <w:color w:val="006FC0"/>
          <w:sz w:val="22"/>
        </w:rPr>
        <w:t>SVLDRS-2.</w:t>
      </w:r>
    </w:p>
    <w:p>
      <w:pPr>
        <w:pStyle w:val="ListParagraph"/>
        <w:numPr>
          <w:ilvl w:val="0"/>
          <w:numId w:val="14"/>
        </w:numPr>
        <w:tabs>
          <w:tab w:pos="1181" w:val="left" w:leader="none"/>
        </w:tabs>
        <w:spacing w:line="259" w:lineRule="auto" w:before="113" w:after="0"/>
        <w:ind w:left="1181" w:right="773" w:hanging="360"/>
        <w:jc w:val="both"/>
        <w:rPr>
          <w:sz w:val="22"/>
        </w:rPr>
      </w:pPr>
      <w:r>
        <w:rPr>
          <w:color w:val="006FC0"/>
          <w:sz w:val="22"/>
        </w:rPr>
        <w:t>After issuance of estimation under sub section (2), the DC shall give an </w:t>
      </w:r>
      <w:r>
        <w:rPr>
          <w:b/>
          <w:color w:val="006FC0"/>
          <w:sz w:val="22"/>
          <w:u w:val="single" w:color="006FC0"/>
        </w:rPr>
        <w:t>opportunity of being</w:t>
      </w:r>
      <w:r>
        <w:rPr>
          <w:b/>
          <w:color w:val="006FC0"/>
          <w:spacing w:val="-7"/>
          <w:sz w:val="22"/>
          <w:u w:val="single" w:color="006FC0"/>
        </w:rPr>
        <w:t> </w:t>
      </w:r>
      <w:r>
        <w:rPr>
          <w:b/>
          <w:color w:val="006FC0"/>
          <w:sz w:val="22"/>
          <w:u w:val="single" w:color="006FC0"/>
        </w:rPr>
        <w:t>heard</w:t>
      </w:r>
      <w:r>
        <w:rPr>
          <w:b/>
          <w:color w:val="006FC0"/>
          <w:spacing w:val="-4"/>
          <w:sz w:val="22"/>
        </w:rPr>
        <w:t> </w:t>
      </w:r>
      <w:r>
        <w:rPr>
          <w:color w:val="006FC0"/>
          <w:sz w:val="22"/>
        </w:rPr>
        <w:t>to</w:t>
      </w:r>
      <w:r>
        <w:rPr>
          <w:color w:val="006FC0"/>
          <w:spacing w:val="-8"/>
          <w:sz w:val="22"/>
        </w:rPr>
        <w:t> </w:t>
      </w:r>
      <w:r>
        <w:rPr>
          <w:color w:val="006FC0"/>
          <w:sz w:val="22"/>
        </w:rPr>
        <w:t>the</w:t>
      </w:r>
      <w:r>
        <w:rPr>
          <w:color w:val="006FC0"/>
          <w:spacing w:val="-6"/>
          <w:sz w:val="22"/>
        </w:rPr>
        <w:t> </w:t>
      </w:r>
      <w:r>
        <w:rPr>
          <w:color w:val="006FC0"/>
          <w:sz w:val="22"/>
        </w:rPr>
        <w:t>declarant</w:t>
      </w:r>
      <w:r>
        <w:rPr>
          <w:color w:val="006FC0"/>
          <w:spacing w:val="-4"/>
          <w:sz w:val="22"/>
        </w:rPr>
        <w:t> </w:t>
      </w:r>
      <w:r>
        <w:rPr>
          <w:color w:val="006FC0"/>
          <w:sz w:val="22"/>
        </w:rPr>
        <w:t>before</w:t>
      </w:r>
      <w:r>
        <w:rPr>
          <w:color w:val="006FC0"/>
          <w:spacing w:val="-7"/>
          <w:sz w:val="22"/>
        </w:rPr>
        <w:t> </w:t>
      </w:r>
      <w:r>
        <w:rPr>
          <w:color w:val="006FC0"/>
          <w:sz w:val="22"/>
        </w:rPr>
        <w:t>issuing</w:t>
      </w:r>
      <w:r>
        <w:rPr>
          <w:color w:val="006FC0"/>
          <w:spacing w:val="-6"/>
          <w:sz w:val="22"/>
        </w:rPr>
        <w:t> </w:t>
      </w:r>
      <w:r>
        <w:rPr>
          <w:color w:val="006FC0"/>
          <w:sz w:val="22"/>
        </w:rPr>
        <w:t>a</w:t>
      </w:r>
      <w:r>
        <w:rPr>
          <w:color w:val="006FC0"/>
          <w:spacing w:val="-7"/>
          <w:sz w:val="22"/>
        </w:rPr>
        <w:t> </w:t>
      </w:r>
      <w:r>
        <w:rPr>
          <w:color w:val="006FC0"/>
          <w:sz w:val="22"/>
        </w:rPr>
        <w:t>statement</w:t>
      </w:r>
      <w:r>
        <w:rPr>
          <w:color w:val="006FC0"/>
          <w:spacing w:val="-8"/>
          <w:sz w:val="22"/>
        </w:rPr>
        <w:t> </w:t>
      </w:r>
      <w:r>
        <w:rPr>
          <w:color w:val="006FC0"/>
          <w:sz w:val="22"/>
        </w:rPr>
        <w:t>indicating</w:t>
      </w:r>
      <w:r>
        <w:rPr>
          <w:color w:val="006FC0"/>
          <w:spacing w:val="-6"/>
          <w:sz w:val="22"/>
        </w:rPr>
        <w:t> </w:t>
      </w:r>
      <w:r>
        <w:rPr>
          <w:color w:val="006FC0"/>
          <w:sz w:val="22"/>
        </w:rPr>
        <w:t>the</w:t>
      </w:r>
      <w:r>
        <w:rPr>
          <w:color w:val="006FC0"/>
          <w:spacing w:val="-6"/>
          <w:sz w:val="22"/>
        </w:rPr>
        <w:t> </w:t>
      </w:r>
      <w:r>
        <w:rPr>
          <w:color w:val="006FC0"/>
          <w:sz w:val="22"/>
        </w:rPr>
        <w:t>amount</w:t>
      </w:r>
      <w:r>
        <w:rPr>
          <w:color w:val="006FC0"/>
          <w:spacing w:val="-4"/>
          <w:sz w:val="22"/>
        </w:rPr>
        <w:t> </w:t>
      </w:r>
      <w:r>
        <w:rPr>
          <w:color w:val="006FC0"/>
          <w:sz w:val="22"/>
        </w:rPr>
        <w:t>payable,</w:t>
      </w:r>
      <w:r>
        <w:rPr>
          <w:color w:val="006FC0"/>
          <w:spacing w:val="-10"/>
          <w:sz w:val="22"/>
        </w:rPr>
        <w:t> </w:t>
      </w:r>
      <w:r>
        <w:rPr>
          <w:color w:val="006FC0"/>
          <w:sz w:val="22"/>
        </w:rPr>
        <w:t>if declarant desires</w:t>
      </w:r>
      <w:r>
        <w:rPr>
          <w:color w:val="006FC0"/>
          <w:spacing w:val="-6"/>
          <w:sz w:val="22"/>
        </w:rPr>
        <w:t> </w:t>
      </w:r>
      <w:r>
        <w:rPr>
          <w:color w:val="006FC0"/>
          <w:sz w:val="22"/>
        </w:rPr>
        <w:t>so.</w:t>
      </w:r>
    </w:p>
    <w:p>
      <w:pPr>
        <w:pStyle w:val="BodyText"/>
        <w:spacing w:line="256" w:lineRule="auto" w:before="110"/>
        <w:ind w:left="1181" w:right="780"/>
        <w:jc w:val="both"/>
      </w:pPr>
      <w:r>
        <w:rPr>
          <w:color w:val="006FC0"/>
        </w:rPr>
        <w:t>Proviso: - One adjournment may be granted to declarant by DC in respect of opportunity of being heard on the basis of sufficient cause.</w:t>
      </w:r>
    </w:p>
    <w:p>
      <w:pPr>
        <w:pStyle w:val="ListParagraph"/>
        <w:numPr>
          <w:ilvl w:val="0"/>
          <w:numId w:val="14"/>
        </w:numPr>
        <w:tabs>
          <w:tab w:pos="1181" w:val="left" w:leader="none"/>
        </w:tabs>
        <w:spacing w:line="256" w:lineRule="auto" w:before="116" w:after="0"/>
        <w:ind w:left="1181" w:right="779" w:hanging="360"/>
        <w:jc w:val="both"/>
        <w:rPr>
          <w:sz w:val="22"/>
        </w:rPr>
      </w:pPr>
      <w:r>
        <w:rPr>
          <w:b/>
          <w:color w:val="C00000"/>
          <w:sz w:val="22"/>
        </w:rPr>
        <w:t>After</w:t>
      </w:r>
      <w:r>
        <w:rPr>
          <w:b/>
          <w:color w:val="C00000"/>
          <w:spacing w:val="-15"/>
          <w:sz w:val="22"/>
        </w:rPr>
        <w:t> </w:t>
      </w:r>
      <w:r>
        <w:rPr>
          <w:b/>
          <w:color w:val="C00000"/>
          <w:sz w:val="22"/>
        </w:rPr>
        <w:t>hearing</w:t>
      </w:r>
      <w:r>
        <w:rPr>
          <w:b/>
          <w:color w:val="C00000"/>
          <w:spacing w:val="-12"/>
          <w:sz w:val="22"/>
        </w:rPr>
        <w:t> </w:t>
      </w:r>
      <w:r>
        <w:rPr>
          <w:b/>
          <w:color w:val="C00000"/>
          <w:sz w:val="22"/>
        </w:rPr>
        <w:t>of</w:t>
      </w:r>
      <w:r>
        <w:rPr>
          <w:b/>
          <w:color w:val="C00000"/>
          <w:spacing w:val="-10"/>
          <w:sz w:val="22"/>
        </w:rPr>
        <w:t> </w:t>
      </w:r>
      <w:r>
        <w:rPr>
          <w:b/>
          <w:color w:val="C00000"/>
          <w:sz w:val="22"/>
        </w:rPr>
        <w:t>declarant</w:t>
      </w:r>
      <w:r>
        <w:rPr>
          <w:color w:val="006FC0"/>
          <w:sz w:val="22"/>
        </w:rPr>
        <w:t>,</w:t>
      </w:r>
      <w:r>
        <w:rPr>
          <w:color w:val="006FC0"/>
          <w:spacing w:val="-15"/>
          <w:sz w:val="22"/>
        </w:rPr>
        <w:t> </w:t>
      </w:r>
      <w:r>
        <w:rPr>
          <w:b/>
          <w:color w:val="006FC0"/>
          <w:sz w:val="22"/>
        </w:rPr>
        <w:t>within</w:t>
      </w:r>
      <w:r>
        <w:rPr>
          <w:b/>
          <w:color w:val="006FC0"/>
          <w:spacing w:val="-11"/>
          <w:sz w:val="22"/>
        </w:rPr>
        <w:t> </w:t>
      </w:r>
      <w:r>
        <w:rPr>
          <w:b/>
          <w:color w:val="006FC0"/>
          <w:sz w:val="22"/>
        </w:rPr>
        <w:t>60</w:t>
      </w:r>
      <w:r>
        <w:rPr>
          <w:b/>
          <w:color w:val="006FC0"/>
          <w:spacing w:val="-14"/>
          <w:sz w:val="22"/>
        </w:rPr>
        <w:t> </w:t>
      </w:r>
      <w:r>
        <w:rPr>
          <w:b/>
          <w:color w:val="006FC0"/>
          <w:sz w:val="22"/>
        </w:rPr>
        <w:t>days</w:t>
      </w:r>
      <w:r>
        <w:rPr>
          <w:b/>
          <w:color w:val="006FC0"/>
          <w:spacing w:val="-13"/>
          <w:sz w:val="22"/>
        </w:rPr>
        <w:t> </w:t>
      </w:r>
      <w:r>
        <w:rPr>
          <w:color w:val="006FC0"/>
          <w:sz w:val="22"/>
        </w:rPr>
        <w:t>from</w:t>
      </w:r>
      <w:r>
        <w:rPr>
          <w:color w:val="006FC0"/>
          <w:spacing w:val="-11"/>
          <w:sz w:val="22"/>
        </w:rPr>
        <w:t> </w:t>
      </w:r>
      <w:r>
        <w:rPr>
          <w:color w:val="006FC0"/>
          <w:sz w:val="22"/>
        </w:rPr>
        <w:t>the</w:t>
      </w:r>
      <w:r>
        <w:rPr>
          <w:color w:val="006FC0"/>
          <w:spacing w:val="-12"/>
          <w:sz w:val="22"/>
        </w:rPr>
        <w:t> </w:t>
      </w:r>
      <w:r>
        <w:rPr>
          <w:color w:val="006FC0"/>
          <w:sz w:val="22"/>
        </w:rPr>
        <w:t>date</w:t>
      </w:r>
      <w:r>
        <w:rPr>
          <w:color w:val="006FC0"/>
          <w:spacing w:val="-11"/>
          <w:sz w:val="22"/>
        </w:rPr>
        <w:t> </w:t>
      </w:r>
      <w:r>
        <w:rPr>
          <w:color w:val="006FC0"/>
          <w:sz w:val="22"/>
        </w:rPr>
        <w:t>of</w:t>
      </w:r>
      <w:r>
        <w:rPr>
          <w:color w:val="006FC0"/>
          <w:spacing w:val="-13"/>
          <w:sz w:val="22"/>
        </w:rPr>
        <w:t> </w:t>
      </w:r>
      <w:r>
        <w:rPr>
          <w:color w:val="006FC0"/>
          <w:sz w:val="22"/>
        </w:rPr>
        <w:t>receipt</w:t>
      </w:r>
      <w:r>
        <w:rPr>
          <w:color w:val="006FC0"/>
          <w:spacing w:val="-14"/>
          <w:sz w:val="22"/>
        </w:rPr>
        <w:t> </w:t>
      </w:r>
      <w:r>
        <w:rPr>
          <w:color w:val="006FC0"/>
          <w:sz w:val="22"/>
        </w:rPr>
        <w:t>of</w:t>
      </w:r>
      <w:r>
        <w:rPr>
          <w:color w:val="006FC0"/>
          <w:spacing w:val="-13"/>
          <w:sz w:val="22"/>
        </w:rPr>
        <w:t> </w:t>
      </w:r>
      <w:r>
        <w:rPr>
          <w:color w:val="006FC0"/>
          <w:sz w:val="22"/>
        </w:rPr>
        <w:t>declaration,</w:t>
      </w:r>
      <w:r>
        <w:rPr>
          <w:color w:val="006FC0"/>
          <w:spacing w:val="-15"/>
          <w:sz w:val="22"/>
        </w:rPr>
        <w:t> </w:t>
      </w:r>
      <w:r>
        <w:rPr>
          <w:color w:val="006FC0"/>
          <w:sz w:val="22"/>
        </w:rPr>
        <w:t>DC</w:t>
      </w:r>
      <w:r>
        <w:rPr>
          <w:color w:val="006FC0"/>
          <w:spacing w:val="-10"/>
          <w:sz w:val="22"/>
        </w:rPr>
        <w:t> </w:t>
      </w:r>
      <w:r>
        <w:rPr>
          <w:color w:val="006FC0"/>
          <w:sz w:val="22"/>
        </w:rPr>
        <w:t>shall issue </w:t>
      </w:r>
      <w:r>
        <w:rPr>
          <w:b/>
          <w:color w:val="006FC0"/>
          <w:sz w:val="22"/>
          <w:u w:val="single" w:color="006FC0"/>
        </w:rPr>
        <w:t>a statement</w:t>
      </w:r>
      <w:r>
        <w:rPr>
          <w:b/>
          <w:color w:val="006FC0"/>
          <w:sz w:val="22"/>
        </w:rPr>
        <w:t> </w:t>
      </w:r>
      <w:r>
        <w:rPr>
          <w:color w:val="006FC0"/>
          <w:sz w:val="22"/>
        </w:rPr>
        <w:t>indicating the amount payable in form</w:t>
      </w:r>
      <w:r>
        <w:rPr>
          <w:color w:val="006FC0"/>
          <w:spacing w:val="-20"/>
          <w:sz w:val="22"/>
        </w:rPr>
        <w:t> </w:t>
      </w:r>
      <w:r>
        <w:rPr>
          <w:color w:val="006FC0"/>
          <w:sz w:val="22"/>
        </w:rPr>
        <w:t>SVLDRS-3.</w:t>
      </w:r>
    </w:p>
    <w:p>
      <w:pPr>
        <w:pStyle w:val="ListParagraph"/>
        <w:numPr>
          <w:ilvl w:val="0"/>
          <w:numId w:val="14"/>
        </w:numPr>
        <w:tabs>
          <w:tab w:pos="1181" w:val="left" w:leader="none"/>
        </w:tabs>
        <w:spacing w:line="259" w:lineRule="auto" w:before="112" w:after="0"/>
        <w:ind w:left="1181" w:right="774" w:hanging="360"/>
        <w:jc w:val="both"/>
        <w:rPr>
          <w:sz w:val="22"/>
        </w:rPr>
      </w:pPr>
      <w:r>
        <w:rPr>
          <w:color w:val="006FC0"/>
          <w:sz w:val="22"/>
        </w:rPr>
        <w:t>Declarant shall pay electronically through internet banking </w:t>
      </w:r>
      <w:r>
        <w:rPr>
          <w:color w:val="C00000"/>
          <w:sz w:val="22"/>
        </w:rPr>
        <w:t>the amount payable </w:t>
      </w:r>
      <w:r>
        <w:rPr>
          <w:color w:val="006FC0"/>
          <w:sz w:val="22"/>
        </w:rPr>
        <w:t>as indicated in the statement issued by DC </w:t>
      </w:r>
      <w:r>
        <w:rPr>
          <w:b/>
          <w:color w:val="006FC0"/>
          <w:sz w:val="22"/>
        </w:rPr>
        <w:t>within 30 days </w:t>
      </w:r>
      <w:r>
        <w:rPr>
          <w:color w:val="006FC0"/>
          <w:sz w:val="22"/>
        </w:rPr>
        <w:t>from the date of issuance of statement.</w:t>
      </w:r>
    </w:p>
    <w:p>
      <w:pPr>
        <w:pStyle w:val="ListParagraph"/>
        <w:numPr>
          <w:ilvl w:val="0"/>
          <w:numId w:val="14"/>
        </w:numPr>
        <w:tabs>
          <w:tab w:pos="1181" w:val="left" w:leader="none"/>
        </w:tabs>
        <w:spacing w:line="240" w:lineRule="auto" w:before="109" w:after="0"/>
        <w:ind w:left="1181" w:right="0" w:hanging="360"/>
        <w:jc w:val="both"/>
        <w:rPr>
          <w:sz w:val="22"/>
        </w:rPr>
      </w:pPr>
      <w:r>
        <w:rPr>
          <w:color w:val="006FC0"/>
          <w:sz w:val="22"/>
        </w:rPr>
        <w:t>Where declarant has</w:t>
      </w:r>
      <w:r>
        <w:rPr>
          <w:color w:val="006FC0"/>
          <w:spacing w:val="-8"/>
          <w:sz w:val="22"/>
        </w:rPr>
        <w:t> </w:t>
      </w:r>
      <w:r>
        <w:rPr>
          <w:color w:val="006FC0"/>
          <w:sz w:val="22"/>
        </w:rPr>
        <w:t>filed</w:t>
      </w:r>
    </w:p>
    <w:p>
      <w:pPr>
        <w:spacing w:after="0" w:line="240" w:lineRule="auto"/>
        <w:jc w:val="both"/>
        <w:rPr>
          <w:sz w:val="22"/>
        </w:rPr>
        <w:sectPr>
          <w:pgSz w:w="11910" w:h="16840"/>
          <w:pgMar w:header="764" w:footer="992" w:top="1620" w:bottom="1180" w:left="1340" w:right="660"/>
        </w:sectPr>
      </w:pPr>
    </w:p>
    <w:p>
      <w:pPr>
        <w:pStyle w:val="BodyText"/>
        <w:rPr>
          <w:sz w:val="19"/>
        </w:rPr>
      </w:pPr>
    </w:p>
    <w:p>
      <w:pPr>
        <w:pStyle w:val="ListParagraph"/>
        <w:numPr>
          <w:ilvl w:val="1"/>
          <w:numId w:val="14"/>
        </w:numPr>
        <w:tabs>
          <w:tab w:pos="1540" w:val="left" w:leader="none"/>
          <w:tab w:pos="1541" w:val="left" w:leader="none"/>
        </w:tabs>
        <w:spacing w:line="240" w:lineRule="auto" w:before="57" w:after="0"/>
        <w:ind w:left="1541" w:right="0" w:hanging="360"/>
        <w:jc w:val="left"/>
        <w:rPr>
          <w:sz w:val="22"/>
        </w:rPr>
      </w:pPr>
      <w:r>
        <w:rPr>
          <w:color w:val="006FC0"/>
          <w:sz w:val="22"/>
        </w:rPr>
        <w:t>An appeal</w:t>
      </w:r>
      <w:r>
        <w:rPr>
          <w:color w:val="006FC0"/>
          <w:spacing w:val="-3"/>
          <w:sz w:val="22"/>
        </w:rPr>
        <w:t> </w:t>
      </w:r>
      <w:r>
        <w:rPr>
          <w:color w:val="006FC0"/>
          <w:sz w:val="22"/>
        </w:rPr>
        <w:t>or</w:t>
      </w:r>
    </w:p>
    <w:p>
      <w:pPr>
        <w:pStyle w:val="ListParagraph"/>
        <w:numPr>
          <w:ilvl w:val="1"/>
          <w:numId w:val="14"/>
        </w:numPr>
        <w:tabs>
          <w:tab w:pos="1540" w:val="left" w:leader="none"/>
          <w:tab w:pos="1541" w:val="left" w:leader="none"/>
        </w:tabs>
        <w:spacing w:line="240" w:lineRule="auto" w:before="130" w:after="0"/>
        <w:ind w:left="1541" w:right="0" w:hanging="360"/>
        <w:jc w:val="left"/>
        <w:rPr>
          <w:sz w:val="22"/>
        </w:rPr>
      </w:pPr>
      <w:r>
        <w:rPr>
          <w:color w:val="006FC0"/>
          <w:sz w:val="22"/>
        </w:rPr>
        <w:t>A reference</w:t>
      </w:r>
      <w:r>
        <w:rPr>
          <w:color w:val="006FC0"/>
          <w:spacing w:val="-4"/>
          <w:sz w:val="22"/>
        </w:rPr>
        <w:t> </w:t>
      </w:r>
      <w:r>
        <w:rPr>
          <w:color w:val="006FC0"/>
          <w:sz w:val="22"/>
        </w:rPr>
        <w:t>or</w:t>
      </w:r>
    </w:p>
    <w:p>
      <w:pPr>
        <w:pStyle w:val="ListParagraph"/>
        <w:numPr>
          <w:ilvl w:val="1"/>
          <w:numId w:val="14"/>
        </w:numPr>
        <w:tabs>
          <w:tab w:pos="1540" w:val="left" w:leader="none"/>
          <w:tab w:pos="1541" w:val="left" w:leader="none"/>
        </w:tabs>
        <w:spacing w:line="240" w:lineRule="auto" w:before="130" w:after="0"/>
        <w:ind w:left="1541" w:right="0" w:hanging="360"/>
        <w:jc w:val="left"/>
        <w:rPr>
          <w:sz w:val="22"/>
        </w:rPr>
      </w:pPr>
      <w:r>
        <w:rPr>
          <w:color w:val="006FC0"/>
          <w:sz w:val="22"/>
        </w:rPr>
        <w:t>A</w:t>
      </w:r>
      <w:r>
        <w:rPr>
          <w:color w:val="006FC0"/>
          <w:spacing w:val="-1"/>
          <w:sz w:val="22"/>
        </w:rPr>
        <w:t> </w:t>
      </w:r>
      <w:r>
        <w:rPr>
          <w:color w:val="006FC0"/>
          <w:sz w:val="22"/>
        </w:rPr>
        <w:t>reply</w:t>
      </w:r>
    </w:p>
    <w:p>
      <w:pPr>
        <w:pStyle w:val="BodyText"/>
        <w:spacing w:line="211" w:lineRule="auto" w:before="179"/>
        <w:ind w:left="1541" w:right="204"/>
        <w:jc w:val="both"/>
      </w:pPr>
      <w:r>
        <w:rPr>
          <w:color w:val="006FC0"/>
        </w:rPr>
        <w:t>Against</w:t>
      </w:r>
      <w:r>
        <w:rPr>
          <w:color w:val="006FC0"/>
          <w:spacing w:val="-10"/>
        </w:rPr>
        <w:t> </w:t>
      </w:r>
      <w:r>
        <w:rPr>
          <w:color w:val="006FC0"/>
        </w:rPr>
        <w:t>SCN</w:t>
      </w:r>
      <w:r>
        <w:rPr>
          <w:color w:val="006FC0"/>
          <w:spacing w:val="-6"/>
        </w:rPr>
        <w:t> </w:t>
      </w:r>
      <w:r>
        <w:rPr>
          <w:color w:val="006FC0"/>
        </w:rPr>
        <w:t>or</w:t>
      </w:r>
      <w:r>
        <w:rPr>
          <w:color w:val="006FC0"/>
          <w:spacing w:val="-7"/>
        </w:rPr>
        <w:t> </w:t>
      </w:r>
      <w:r>
        <w:rPr>
          <w:color w:val="006FC0"/>
        </w:rPr>
        <w:t>Order,</w:t>
      </w:r>
      <w:r>
        <w:rPr>
          <w:color w:val="006FC0"/>
          <w:spacing w:val="-9"/>
        </w:rPr>
        <w:t> </w:t>
      </w:r>
      <w:r>
        <w:rPr>
          <w:color w:val="006FC0"/>
        </w:rPr>
        <w:t>giving</w:t>
      </w:r>
      <w:r>
        <w:rPr>
          <w:color w:val="006FC0"/>
          <w:spacing w:val="-6"/>
        </w:rPr>
        <w:t> </w:t>
      </w:r>
      <w:r>
        <w:rPr>
          <w:color w:val="006FC0"/>
        </w:rPr>
        <w:t>rise,</w:t>
      </w:r>
      <w:r>
        <w:rPr>
          <w:color w:val="006FC0"/>
          <w:spacing w:val="-9"/>
        </w:rPr>
        <w:t> </w:t>
      </w:r>
      <w:r>
        <w:rPr>
          <w:color w:val="006FC0"/>
        </w:rPr>
        <w:t>to</w:t>
      </w:r>
      <w:r>
        <w:rPr>
          <w:color w:val="006FC0"/>
          <w:spacing w:val="-8"/>
        </w:rPr>
        <w:t> </w:t>
      </w:r>
      <w:r>
        <w:rPr>
          <w:color w:val="006FC0"/>
        </w:rPr>
        <w:t>the</w:t>
      </w:r>
      <w:r>
        <w:rPr>
          <w:color w:val="006FC0"/>
          <w:spacing w:val="-2"/>
        </w:rPr>
        <w:t> </w:t>
      </w:r>
      <w:r>
        <w:rPr>
          <w:color w:val="006FC0"/>
        </w:rPr>
        <w:t>tax</w:t>
      </w:r>
      <w:r>
        <w:rPr>
          <w:color w:val="006FC0"/>
          <w:spacing w:val="-7"/>
        </w:rPr>
        <w:t> </w:t>
      </w:r>
      <w:r>
        <w:rPr>
          <w:color w:val="006FC0"/>
        </w:rPr>
        <w:t>dues</w:t>
      </w:r>
      <w:r>
        <w:rPr>
          <w:color w:val="006FC0"/>
          <w:spacing w:val="-7"/>
        </w:rPr>
        <w:t> </w:t>
      </w:r>
      <w:r>
        <w:rPr>
          <w:color w:val="006FC0"/>
        </w:rPr>
        <w:t>before</w:t>
      </w:r>
      <w:r>
        <w:rPr>
          <w:color w:val="006FC0"/>
          <w:spacing w:val="-3"/>
        </w:rPr>
        <w:t> </w:t>
      </w:r>
      <w:r>
        <w:rPr>
          <w:color w:val="006FC0"/>
          <w:u w:val="single" w:color="006FC0"/>
        </w:rPr>
        <w:t>Commissioner</w:t>
      </w:r>
      <w:r>
        <w:rPr>
          <w:color w:val="006FC0"/>
          <w:spacing w:val="-7"/>
          <w:u w:val="single" w:color="006FC0"/>
        </w:rPr>
        <w:t> </w:t>
      </w:r>
      <w:r>
        <w:rPr>
          <w:color w:val="006FC0"/>
          <w:u w:val="single" w:color="006FC0"/>
        </w:rPr>
        <w:t>(Appeals)</w:t>
      </w:r>
      <w:r>
        <w:rPr>
          <w:color w:val="006FC0"/>
          <w:spacing w:val="-7"/>
        </w:rPr>
        <w:t> </w:t>
      </w:r>
      <w:r>
        <w:rPr>
          <w:color w:val="006FC0"/>
        </w:rPr>
        <w:t>or</w:t>
      </w:r>
      <w:r>
        <w:rPr>
          <w:color w:val="006FC0"/>
          <w:spacing w:val="-7"/>
          <w:u w:val="single" w:color="006FC0"/>
        </w:rPr>
        <w:t> </w:t>
      </w:r>
      <w:r>
        <w:rPr>
          <w:color w:val="006FC0"/>
          <w:u w:val="single" w:color="006FC0"/>
        </w:rPr>
        <w:t>CESTAT</w:t>
      </w:r>
      <w:r>
        <w:rPr>
          <w:color w:val="006FC0"/>
        </w:rPr>
        <w:t>, notwithstanding</w:t>
      </w:r>
      <w:r>
        <w:rPr>
          <w:color w:val="006FC0"/>
          <w:spacing w:val="-7"/>
        </w:rPr>
        <w:t> </w:t>
      </w:r>
      <w:r>
        <w:rPr>
          <w:color w:val="006FC0"/>
        </w:rPr>
        <w:t>anything</w:t>
      </w:r>
      <w:r>
        <w:rPr>
          <w:color w:val="006FC0"/>
          <w:spacing w:val="-7"/>
        </w:rPr>
        <w:t> </w:t>
      </w:r>
      <w:r>
        <w:rPr>
          <w:color w:val="006FC0"/>
        </w:rPr>
        <w:t>contained</w:t>
      </w:r>
      <w:r>
        <w:rPr>
          <w:color w:val="006FC0"/>
          <w:spacing w:val="-3"/>
        </w:rPr>
        <w:t> </w:t>
      </w:r>
      <w:r>
        <w:rPr>
          <w:color w:val="006FC0"/>
        </w:rPr>
        <w:t>in</w:t>
      </w:r>
      <w:r>
        <w:rPr>
          <w:color w:val="006FC0"/>
          <w:spacing w:val="-9"/>
        </w:rPr>
        <w:t> </w:t>
      </w:r>
      <w:r>
        <w:rPr>
          <w:color w:val="006FC0"/>
        </w:rPr>
        <w:t>any</w:t>
      </w:r>
      <w:r>
        <w:rPr>
          <w:color w:val="006FC0"/>
          <w:spacing w:val="-7"/>
        </w:rPr>
        <w:t> </w:t>
      </w:r>
      <w:r>
        <w:rPr>
          <w:color w:val="006FC0"/>
        </w:rPr>
        <w:t>provisions</w:t>
      </w:r>
      <w:r>
        <w:rPr>
          <w:color w:val="006FC0"/>
          <w:spacing w:val="-2"/>
        </w:rPr>
        <w:t> </w:t>
      </w:r>
      <w:r>
        <w:rPr>
          <w:color w:val="006FC0"/>
        </w:rPr>
        <w:t>of</w:t>
      </w:r>
      <w:r>
        <w:rPr>
          <w:color w:val="006FC0"/>
          <w:spacing w:val="-8"/>
        </w:rPr>
        <w:t> </w:t>
      </w:r>
      <w:r>
        <w:rPr>
          <w:color w:val="006FC0"/>
        </w:rPr>
        <w:t>any</w:t>
      </w:r>
      <w:r>
        <w:rPr>
          <w:color w:val="006FC0"/>
          <w:spacing w:val="-7"/>
        </w:rPr>
        <w:t> </w:t>
      </w:r>
      <w:r>
        <w:rPr>
          <w:color w:val="006FC0"/>
        </w:rPr>
        <w:t>law</w:t>
      </w:r>
      <w:r>
        <w:rPr>
          <w:color w:val="006FC0"/>
          <w:spacing w:val="-7"/>
        </w:rPr>
        <w:t> </w:t>
      </w:r>
      <w:r>
        <w:rPr>
          <w:color w:val="006FC0"/>
        </w:rPr>
        <w:t>for</w:t>
      </w:r>
      <w:r>
        <w:rPr>
          <w:color w:val="006FC0"/>
          <w:spacing w:val="-3"/>
        </w:rPr>
        <w:t> </w:t>
      </w:r>
      <w:r>
        <w:rPr>
          <w:color w:val="006FC0"/>
        </w:rPr>
        <w:t>the</w:t>
      </w:r>
      <w:r>
        <w:rPr>
          <w:color w:val="006FC0"/>
          <w:spacing w:val="-3"/>
        </w:rPr>
        <w:t> </w:t>
      </w:r>
      <w:r>
        <w:rPr>
          <w:color w:val="006FC0"/>
        </w:rPr>
        <w:t>time</w:t>
      </w:r>
      <w:r>
        <w:rPr>
          <w:color w:val="006FC0"/>
          <w:spacing w:val="-6"/>
        </w:rPr>
        <w:t> </w:t>
      </w:r>
      <w:r>
        <w:rPr>
          <w:color w:val="006FC0"/>
        </w:rPr>
        <w:t>being</w:t>
      </w:r>
      <w:r>
        <w:rPr>
          <w:color w:val="006FC0"/>
          <w:spacing w:val="-7"/>
        </w:rPr>
        <w:t> </w:t>
      </w:r>
      <w:r>
        <w:rPr>
          <w:color w:val="006FC0"/>
        </w:rPr>
        <w:t>in</w:t>
      </w:r>
      <w:r>
        <w:rPr>
          <w:color w:val="006FC0"/>
          <w:spacing w:val="-8"/>
        </w:rPr>
        <w:t> </w:t>
      </w:r>
      <w:r>
        <w:rPr>
          <w:color w:val="006FC0"/>
        </w:rPr>
        <w:t>force, such appeal or reference or reply </w:t>
      </w:r>
      <w:r>
        <w:rPr>
          <w:color w:val="FF0000"/>
          <w:u w:val="single" w:color="FF0000"/>
        </w:rPr>
        <w:t>shall be deemed to have been</w:t>
      </w:r>
      <w:r>
        <w:rPr>
          <w:color w:val="FF0000"/>
          <w:spacing w:val="-17"/>
          <w:u w:val="single" w:color="FF0000"/>
        </w:rPr>
        <w:t> </w:t>
      </w:r>
      <w:r>
        <w:rPr>
          <w:color w:val="FF0000"/>
          <w:u w:val="single" w:color="FF0000"/>
        </w:rPr>
        <w:t>withdrawn.</w:t>
      </w:r>
    </w:p>
    <w:p>
      <w:pPr>
        <w:pStyle w:val="BodyText"/>
        <w:spacing w:line="211" w:lineRule="auto" w:before="150"/>
        <w:ind w:left="1541" w:right="202"/>
        <w:jc w:val="both"/>
      </w:pPr>
      <w:r>
        <w:rPr>
          <w:color w:val="006FC0"/>
        </w:rPr>
        <w:t>In other words, if assessee opts this scheme for a particular case which are pending before Commissioner (Appeal)/adjudication or CESTAT, (either from the side of assessee or department) that case deemed to have been withdrawn </w:t>
      </w:r>
      <w:r>
        <w:rPr>
          <w:b/>
          <w:color w:val="006FC0"/>
          <w:u w:val="single" w:color="006FC0"/>
        </w:rPr>
        <w:t>automatically</w:t>
      </w:r>
      <w:r>
        <w:rPr>
          <w:color w:val="006FC0"/>
        </w:rPr>
        <w:t>.</w:t>
      </w:r>
    </w:p>
    <w:p>
      <w:pPr>
        <w:pStyle w:val="ListParagraph"/>
        <w:numPr>
          <w:ilvl w:val="0"/>
          <w:numId w:val="14"/>
        </w:numPr>
        <w:tabs>
          <w:tab w:pos="1181" w:val="left" w:leader="none"/>
        </w:tabs>
        <w:spacing w:line="240" w:lineRule="auto" w:before="150" w:after="0"/>
        <w:ind w:left="1181" w:right="0" w:hanging="360"/>
        <w:jc w:val="left"/>
        <w:rPr>
          <w:sz w:val="22"/>
        </w:rPr>
      </w:pPr>
      <w:r>
        <w:rPr>
          <w:color w:val="006FC0"/>
          <w:sz w:val="22"/>
        </w:rPr>
        <w:t>Where declarant has</w:t>
      </w:r>
      <w:r>
        <w:rPr>
          <w:color w:val="006FC0"/>
          <w:spacing w:val="-8"/>
          <w:sz w:val="22"/>
        </w:rPr>
        <w:t> </w:t>
      </w:r>
      <w:r>
        <w:rPr>
          <w:color w:val="006FC0"/>
          <w:sz w:val="22"/>
        </w:rPr>
        <w:t>filed</w:t>
      </w:r>
    </w:p>
    <w:p>
      <w:pPr>
        <w:pStyle w:val="ListParagraph"/>
        <w:numPr>
          <w:ilvl w:val="1"/>
          <w:numId w:val="14"/>
        </w:numPr>
        <w:tabs>
          <w:tab w:pos="1540" w:val="left" w:leader="none"/>
          <w:tab w:pos="1541" w:val="left" w:leader="none"/>
        </w:tabs>
        <w:spacing w:line="240" w:lineRule="auto" w:before="129" w:after="0"/>
        <w:ind w:left="1541" w:right="0" w:hanging="360"/>
        <w:jc w:val="left"/>
        <w:rPr>
          <w:sz w:val="22"/>
        </w:rPr>
      </w:pPr>
      <w:r>
        <w:rPr>
          <w:color w:val="006FC0"/>
          <w:sz w:val="22"/>
        </w:rPr>
        <w:t>A writ petition</w:t>
      </w:r>
      <w:r>
        <w:rPr>
          <w:color w:val="006FC0"/>
          <w:spacing w:val="-8"/>
          <w:sz w:val="22"/>
        </w:rPr>
        <w:t> </w:t>
      </w:r>
      <w:r>
        <w:rPr>
          <w:color w:val="006FC0"/>
          <w:sz w:val="22"/>
        </w:rPr>
        <w:t>or</w:t>
      </w:r>
    </w:p>
    <w:p>
      <w:pPr>
        <w:pStyle w:val="ListParagraph"/>
        <w:numPr>
          <w:ilvl w:val="1"/>
          <w:numId w:val="14"/>
        </w:numPr>
        <w:tabs>
          <w:tab w:pos="1540" w:val="left" w:leader="none"/>
          <w:tab w:pos="1541" w:val="left" w:leader="none"/>
        </w:tabs>
        <w:spacing w:line="240" w:lineRule="auto" w:before="131" w:after="0"/>
        <w:ind w:left="1541" w:right="0" w:hanging="360"/>
        <w:jc w:val="left"/>
        <w:rPr>
          <w:sz w:val="22"/>
        </w:rPr>
      </w:pPr>
      <w:r>
        <w:rPr>
          <w:color w:val="006FC0"/>
          <w:sz w:val="22"/>
        </w:rPr>
        <w:t>An appeal</w:t>
      </w:r>
      <w:r>
        <w:rPr>
          <w:color w:val="006FC0"/>
          <w:spacing w:val="-3"/>
          <w:sz w:val="22"/>
        </w:rPr>
        <w:t> </w:t>
      </w:r>
      <w:r>
        <w:rPr>
          <w:color w:val="006FC0"/>
          <w:sz w:val="22"/>
        </w:rPr>
        <w:t>or</w:t>
      </w:r>
    </w:p>
    <w:p>
      <w:pPr>
        <w:pStyle w:val="ListParagraph"/>
        <w:numPr>
          <w:ilvl w:val="1"/>
          <w:numId w:val="14"/>
        </w:numPr>
        <w:tabs>
          <w:tab w:pos="1540" w:val="left" w:leader="none"/>
          <w:tab w:pos="1541" w:val="left" w:leader="none"/>
        </w:tabs>
        <w:spacing w:line="240" w:lineRule="auto" w:before="130" w:after="0"/>
        <w:ind w:left="1541" w:right="0" w:hanging="360"/>
        <w:jc w:val="left"/>
        <w:rPr>
          <w:sz w:val="22"/>
        </w:rPr>
      </w:pPr>
      <w:r>
        <w:rPr>
          <w:color w:val="006FC0"/>
          <w:sz w:val="22"/>
        </w:rPr>
        <w:t>A</w:t>
      </w:r>
      <w:r>
        <w:rPr>
          <w:color w:val="006FC0"/>
          <w:spacing w:val="-1"/>
          <w:sz w:val="22"/>
        </w:rPr>
        <w:t> </w:t>
      </w:r>
      <w:r>
        <w:rPr>
          <w:color w:val="006FC0"/>
          <w:sz w:val="22"/>
        </w:rPr>
        <w:t>reference</w:t>
      </w:r>
    </w:p>
    <w:p>
      <w:pPr>
        <w:pStyle w:val="BodyText"/>
        <w:spacing w:line="208" w:lineRule="auto" w:before="181"/>
        <w:ind w:left="1541" w:right="206"/>
        <w:jc w:val="both"/>
      </w:pPr>
      <w:r>
        <w:rPr>
          <w:color w:val="006FC0"/>
        </w:rPr>
        <w:t>Against any Order of tax dues before Any </w:t>
      </w:r>
      <w:r>
        <w:rPr>
          <w:color w:val="006FC0"/>
          <w:u w:val="single" w:color="006FC0"/>
        </w:rPr>
        <w:t>High Court of Supreme Court</w:t>
      </w:r>
      <w:r>
        <w:rPr>
          <w:color w:val="006FC0"/>
        </w:rPr>
        <w:t>, declarant shall file </w:t>
      </w:r>
      <w:r>
        <w:rPr>
          <w:color w:val="FF0000"/>
        </w:rPr>
        <w:t>an</w:t>
      </w:r>
      <w:r>
        <w:rPr>
          <w:color w:val="FF0000"/>
          <w:spacing w:val="-13"/>
        </w:rPr>
        <w:t> </w:t>
      </w:r>
      <w:r>
        <w:rPr>
          <w:color w:val="FF0000"/>
        </w:rPr>
        <w:t>application</w:t>
      </w:r>
      <w:r>
        <w:rPr>
          <w:color w:val="FF0000"/>
          <w:spacing w:val="-12"/>
        </w:rPr>
        <w:t> </w:t>
      </w:r>
      <w:r>
        <w:rPr>
          <w:color w:val="006FC0"/>
        </w:rPr>
        <w:t>before</w:t>
      </w:r>
      <w:r>
        <w:rPr>
          <w:color w:val="006FC0"/>
          <w:spacing w:val="-11"/>
        </w:rPr>
        <w:t> </w:t>
      </w:r>
      <w:r>
        <w:rPr>
          <w:color w:val="006FC0"/>
        </w:rPr>
        <w:t>such</w:t>
      </w:r>
      <w:r>
        <w:rPr>
          <w:color w:val="006FC0"/>
          <w:spacing w:val="-8"/>
        </w:rPr>
        <w:t> </w:t>
      </w:r>
      <w:r>
        <w:rPr>
          <w:color w:val="006FC0"/>
        </w:rPr>
        <w:t>High</w:t>
      </w:r>
      <w:r>
        <w:rPr>
          <w:color w:val="006FC0"/>
          <w:spacing w:val="-12"/>
        </w:rPr>
        <w:t> </w:t>
      </w:r>
      <w:r>
        <w:rPr>
          <w:color w:val="006FC0"/>
        </w:rPr>
        <w:t>Court</w:t>
      </w:r>
      <w:r>
        <w:rPr>
          <w:color w:val="006FC0"/>
          <w:spacing w:val="-14"/>
        </w:rPr>
        <w:t> </w:t>
      </w:r>
      <w:r>
        <w:rPr>
          <w:color w:val="006FC0"/>
        </w:rPr>
        <w:t>or</w:t>
      </w:r>
      <w:r>
        <w:rPr>
          <w:color w:val="006FC0"/>
          <w:spacing w:val="-12"/>
        </w:rPr>
        <w:t> </w:t>
      </w:r>
      <w:r>
        <w:rPr>
          <w:color w:val="006FC0"/>
        </w:rPr>
        <w:t>Supreme</w:t>
      </w:r>
      <w:r>
        <w:rPr>
          <w:color w:val="006FC0"/>
          <w:spacing w:val="-11"/>
        </w:rPr>
        <w:t> </w:t>
      </w:r>
      <w:r>
        <w:rPr>
          <w:color w:val="006FC0"/>
        </w:rPr>
        <w:t>Court</w:t>
      </w:r>
      <w:r>
        <w:rPr>
          <w:color w:val="006FC0"/>
          <w:spacing w:val="-11"/>
        </w:rPr>
        <w:t> </w:t>
      </w:r>
      <w:r>
        <w:rPr>
          <w:b/>
          <w:color w:val="006FC0"/>
          <w:u w:val="single" w:color="006FC0"/>
        </w:rPr>
        <w:t>for</w:t>
      </w:r>
      <w:r>
        <w:rPr>
          <w:b/>
          <w:color w:val="006FC0"/>
          <w:spacing w:val="-13"/>
          <w:u w:val="single" w:color="006FC0"/>
        </w:rPr>
        <w:t> </w:t>
      </w:r>
      <w:r>
        <w:rPr>
          <w:b/>
          <w:color w:val="006FC0"/>
          <w:u w:val="single" w:color="006FC0"/>
        </w:rPr>
        <w:t>withdrawal</w:t>
      </w:r>
      <w:r>
        <w:rPr>
          <w:b/>
          <w:color w:val="006FC0"/>
          <w:spacing w:val="-11"/>
        </w:rPr>
        <w:t> </w:t>
      </w:r>
      <w:r>
        <w:rPr>
          <w:color w:val="006FC0"/>
        </w:rPr>
        <w:t>of</w:t>
      </w:r>
      <w:r>
        <w:rPr>
          <w:color w:val="006FC0"/>
          <w:spacing w:val="-12"/>
        </w:rPr>
        <w:t> </w:t>
      </w:r>
      <w:r>
        <w:rPr>
          <w:color w:val="006FC0"/>
        </w:rPr>
        <w:t>such</w:t>
      </w:r>
      <w:r>
        <w:rPr>
          <w:color w:val="006FC0"/>
          <w:spacing w:val="-12"/>
        </w:rPr>
        <w:t> </w:t>
      </w:r>
      <w:r>
        <w:rPr>
          <w:color w:val="006FC0"/>
        </w:rPr>
        <w:t>writ</w:t>
      </w:r>
      <w:r>
        <w:rPr>
          <w:color w:val="006FC0"/>
          <w:spacing w:val="-14"/>
        </w:rPr>
        <w:t> </w:t>
      </w:r>
      <w:r>
        <w:rPr>
          <w:color w:val="006FC0"/>
        </w:rPr>
        <w:t>petition or</w:t>
      </w:r>
      <w:r>
        <w:rPr>
          <w:color w:val="006FC0"/>
          <w:spacing w:val="-13"/>
        </w:rPr>
        <w:t> </w:t>
      </w:r>
      <w:r>
        <w:rPr>
          <w:color w:val="006FC0"/>
        </w:rPr>
        <w:t>appeal</w:t>
      </w:r>
      <w:r>
        <w:rPr>
          <w:color w:val="006FC0"/>
          <w:spacing w:val="-11"/>
        </w:rPr>
        <w:t> </w:t>
      </w:r>
      <w:r>
        <w:rPr>
          <w:color w:val="006FC0"/>
        </w:rPr>
        <w:t>or</w:t>
      </w:r>
      <w:r>
        <w:rPr>
          <w:color w:val="006FC0"/>
          <w:spacing w:val="-12"/>
        </w:rPr>
        <w:t> </w:t>
      </w:r>
      <w:r>
        <w:rPr>
          <w:color w:val="006FC0"/>
        </w:rPr>
        <w:t>reference</w:t>
      </w:r>
      <w:r>
        <w:rPr>
          <w:color w:val="006FC0"/>
          <w:spacing w:val="-12"/>
        </w:rPr>
        <w:t> </w:t>
      </w:r>
      <w:r>
        <w:rPr>
          <w:color w:val="006FC0"/>
        </w:rPr>
        <w:t>and</w:t>
      </w:r>
      <w:r>
        <w:rPr>
          <w:color w:val="006FC0"/>
          <w:spacing w:val="-13"/>
        </w:rPr>
        <w:t> </w:t>
      </w:r>
      <w:r>
        <w:rPr>
          <w:color w:val="006FC0"/>
        </w:rPr>
        <w:t>after</w:t>
      </w:r>
      <w:r>
        <w:rPr>
          <w:color w:val="006FC0"/>
          <w:spacing w:val="-12"/>
        </w:rPr>
        <w:t> </w:t>
      </w:r>
      <w:r>
        <w:rPr>
          <w:color w:val="006FC0"/>
        </w:rPr>
        <w:t>such</w:t>
      </w:r>
      <w:r>
        <w:rPr>
          <w:color w:val="006FC0"/>
          <w:spacing w:val="-13"/>
        </w:rPr>
        <w:t> </w:t>
      </w:r>
      <w:r>
        <w:rPr>
          <w:color w:val="006FC0"/>
        </w:rPr>
        <w:t>withdrawal</w:t>
      </w:r>
      <w:r>
        <w:rPr>
          <w:color w:val="006FC0"/>
          <w:spacing w:val="-11"/>
        </w:rPr>
        <w:t> </w:t>
      </w:r>
      <w:r>
        <w:rPr>
          <w:color w:val="006FC0"/>
        </w:rPr>
        <w:t>with</w:t>
      </w:r>
      <w:r>
        <w:rPr>
          <w:color w:val="006FC0"/>
          <w:spacing w:val="-13"/>
        </w:rPr>
        <w:t> </w:t>
      </w:r>
      <w:r>
        <w:rPr>
          <w:color w:val="006FC0"/>
        </w:rPr>
        <w:t>the</w:t>
      </w:r>
      <w:r>
        <w:rPr>
          <w:color w:val="006FC0"/>
          <w:spacing w:val="-12"/>
        </w:rPr>
        <w:t> </w:t>
      </w:r>
      <w:r>
        <w:rPr>
          <w:color w:val="006FC0"/>
        </w:rPr>
        <w:t>permission</w:t>
      </w:r>
      <w:r>
        <w:rPr>
          <w:color w:val="006FC0"/>
          <w:spacing w:val="-14"/>
        </w:rPr>
        <w:t> </w:t>
      </w:r>
      <w:r>
        <w:rPr>
          <w:color w:val="006FC0"/>
        </w:rPr>
        <w:t>of</w:t>
      </w:r>
      <w:r>
        <w:rPr>
          <w:color w:val="006FC0"/>
          <w:spacing w:val="-12"/>
        </w:rPr>
        <w:t> </w:t>
      </w:r>
      <w:r>
        <w:rPr>
          <w:color w:val="006FC0"/>
        </w:rPr>
        <w:t>the</w:t>
      </w:r>
      <w:r>
        <w:rPr>
          <w:color w:val="006FC0"/>
          <w:spacing w:val="-12"/>
        </w:rPr>
        <w:t> </w:t>
      </w:r>
      <w:r>
        <w:rPr>
          <w:color w:val="006FC0"/>
        </w:rPr>
        <w:t>Court,</w:t>
      </w:r>
      <w:r>
        <w:rPr>
          <w:color w:val="006FC0"/>
          <w:spacing w:val="-14"/>
        </w:rPr>
        <w:t> </w:t>
      </w:r>
      <w:r>
        <w:rPr>
          <w:color w:val="006FC0"/>
        </w:rPr>
        <w:t>declarant shall furnish proof of such withdrawal to the DC along with proof of payment referred in sub-section</w:t>
      </w:r>
      <w:r>
        <w:rPr>
          <w:color w:val="006FC0"/>
          <w:spacing w:val="-4"/>
        </w:rPr>
        <w:t> </w:t>
      </w:r>
      <w:r>
        <w:rPr>
          <w:color w:val="006FC0"/>
        </w:rPr>
        <w:t>(5).</w:t>
      </w:r>
    </w:p>
    <w:p>
      <w:pPr>
        <w:pStyle w:val="ListParagraph"/>
        <w:numPr>
          <w:ilvl w:val="0"/>
          <w:numId w:val="6"/>
        </w:numPr>
        <w:tabs>
          <w:tab w:pos="2982" w:val="left" w:leader="none"/>
        </w:tabs>
        <w:spacing w:line="230" w:lineRule="auto" w:before="156" w:after="0"/>
        <w:ind w:left="2981" w:right="205" w:hanging="720"/>
        <w:jc w:val="both"/>
        <w:rPr>
          <w:i/>
          <w:sz w:val="20"/>
        </w:rPr>
      </w:pPr>
      <w:r>
        <w:rPr>
          <w:i/>
          <w:sz w:val="20"/>
        </w:rPr>
        <w:t>Further, where a departmental appeal, reference or writ petition is pending before </w:t>
      </w:r>
      <w:r>
        <w:rPr>
          <w:i/>
          <w:sz w:val="20"/>
        </w:rPr>
        <w:t>Apex</w:t>
      </w:r>
      <w:r>
        <w:rPr>
          <w:i/>
          <w:spacing w:val="-4"/>
          <w:sz w:val="20"/>
        </w:rPr>
        <w:t> </w:t>
      </w:r>
      <w:r>
        <w:rPr>
          <w:i/>
          <w:sz w:val="20"/>
        </w:rPr>
        <w:t>Court</w:t>
      </w:r>
      <w:r>
        <w:rPr>
          <w:i/>
          <w:spacing w:val="-8"/>
          <w:sz w:val="20"/>
        </w:rPr>
        <w:t> </w:t>
      </w:r>
      <w:r>
        <w:rPr>
          <w:i/>
          <w:sz w:val="20"/>
        </w:rPr>
        <w:t>or</w:t>
      </w:r>
      <w:r>
        <w:rPr>
          <w:i/>
          <w:spacing w:val="-5"/>
          <w:sz w:val="20"/>
        </w:rPr>
        <w:t> </w:t>
      </w:r>
      <w:r>
        <w:rPr>
          <w:i/>
          <w:sz w:val="20"/>
        </w:rPr>
        <w:t>High</w:t>
      </w:r>
      <w:r>
        <w:rPr>
          <w:i/>
          <w:spacing w:val="-6"/>
          <w:sz w:val="20"/>
        </w:rPr>
        <w:t> </w:t>
      </w:r>
      <w:r>
        <w:rPr>
          <w:i/>
          <w:sz w:val="20"/>
        </w:rPr>
        <w:t>Court,</w:t>
      </w:r>
      <w:r>
        <w:rPr>
          <w:i/>
          <w:spacing w:val="-5"/>
          <w:sz w:val="20"/>
        </w:rPr>
        <w:t> </w:t>
      </w:r>
      <w:r>
        <w:rPr>
          <w:i/>
          <w:sz w:val="20"/>
        </w:rPr>
        <w:t>department</w:t>
      </w:r>
      <w:r>
        <w:rPr>
          <w:i/>
          <w:spacing w:val="-7"/>
          <w:sz w:val="20"/>
        </w:rPr>
        <w:t> </w:t>
      </w:r>
      <w:r>
        <w:rPr>
          <w:i/>
          <w:sz w:val="20"/>
        </w:rPr>
        <w:t>will</w:t>
      </w:r>
      <w:r>
        <w:rPr>
          <w:i/>
          <w:spacing w:val="-6"/>
          <w:sz w:val="20"/>
        </w:rPr>
        <w:t> </w:t>
      </w:r>
      <w:r>
        <w:rPr>
          <w:i/>
          <w:sz w:val="20"/>
        </w:rPr>
        <w:t>file</w:t>
      </w:r>
      <w:r>
        <w:rPr>
          <w:i/>
          <w:spacing w:val="-7"/>
          <w:sz w:val="20"/>
        </w:rPr>
        <w:t> </w:t>
      </w:r>
      <w:r>
        <w:rPr>
          <w:i/>
          <w:sz w:val="20"/>
        </w:rPr>
        <w:t>an</w:t>
      </w:r>
      <w:r>
        <w:rPr>
          <w:i/>
          <w:spacing w:val="-5"/>
          <w:sz w:val="20"/>
        </w:rPr>
        <w:t> </w:t>
      </w:r>
      <w:r>
        <w:rPr>
          <w:i/>
          <w:sz w:val="20"/>
        </w:rPr>
        <w:t>application</w:t>
      </w:r>
      <w:r>
        <w:rPr>
          <w:i/>
          <w:spacing w:val="-10"/>
          <w:sz w:val="20"/>
        </w:rPr>
        <w:t> </w:t>
      </w:r>
      <w:r>
        <w:rPr>
          <w:i/>
          <w:sz w:val="20"/>
        </w:rPr>
        <w:t>for</w:t>
      </w:r>
      <w:r>
        <w:rPr>
          <w:i/>
          <w:spacing w:val="-5"/>
          <w:sz w:val="20"/>
        </w:rPr>
        <w:t> </w:t>
      </w:r>
      <w:r>
        <w:rPr>
          <w:i/>
          <w:sz w:val="20"/>
        </w:rPr>
        <w:t>withdrawal</w:t>
      </w:r>
      <w:r>
        <w:rPr>
          <w:i/>
          <w:spacing w:val="-10"/>
          <w:sz w:val="20"/>
        </w:rPr>
        <w:t> </w:t>
      </w:r>
      <w:r>
        <w:rPr>
          <w:i/>
          <w:sz w:val="20"/>
        </w:rPr>
        <w:t>of</w:t>
      </w:r>
      <w:r>
        <w:rPr>
          <w:i/>
          <w:spacing w:val="-2"/>
          <w:sz w:val="20"/>
        </w:rPr>
        <w:t> </w:t>
      </w:r>
      <w:r>
        <w:rPr>
          <w:i/>
          <w:spacing w:val="-3"/>
          <w:sz w:val="20"/>
        </w:rPr>
        <w:t>such </w:t>
      </w:r>
      <w:r>
        <w:rPr>
          <w:i/>
          <w:sz w:val="20"/>
        </w:rPr>
        <w:t>appeal,</w:t>
      </w:r>
      <w:r>
        <w:rPr>
          <w:i/>
          <w:spacing w:val="-8"/>
          <w:sz w:val="20"/>
        </w:rPr>
        <w:t> </w:t>
      </w:r>
      <w:r>
        <w:rPr>
          <w:i/>
          <w:sz w:val="20"/>
        </w:rPr>
        <w:t>reference</w:t>
      </w:r>
      <w:r>
        <w:rPr>
          <w:i/>
          <w:spacing w:val="-7"/>
          <w:sz w:val="20"/>
        </w:rPr>
        <w:t> </w:t>
      </w:r>
      <w:r>
        <w:rPr>
          <w:i/>
          <w:sz w:val="20"/>
        </w:rPr>
        <w:t>or</w:t>
      </w:r>
      <w:r>
        <w:rPr>
          <w:i/>
          <w:spacing w:val="-11"/>
          <w:sz w:val="20"/>
        </w:rPr>
        <w:t> </w:t>
      </w:r>
      <w:r>
        <w:rPr>
          <w:i/>
          <w:sz w:val="20"/>
        </w:rPr>
        <w:t>writ</w:t>
      </w:r>
      <w:r>
        <w:rPr>
          <w:i/>
          <w:spacing w:val="-11"/>
          <w:sz w:val="20"/>
        </w:rPr>
        <w:t> </w:t>
      </w:r>
      <w:r>
        <w:rPr>
          <w:i/>
          <w:sz w:val="20"/>
        </w:rPr>
        <w:t>petition</w:t>
      </w:r>
      <w:r>
        <w:rPr>
          <w:i/>
          <w:spacing w:val="-6"/>
          <w:sz w:val="20"/>
        </w:rPr>
        <w:t> </w:t>
      </w:r>
      <w:r>
        <w:rPr>
          <w:b/>
          <w:i/>
          <w:sz w:val="20"/>
        </w:rPr>
        <w:t>after</w:t>
      </w:r>
      <w:r>
        <w:rPr>
          <w:b/>
          <w:i/>
          <w:spacing w:val="-5"/>
          <w:sz w:val="20"/>
        </w:rPr>
        <w:t> </w:t>
      </w:r>
      <w:r>
        <w:rPr>
          <w:b/>
          <w:i/>
          <w:sz w:val="20"/>
        </w:rPr>
        <w:t>issuance</w:t>
      </w:r>
      <w:r>
        <w:rPr>
          <w:b/>
          <w:i/>
          <w:spacing w:val="-5"/>
          <w:sz w:val="20"/>
        </w:rPr>
        <w:t> </w:t>
      </w:r>
      <w:r>
        <w:rPr>
          <w:b/>
          <w:i/>
          <w:sz w:val="20"/>
        </w:rPr>
        <w:t>of</w:t>
      </w:r>
      <w:r>
        <w:rPr>
          <w:b/>
          <w:i/>
          <w:spacing w:val="-11"/>
          <w:sz w:val="20"/>
        </w:rPr>
        <w:t> </w:t>
      </w:r>
      <w:r>
        <w:rPr>
          <w:b/>
          <w:i/>
          <w:sz w:val="20"/>
        </w:rPr>
        <w:t>Discharge</w:t>
      </w:r>
      <w:r>
        <w:rPr>
          <w:b/>
          <w:i/>
          <w:spacing w:val="-5"/>
          <w:sz w:val="20"/>
        </w:rPr>
        <w:t> </w:t>
      </w:r>
      <w:r>
        <w:rPr>
          <w:b/>
          <w:i/>
          <w:sz w:val="20"/>
        </w:rPr>
        <w:t>Certificate.</w:t>
      </w:r>
      <w:r>
        <w:rPr>
          <w:b/>
          <w:i/>
          <w:spacing w:val="-3"/>
          <w:sz w:val="20"/>
        </w:rPr>
        <w:t> </w:t>
      </w:r>
      <w:r>
        <w:rPr>
          <w:i/>
          <w:sz w:val="20"/>
        </w:rPr>
        <w:t>{para</w:t>
      </w:r>
      <w:r>
        <w:rPr>
          <w:i/>
          <w:spacing w:val="-4"/>
          <w:sz w:val="20"/>
        </w:rPr>
        <w:t> </w:t>
      </w:r>
      <w:r>
        <w:rPr>
          <w:i/>
          <w:sz w:val="20"/>
        </w:rPr>
        <w:t>2(ii) </w:t>
      </w:r>
      <w:r>
        <w:rPr>
          <w:i/>
          <w:sz w:val="20"/>
        </w:rPr>
        <w:t>of Circular No. 1072/05/2019-CX. Dated</w:t>
      </w:r>
      <w:r>
        <w:rPr>
          <w:i/>
          <w:spacing w:val="-7"/>
          <w:sz w:val="20"/>
        </w:rPr>
        <w:t> </w:t>
      </w:r>
      <w:r>
        <w:rPr>
          <w:i/>
          <w:sz w:val="20"/>
        </w:rPr>
        <w:t>25.09.2019}</w:t>
      </w:r>
    </w:p>
    <w:p>
      <w:pPr>
        <w:pStyle w:val="BodyText"/>
        <w:spacing w:before="10"/>
        <w:rPr>
          <w:i/>
          <w:sz w:val="18"/>
        </w:rPr>
      </w:pPr>
    </w:p>
    <w:p>
      <w:pPr>
        <w:pStyle w:val="ListParagraph"/>
        <w:numPr>
          <w:ilvl w:val="0"/>
          <w:numId w:val="14"/>
        </w:numPr>
        <w:tabs>
          <w:tab w:pos="1181" w:val="left" w:leader="none"/>
        </w:tabs>
        <w:spacing w:line="208" w:lineRule="auto" w:before="0" w:after="0"/>
        <w:ind w:left="1181" w:right="207" w:hanging="360"/>
        <w:jc w:val="both"/>
        <w:rPr>
          <w:sz w:val="22"/>
        </w:rPr>
      </w:pPr>
      <w:r>
        <w:rPr>
          <w:color w:val="006FC0"/>
          <w:sz w:val="22"/>
        </w:rPr>
        <w:t>DC shall issue the </w:t>
      </w:r>
      <w:r>
        <w:rPr>
          <w:b/>
          <w:color w:val="006FC0"/>
          <w:sz w:val="22"/>
          <w:u w:val="single" w:color="006FC0"/>
        </w:rPr>
        <w:t>discharge certificate in form No. SVLDRS-4</w:t>
      </w:r>
      <w:r>
        <w:rPr>
          <w:b/>
          <w:color w:val="006FC0"/>
          <w:sz w:val="22"/>
        </w:rPr>
        <w:t> </w:t>
      </w:r>
      <w:r>
        <w:rPr>
          <w:color w:val="006FC0"/>
          <w:sz w:val="22"/>
        </w:rPr>
        <w:t>on </w:t>
      </w:r>
      <w:r>
        <w:rPr>
          <w:color w:val="FF0000"/>
          <w:sz w:val="22"/>
        </w:rPr>
        <w:t>payment of amount </w:t>
      </w:r>
      <w:r>
        <w:rPr>
          <w:color w:val="006FC0"/>
          <w:sz w:val="22"/>
        </w:rPr>
        <w:t>indicated in statement issued by DC in form No. SVLDRS-3 and production of proof, withdrawal of appeal (if applicable) within 30 days of the said payment and production of</w:t>
      </w:r>
      <w:r>
        <w:rPr>
          <w:color w:val="006FC0"/>
          <w:spacing w:val="-19"/>
          <w:sz w:val="22"/>
        </w:rPr>
        <w:t> </w:t>
      </w:r>
      <w:r>
        <w:rPr>
          <w:color w:val="006FC0"/>
          <w:sz w:val="22"/>
        </w:rPr>
        <w:t>proof.</w:t>
      </w:r>
    </w:p>
    <w:p>
      <w:pPr>
        <w:pStyle w:val="BodyText"/>
      </w:pPr>
    </w:p>
    <w:p>
      <w:pPr>
        <w:pStyle w:val="BodyText"/>
        <w:spacing w:before="5"/>
        <w:rPr>
          <w:sz w:val="28"/>
        </w:rPr>
      </w:pPr>
    </w:p>
    <w:p>
      <w:pPr>
        <w:spacing w:before="0"/>
        <w:ind w:left="100" w:right="0" w:firstLine="0"/>
        <w:jc w:val="left"/>
        <w:rPr>
          <w:rFonts w:ascii="Arial Black" w:hAnsi="Arial Black"/>
          <w:sz w:val="20"/>
        </w:rPr>
      </w:pPr>
      <w:r>
        <w:rPr>
          <w:rFonts w:ascii="Arial Black" w:hAnsi="Arial Black"/>
          <w:sz w:val="20"/>
        </w:rPr>
        <w:t>Sec-128 – Rectification of errors –</w:t>
      </w:r>
    </w:p>
    <w:p>
      <w:pPr>
        <w:pStyle w:val="BodyText"/>
        <w:spacing w:line="211" w:lineRule="auto" w:before="186"/>
        <w:ind w:left="821" w:right="208"/>
        <w:jc w:val="both"/>
      </w:pPr>
      <w:r>
        <w:rPr>
          <w:color w:val="006FC0"/>
        </w:rPr>
        <w:t>Designated committee may modify its order </w:t>
      </w:r>
      <w:r>
        <w:rPr>
          <w:b/>
          <w:color w:val="006FC0"/>
          <w:u w:val="single" w:color="006FC0"/>
        </w:rPr>
        <w:t>only to correct arithmetical or clerical error</w:t>
      </w:r>
      <w:r>
        <w:rPr>
          <w:color w:val="006FC0"/>
        </w:rPr>
        <w:t>, which is apparent from the face of record, on being pointed out by declarant or suo motu </w:t>
      </w:r>
      <w:r>
        <w:rPr>
          <w:color w:val="FF0000"/>
        </w:rPr>
        <w:t>within 30 days </w:t>
      </w:r>
      <w:r>
        <w:rPr>
          <w:color w:val="006FC0"/>
        </w:rPr>
        <w:t>from the issuance of statement indicating amount payable.</w:t>
      </w:r>
    </w:p>
    <w:p>
      <w:pPr>
        <w:pStyle w:val="BodyText"/>
      </w:pPr>
    </w:p>
    <w:p>
      <w:pPr>
        <w:pStyle w:val="BodyText"/>
        <w:spacing w:before="4"/>
      </w:pPr>
    </w:p>
    <w:p>
      <w:pPr>
        <w:spacing w:before="1"/>
        <w:ind w:left="100" w:right="0" w:firstLine="0"/>
        <w:jc w:val="left"/>
        <w:rPr>
          <w:rFonts w:ascii="Arial Black" w:hAnsi="Arial Black"/>
          <w:sz w:val="20"/>
        </w:rPr>
      </w:pPr>
      <w:r>
        <w:rPr>
          <w:rFonts w:ascii="Arial Black" w:hAnsi="Arial Black"/>
          <w:sz w:val="20"/>
        </w:rPr>
        <w:t>Sec-129 –Issue of discharge certificate to be conclusive of matter and time period–</w:t>
      </w:r>
    </w:p>
    <w:p>
      <w:pPr>
        <w:pStyle w:val="ListParagraph"/>
        <w:numPr>
          <w:ilvl w:val="0"/>
          <w:numId w:val="15"/>
        </w:numPr>
        <w:tabs>
          <w:tab w:pos="1181" w:val="left" w:leader="none"/>
        </w:tabs>
        <w:spacing w:line="240" w:lineRule="auto" w:before="180" w:after="0"/>
        <w:ind w:left="1181" w:right="0" w:hanging="360"/>
        <w:jc w:val="left"/>
        <w:rPr>
          <w:sz w:val="22"/>
        </w:rPr>
      </w:pPr>
      <w:r>
        <w:rPr>
          <w:color w:val="006FC0"/>
          <w:sz w:val="22"/>
        </w:rPr>
        <w:t>Discharge certificate issued u/s 126 under this scheme shall be </w:t>
      </w:r>
      <w:r>
        <w:rPr>
          <w:b/>
          <w:color w:val="006FC0"/>
          <w:sz w:val="22"/>
        </w:rPr>
        <w:t>“conclusive” </w:t>
      </w:r>
      <w:r>
        <w:rPr>
          <w:color w:val="006FC0"/>
          <w:sz w:val="22"/>
        </w:rPr>
        <w:t>as</w:t>
      </w:r>
      <w:r>
        <w:rPr>
          <w:color w:val="006FC0"/>
          <w:spacing w:val="-20"/>
          <w:sz w:val="22"/>
        </w:rPr>
        <w:t> </w:t>
      </w:r>
      <w:r>
        <w:rPr>
          <w:color w:val="006FC0"/>
          <w:sz w:val="22"/>
        </w:rPr>
        <w:t>to</w:t>
      </w:r>
    </w:p>
    <w:p>
      <w:pPr>
        <w:pStyle w:val="ListParagraph"/>
        <w:numPr>
          <w:ilvl w:val="1"/>
          <w:numId w:val="15"/>
        </w:numPr>
        <w:tabs>
          <w:tab w:pos="1540" w:val="left" w:leader="none"/>
          <w:tab w:pos="1541" w:val="left" w:leader="none"/>
        </w:tabs>
        <w:spacing w:line="240" w:lineRule="auto" w:before="134" w:after="0"/>
        <w:ind w:left="1541" w:right="0" w:hanging="360"/>
        <w:jc w:val="left"/>
        <w:rPr>
          <w:sz w:val="22"/>
        </w:rPr>
      </w:pPr>
      <w:r>
        <w:rPr>
          <w:color w:val="006FC0"/>
          <w:sz w:val="22"/>
        </w:rPr>
        <w:t>the matter and time period mentioned in said discharge</w:t>
      </w:r>
      <w:r>
        <w:rPr>
          <w:color w:val="006FC0"/>
          <w:spacing w:val="-20"/>
          <w:sz w:val="22"/>
        </w:rPr>
        <w:t> </w:t>
      </w:r>
      <w:r>
        <w:rPr>
          <w:color w:val="006FC0"/>
          <w:sz w:val="22"/>
        </w:rPr>
        <w:t>certificate</w:t>
      </w:r>
    </w:p>
    <w:p>
      <w:pPr>
        <w:pStyle w:val="ListParagraph"/>
        <w:numPr>
          <w:ilvl w:val="1"/>
          <w:numId w:val="15"/>
        </w:numPr>
        <w:tabs>
          <w:tab w:pos="1540" w:val="left" w:leader="none"/>
          <w:tab w:pos="1541" w:val="left" w:leader="none"/>
        </w:tabs>
        <w:spacing w:line="240" w:lineRule="auto" w:before="130" w:after="0"/>
        <w:ind w:left="1541" w:right="0" w:hanging="360"/>
        <w:jc w:val="left"/>
        <w:rPr>
          <w:b/>
          <w:sz w:val="22"/>
        </w:rPr>
      </w:pPr>
      <w:r>
        <w:rPr>
          <w:b/>
          <w:color w:val="006FC0"/>
          <w:sz w:val="22"/>
          <w:u w:val="single" w:color="006FC0"/>
        </w:rPr>
        <w:t>and</w:t>
      </w:r>
    </w:p>
    <w:p>
      <w:pPr>
        <w:pStyle w:val="ListParagraph"/>
        <w:numPr>
          <w:ilvl w:val="2"/>
          <w:numId w:val="15"/>
        </w:numPr>
        <w:tabs>
          <w:tab w:pos="2262" w:val="left" w:leader="none"/>
        </w:tabs>
        <w:spacing w:line="252" w:lineRule="auto" w:before="130" w:after="0"/>
        <w:ind w:left="2261" w:right="773" w:hanging="360"/>
        <w:jc w:val="both"/>
        <w:rPr>
          <w:sz w:val="22"/>
        </w:rPr>
      </w:pPr>
      <w:r>
        <w:rPr>
          <w:color w:val="006FC0"/>
          <w:sz w:val="22"/>
        </w:rPr>
        <w:t>Declarant shall not be liable to pay any</w:t>
      </w:r>
      <w:r>
        <w:rPr>
          <w:color w:val="FF0000"/>
          <w:sz w:val="22"/>
        </w:rPr>
        <w:t> </w:t>
      </w:r>
      <w:r>
        <w:rPr>
          <w:color w:val="FF0000"/>
          <w:sz w:val="22"/>
          <w:u w:val="single" w:color="FF0000"/>
        </w:rPr>
        <w:t>further duty, interest, or penalty</w:t>
      </w:r>
      <w:r>
        <w:rPr>
          <w:color w:val="FF0000"/>
          <w:sz w:val="22"/>
        </w:rPr>
        <w:t> </w:t>
      </w:r>
      <w:r>
        <w:rPr>
          <w:color w:val="006FC0"/>
          <w:sz w:val="22"/>
        </w:rPr>
        <w:t>with respect to the matter and time period covered in the</w:t>
      </w:r>
      <w:r>
        <w:rPr>
          <w:color w:val="006FC0"/>
          <w:spacing w:val="-20"/>
          <w:sz w:val="22"/>
        </w:rPr>
        <w:t> </w:t>
      </w:r>
      <w:r>
        <w:rPr>
          <w:color w:val="006FC0"/>
          <w:sz w:val="22"/>
        </w:rPr>
        <w:t>declaration.</w:t>
      </w:r>
    </w:p>
    <w:p>
      <w:pPr>
        <w:pStyle w:val="ListParagraph"/>
        <w:numPr>
          <w:ilvl w:val="2"/>
          <w:numId w:val="15"/>
        </w:numPr>
        <w:tabs>
          <w:tab w:pos="2262" w:val="left" w:leader="none"/>
        </w:tabs>
        <w:spacing w:line="256" w:lineRule="auto" w:before="116" w:after="0"/>
        <w:ind w:left="2261" w:right="774" w:hanging="360"/>
        <w:jc w:val="both"/>
        <w:rPr>
          <w:sz w:val="22"/>
        </w:rPr>
      </w:pPr>
      <w:r>
        <w:rPr>
          <w:color w:val="006FC0"/>
          <w:sz w:val="22"/>
        </w:rPr>
        <w:t>Declarant shall not be liable to be</w:t>
      </w:r>
      <w:r>
        <w:rPr>
          <w:color w:val="FF0000"/>
          <w:sz w:val="22"/>
        </w:rPr>
        <w:t> </w:t>
      </w:r>
      <w:r>
        <w:rPr>
          <w:color w:val="FF0000"/>
          <w:sz w:val="22"/>
          <w:u w:val="single" w:color="FF0000"/>
        </w:rPr>
        <w:t>prosecuted</w:t>
      </w:r>
      <w:r>
        <w:rPr>
          <w:color w:val="FF0000"/>
          <w:sz w:val="22"/>
        </w:rPr>
        <w:t> </w:t>
      </w:r>
      <w:r>
        <w:rPr>
          <w:color w:val="006FC0"/>
          <w:sz w:val="22"/>
        </w:rPr>
        <w:t>under the indirect tax enactment with respect to the matter and time period covered in the declaration.</w:t>
      </w:r>
    </w:p>
    <w:p>
      <w:pPr>
        <w:spacing w:after="0" w:line="256" w:lineRule="auto"/>
        <w:jc w:val="both"/>
        <w:rPr>
          <w:sz w:val="22"/>
        </w:rPr>
        <w:sectPr>
          <w:pgSz w:w="11910" w:h="16840"/>
          <w:pgMar w:header="764" w:footer="992" w:top="1620" w:bottom="1180" w:left="1340" w:right="660"/>
        </w:sectPr>
      </w:pPr>
    </w:p>
    <w:p>
      <w:pPr>
        <w:pStyle w:val="BodyText"/>
        <w:spacing w:before="6"/>
        <w:rPr>
          <w:sz w:val="17"/>
        </w:rPr>
      </w:pPr>
    </w:p>
    <w:p>
      <w:pPr>
        <w:pStyle w:val="ListParagraph"/>
        <w:numPr>
          <w:ilvl w:val="2"/>
          <w:numId w:val="15"/>
        </w:numPr>
        <w:tabs>
          <w:tab w:pos="2261" w:val="left" w:leader="none"/>
          <w:tab w:pos="2262" w:val="left" w:leader="none"/>
        </w:tabs>
        <w:spacing w:line="240" w:lineRule="auto" w:before="75" w:after="0"/>
        <w:ind w:left="2261" w:right="0" w:hanging="361"/>
        <w:jc w:val="left"/>
        <w:rPr>
          <w:b/>
          <w:sz w:val="22"/>
        </w:rPr>
      </w:pPr>
      <w:r>
        <w:rPr>
          <w:color w:val="006FC0"/>
          <w:sz w:val="22"/>
        </w:rPr>
        <w:t>Matter</w:t>
      </w:r>
      <w:r>
        <w:rPr>
          <w:color w:val="006FC0"/>
          <w:spacing w:val="21"/>
          <w:sz w:val="22"/>
        </w:rPr>
        <w:t> </w:t>
      </w:r>
      <w:r>
        <w:rPr>
          <w:color w:val="006FC0"/>
          <w:sz w:val="22"/>
        </w:rPr>
        <w:t>and</w:t>
      </w:r>
      <w:r>
        <w:rPr>
          <w:color w:val="006FC0"/>
          <w:spacing w:val="20"/>
          <w:sz w:val="22"/>
        </w:rPr>
        <w:t> </w:t>
      </w:r>
      <w:r>
        <w:rPr>
          <w:color w:val="006FC0"/>
          <w:sz w:val="22"/>
        </w:rPr>
        <w:t>time</w:t>
      </w:r>
      <w:r>
        <w:rPr>
          <w:color w:val="006FC0"/>
          <w:spacing w:val="22"/>
          <w:sz w:val="22"/>
        </w:rPr>
        <w:t> </w:t>
      </w:r>
      <w:r>
        <w:rPr>
          <w:color w:val="006FC0"/>
          <w:sz w:val="22"/>
        </w:rPr>
        <w:t>period</w:t>
      </w:r>
      <w:r>
        <w:rPr>
          <w:color w:val="006FC0"/>
          <w:spacing w:val="20"/>
          <w:sz w:val="22"/>
        </w:rPr>
        <w:t> </w:t>
      </w:r>
      <w:r>
        <w:rPr>
          <w:color w:val="006FC0"/>
          <w:sz w:val="22"/>
        </w:rPr>
        <w:t>covered</w:t>
      </w:r>
      <w:r>
        <w:rPr>
          <w:color w:val="006FC0"/>
          <w:spacing w:val="21"/>
          <w:sz w:val="22"/>
        </w:rPr>
        <w:t> </w:t>
      </w:r>
      <w:r>
        <w:rPr>
          <w:color w:val="006FC0"/>
          <w:sz w:val="22"/>
        </w:rPr>
        <w:t>under</w:t>
      </w:r>
      <w:r>
        <w:rPr>
          <w:color w:val="006FC0"/>
          <w:spacing w:val="22"/>
          <w:sz w:val="22"/>
        </w:rPr>
        <w:t> </w:t>
      </w:r>
      <w:r>
        <w:rPr>
          <w:color w:val="006FC0"/>
          <w:sz w:val="22"/>
        </w:rPr>
        <w:t>this</w:t>
      </w:r>
      <w:r>
        <w:rPr>
          <w:color w:val="006FC0"/>
          <w:spacing w:val="20"/>
          <w:sz w:val="22"/>
        </w:rPr>
        <w:t> </w:t>
      </w:r>
      <w:r>
        <w:rPr>
          <w:color w:val="006FC0"/>
          <w:sz w:val="22"/>
        </w:rPr>
        <w:t>scheme</w:t>
      </w:r>
      <w:r>
        <w:rPr>
          <w:color w:val="006FC0"/>
          <w:spacing w:val="24"/>
          <w:sz w:val="22"/>
        </w:rPr>
        <w:t> </w:t>
      </w:r>
      <w:r>
        <w:rPr>
          <w:b/>
          <w:color w:val="FF0000"/>
          <w:sz w:val="22"/>
        </w:rPr>
        <w:t>shall</w:t>
      </w:r>
      <w:r>
        <w:rPr>
          <w:b/>
          <w:color w:val="FF0000"/>
          <w:spacing w:val="21"/>
          <w:sz w:val="22"/>
        </w:rPr>
        <w:t> </w:t>
      </w:r>
      <w:r>
        <w:rPr>
          <w:b/>
          <w:color w:val="FF0000"/>
          <w:sz w:val="22"/>
        </w:rPr>
        <w:t>not</w:t>
      </w:r>
      <w:r>
        <w:rPr>
          <w:b/>
          <w:color w:val="FF0000"/>
          <w:spacing w:val="17"/>
          <w:sz w:val="22"/>
        </w:rPr>
        <w:t> </w:t>
      </w:r>
      <w:r>
        <w:rPr>
          <w:b/>
          <w:color w:val="FF0000"/>
          <w:sz w:val="22"/>
        </w:rPr>
        <w:t>be</w:t>
      </w:r>
      <w:r>
        <w:rPr>
          <w:b/>
          <w:color w:val="FF0000"/>
          <w:spacing w:val="20"/>
          <w:sz w:val="22"/>
        </w:rPr>
        <w:t> </w:t>
      </w:r>
      <w:r>
        <w:rPr>
          <w:b/>
          <w:color w:val="FF0000"/>
          <w:sz w:val="22"/>
        </w:rPr>
        <w:t>reopened</w:t>
      </w:r>
    </w:p>
    <w:p>
      <w:pPr>
        <w:pStyle w:val="BodyText"/>
        <w:spacing w:before="12"/>
        <w:ind w:left="2261"/>
      </w:pPr>
      <w:r>
        <w:rPr>
          <w:color w:val="006FC0"/>
        </w:rPr>
        <w:t>under any proceedings of indirect tax enactment.</w:t>
      </w:r>
    </w:p>
    <w:p>
      <w:pPr>
        <w:pStyle w:val="ListParagraph"/>
        <w:numPr>
          <w:ilvl w:val="0"/>
          <w:numId w:val="15"/>
        </w:numPr>
        <w:tabs>
          <w:tab w:pos="1181" w:val="left" w:leader="none"/>
        </w:tabs>
        <w:spacing w:line="240" w:lineRule="auto" w:before="136" w:after="0"/>
        <w:ind w:left="1181" w:right="0" w:hanging="360"/>
        <w:jc w:val="both"/>
        <w:rPr>
          <w:sz w:val="22"/>
        </w:rPr>
      </w:pPr>
      <w:r>
        <w:rPr>
          <w:color w:val="006FC0"/>
          <w:sz w:val="22"/>
        </w:rPr>
        <w:t>Notwithstanding anything contained in sub-section (1),</w:t>
      </w:r>
      <w:r>
        <w:rPr>
          <w:color w:val="006FC0"/>
          <w:spacing w:val="-11"/>
          <w:sz w:val="22"/>
        </w:rPr>
        <w:t> </w:t>
      </w:r>
      <w:r>
        <w:rPr>
          <w:color w:val="006FC0"/>
          <w:sz w:val="22"/>
        </w:rPr>
        <w:t>-</w:t>
      </w:r>
    </w:p>
    <w:p>
      <w:pPr>
        <w:pStyle w:val="ListParagraph"/>
        <w:numPr>
          <w:ilvl w:val="0"/>
          <w:numId w:val="16"/>
        </w:numPr>
        <w:tabs>
          <w:tab w:pos="1902" w:val="left" w:leader="none"/>
        </w:tabs>
        <w:spacing w:line="256" w:lineRule="auto" w:before="130" w:after="0"/>
        <w:ind w:left="1901" w:right="777" w:hanging="361"/>
        <w:jc w:val="both"/>
        <w:rPr>
          <w:sz w:val="22"/>
        </w:rPr>
      </w:pPr>
      <w:r>
        <w:rPr>
          <w:color w:val="006FC0"/>
          <w:sz w:val="22"/>
        </w:rPr>
        <w:t>No</w:t>
      </w:r>
      <w:r>
        <w:rPr>
          <w:color w:val="006FC0"/>
          <w:spacing w:val="-4"/>
          <w:sz w:val="22"/>
        </w:rPr>
        <w:t> </w:t>
      </w:r>
      <w:r>
        <w:rPr>
          <w:color w:val="006FC0"/>
          <w:sz w:val="22"/>
        </w:rPr>
        <w:t>person</w:t>
      </w:r>
      <w:r>
        <w:rPr>
          <w:color w:val="006FC0"/>
          <w:spacing w:val="-4"/>
          <w:sz w:val="22"/>
        </w:rPr>
        <w:t> </w:t>
      </w:r>
      <w:r>
        <w:rPr>
          <w:color w:val="006FC0"/>
          <w:sz w:val="22"/>
        </w:rPr>
        <w:t>shall</w:t>
      </w:r>
      <w:r>
        <w:rPr>
          <w:color w:val="006FC0"/>
          <w:spacing w:val="-2"/>
          <w:sz w:val="22"/>
        </w:rPr>
        <w:t> </w:t>
      </w:r>
      <w:r>
        <w:rPr>
          <w:color w:val="006FC0"/>
          <w:sz w:val="22"/>
        </w:rPr>
        <w:t>contend</w:t>
      </w:r>
      <w:r>
        <w:rPr>
          <w:color w:val="006FC0"/>
          <w:spacing w:val="-4"/>
          <w:sz w:val="22"/>
        </w:rPr>
        <w:t> </w:t>
      </w:r>
      <w:r>
        <w:rPr>
          <w:color w:val="006FC0"/>
          <w:sz w:val="22"/>
        </w:rPr>
        <w:t>that</w:t>
      </w:r>
      <w:r>
        <w:rPr>
          <w:color w:val="006FC0"/>
          <w:spacing w:val="-5"/>
          <w:sz w:val="22"/>
        </w:rPr>
        <w:t> </w:t>
      </w:r>
      <w:r>
        <w:rPr>
          <w:color w:val="006FC0"/>
          <w:sz w:val="22"/>
        </w:rPr>
        <w:t>central</w:t>
      </w:r>
      <w:r>
        <w:rPr>
          <w:color w:val="006FC0"/>
          <w:spacing w:val="-3"/>
          <w:sz w:val="22"/>
        </w:rPr>
        <w:t> </w:t>
      </w:r>
      <w:r>
        <w:rPr>
          <w:color w:val="006FC0"/>
          <w:sz w:val="22"/>
        </w:rPr>
        <w:t>excise</w:t>
      </w:r>
      <w:r>
        <w:rPr>
          <w:color w:val="006FC0"/>
          <w:spacing w:val="-3"/>
          <w:sz w:val="22"/>
        </w:rPr>
        <w:t> </w:t>
      </w:r>
      <w:r>
        <w:rPr>
          <w:color w:val="006FC0"/>
          <w:sz w:val="22"/>
        </w:rPr>
        <w:t>officer</w:t>
      </w:r>
      <w:r>
        <w:rPr>
          <w:color w:val="006FC0"/>
          <w:spacing w:val="-3"/>
          <w:sz w:val="22"/>
        </w:rPr>
        <w:t> </w:t>
      </w:r>
      <w:r>
        <w:rPr>
          <w:color w:val="006FC0"/>
          <w:sz w:val="22"/>
        </w:rPr>
        <w:t>has</w:t>
      </w:r>
      <w:r>
        <w:rPr>
          <w:color w:val="006FC0"/>
          <w:spacing w:val="-7"/>
          <w:sz w:val="22"/>
        </w:rPr>
        <w:t> </w:t>
      </w:r>
      <w:r>
        <w:rPr>
          <w:color w:val="006FC0"/>
          <w:sz w:val="22"/>
        </w:rPr>
        <w:t>acquiesced</w:t>
      </w:r>
      <w:r>
        <w:rPr>
          <w:color w:val="006FC0"/>
          <w:spacing w:val="-3"/>
          <w:sz w:val="22"/>
        </w:rPr>
        <w:t> </w:t>
      </w:r>
      <w:r>
        <w:rPr>
          <w:color w:val="006FC0"/>
          <w:sz w:val="22"/>
        </w:rPr>
        <w:t>in</w:t>
      </w:r>
      <w:r>
        <w:rPr>
          <w:color w:val="006FC0"/>
          <w:spacing w:val="-4"/>
          <w:sz w:val="22"/>
        </w:rPr>
        <w:t> </w:t>
      </w:r>
      <w:r>
        <w:rPr>
          <w:color w:val="006FC0"/>
          <w:sz w:val="22"/>
        </w:rPr>
        <w:t>the</w:t>
      </w:r>
      <w:r>
        <w:rPr>
          <w:color w:val="006FC0"/>
          <w:spacing w:val="-3"/>
          <w:sz w:val="22"/>
        </w:rPr>
        <w:t> </w:t>
      </w:r>
      <w:r>
        <w:rPr>
          <w:color w:val="006FC0"/>
          <w:sz w:val="22"/>
        </w:rPr>
        <w:t>decision on the disputed issue by issuing discharge certificate under this</w:t>
      </w:r>
      <w:r>
        <w:rPr>
          <w:color w:val="006FC0"/>
          <w:spacing w:val="-25"/>
          <w:sz w:val="22"/>
        </w:rPr>
        <w:t> </w:t>
      </w:r>
      <w:r>
        <w:rPr>
          <w:color w:val="006FC0"/>
          <w:sz w:val="22"/>
        </w:rPr>
        <w:t>scheme.</w:t>
      </w:r>
    </w:p>
    <w:p>
      <w:pPr>
        <w:pStyle w:val="ListParagraph"/>
        <w:numPr>
          <w:ilvl w:val="0"/>
          <w:numId w:val="16"/>
        </w:numPr>
        <w:tabs>
          <w:tab w:pos="1902" w:val="left" w:leader="none"/>
        </w:tabs>
        <w:spacing w:line="256" w:lineRule="auto" w:before="111" w:after="0"/>
        <w:ind w:left="1901" w:right="783" w:hanging="361"/>
        <w:jc w:val="both"/>
        <w:rPr>
          <w:sz w:val="22"/>
        </w:rPr>
      </w:pPr>
      <w:r>
        <w:rPr>
          <w:color w:val="006FC0"/>
          <w:sz w:val="22"/>
        </w:rPr>
        <w:t>Issuance of discharge certificate with respect to a matter for a time period shall not close the issue of</w:t>
      </w:r>
      <w:r>
        <w:rPr>
          <w:color w:val="006FC0"/>
          <w:spacing w:val="-14"/>
          <w:sz w:val="22"/>
        </w:rPr>
        <w:t> </w:t>
      </w:r>
      <w:r>
        <w:rPr>
          <w:color w:val="006FC0"/>
          <w:sz w:val="22"/>
        </w:rPr>
        <w:t>SCN-</w:t>
      </w:r>
    </w:p>
    <w:p>
      <w:pPr>
        <w:pStyle w:val="ListParagraph"/>
        <w:numPr>
          <w:ilvl w:val="1"/>
          <w:numId w:val="16"/>
        </w:numPr>
        <w:tabs>
          <w:tab w:pos="2982" w:val="left" w:leader="none"/>
        </w:tabs>
        <w:spacing w:line="240" w:lineRule="auto" w:before="117" w:after="0"/>
        <w:ind w:left="2981" w:right="0" w:hanging="361"/>
        <w:jc w:val="both"/>
        <w:rPr>
          <w:sz w:val="22"/>
        </w:rPr>
      </w:pPr>
      <w:r>
        <w:rPr>
          <w:color w:val="006FC0"/>
          <w:sz w:val="22"/>
        </w:rPr>
        <w:t>For the </w:t>
      </w:r>
      <w:r>
        <w:rPr>
          <w:b/>
          <w:color w:val="FF0000"/>
          <w:sz w:val="22"/>
        </w:rPr>
        <w:t>same issue </w:t>
      </w:r>
      <w:r>
        <w:rPr>
          <w:color w:val="006FC0"/>
          <w:sz w:val="22"/>
        </w:rPr>
        <w:t>for the </w:t>
      </w:r>
      <w:r>
        <w:rPr>
          <w:b/>
          <w:color w:val="FF0000"/>
          <w:sz w:val="22"/>
        </w:rPr>
        <w:t>subsequent time period</w:t>
      </w:r>
      <w:r>
        <w:rPr>
          <w:b/>
          <w:color w:val="FF0000"/>
          <w:spacing w:val="-10"/>
          <w:sz w:val="22"/>
        </w:rPr>
        <w:t> </w:t>
      </w:r>
      <w:r>
        <w:rPr>
          <w:color w:val="006FC0"/>
          <w:sz w:val="22"/>
        </w:rPr>
        <w:t>or</w:t>
      </w:r>
    </w:p>
    <w:p>
      <w:pPr>
        <w:pStyle w:val="ListParagraph"/>
        <w:numPr>
          <w:ilvl w:val="1"/>
          <w:numId w:val="16"/>
        </w:numPr>
        <w:tabs>
          <w:tab w:pos="2982" w:val="left" w:leader="none"/>
        </w:tabs>
        <w:spacing w:line="240" w:lineRule="auto" w:before="130" w:after="0"/>
        <w:ind w:left="2981" w:right="0" w:hanging="361"/>
        <w:jc w:val="both"/>
        <w:rPr>
          <w:sz w:val="22"/>
        </w:rPr>
      </w:pPr>
      <w:r>
        <w:rPr>
          <w:color w:val="006FC0"/>
          <w:sz w:val="22"/>
        </w:rPr>
        <w:t>For the </w:t>
      </w:r>
      <w:r>
        <w:rPr>
          <w:b/>
          <w:color w:val="FF0000"/>
          <w:sz w:val="22"/>
        </w:rPr>
        <w:t>different matter </w:t>
      </w:r>
      <w:r>
        <w:rPr>
          <w:color w:val="006FC0"/>
          <w:sz w:val="22"/>
        </w:rPr>
        <w:t>for the </w:t>
      </w:r>
      <w:r>
        <w:rPr>
          <w:b/>
          <w:color w:val="FF0000"/>
          <w:sz w:val="22"/>
        </w:rPr>
        <w:t>same time</w:t>
      </w:r>
      <w:r>
        <w:rPr>
          <w:b/>
          <w:color w:val="FF0000"/>
          <w:spacing w:val="-18"/>
          <w:sz w:val="22"/>
        </w:rPr>
        <w:t> </w:t>
      </w:r>
      <w:r>
        <w:rPr>
          <w:b/>
          <w:color w:val="FF0000"/>
          <w:sz w:val="22"/>
        </w:rPr>
        <w:t>period</w:t>
      </w:r>
      <w:r>
        <w:rPr>
          <w:color w:val="006FC0"/>
          <w:sz w:val="22"/>
        </w:rPr>
        <w:t>.</w:t>
      </w:r>
    </w:p>
    <w:p>
      <w:pPr>
        <w:pStyle w:val="BodyText"/>
        <w:spacing w:line="254" w:lineRule="auto" w:before="130"/>
        <w:ind w:left="2261" w:right="778" w:hanging="721"/>
        <w:jc w:val="both"/>
      </w:pPr>
      <w:r>
        <w:rPr>
          <w:color w:val="006FC0"/>
        </w:rPr>
        <w:t>© In the case of voluntary disclosure, if any material particular furnished in the declaration found to be false </w:t>
      </w:r>
      <w:r>
        <w:rPr>
          <w:b/>
          <w:color w:val="006FC0"/>
        </w:rPr>
        <w:t>within a period of 1 year </w:t>
      </w:r>
      <w:r>
        <w:rPr>
          <w:color w:val="006FC0"/>
        </w:rPr>
        <w:t>from the date of issuance of discharge certificate, it shall be presumed that declaration was never made and proceedings under the applicable indirect tax enactment shall be instituted.</w:t>
      </w:r>
    </w:p>
    <w:p>
      <w:pPr>
        <w:pStyle w:val="BodyText"/>
        <w:spacing w:before="7"/>
        <w:rPr>
          <w:sz w:val="31"/>
        </w:rPr>
      </w:pPr>
    </w:p>
    <w:p>
      <w:pPr>
        <w:spacing w:before="0"/>
        <w:ind w:left="100" w:right="0" w:firstLine="0"/>
        <w:jc w:val="left"/>
        <w:rPr>
          <w:rFonts w:ascii="Arial Black" w:hAnsi="Arial Black"/>
          <w:sz w:val="20"/>
        </w:rPr>
      </w:pPr>
      <w:r>
        <w:rPr>
          <w:rFonts w:ascii="Arial Black" w:hAnsi="Arial Black"/>
          <w:sz w:val="20"/>
        </w:rPr>
        <w:t>Sec-130 –Restrictions of Scheme–</w:t>
      </w:r>
    </w:p>
    <w:p>
      <w:pPr>
        <w:pStyle w:val="ListParagraph"/>
        <w:numPr>
          <w:ilvl w:val="0"/>
          <w:numId w:val="17"/>
        </w:numPr>
        <w:tabs>
          <w:tab w:pos="1181" w:val="left" w:leader="none"/>
        </w:tabs>
        <w:spacing w:line="240" w:lineRule="auto" w:before="180" w:after="0"/>
        <w:ind w:left="1181" w:right="0" w:hanging="360"/>
        <w:jc w:val="both"/>
        <w:rPr>
          <w:sz w:val="22"/>
        </w:rPr>
      </w:pPr>
      <w:r>
        <w:rPr>
          <w:color w:val="006FC0"/>
          <w:sz w:val="22"/>
        </w:rPr>
        <w:t>Any amount paid/payable under this scheme,</w:t>
      </w:r>
      <w:r>
        <w:rPr>
          <w:color w:val="006FC0"/>
          <w:spacing w:val="-15"/>
          <w:sz w:val="22"/>
        </w:rPr>
        <w:t> </w:t>
      </w:r>
      <w:r>
        <w:rPr>
          <w:color w:val="006FC0"/>
          <w:sz w:val="22"/>
        </w:rPr>
        <w:t>-</w:t>
      </w:r>
    </w:p>
    <w:p>
      <w:pPr>
        <w:pStyle w:val="BodyText"/>
        <w:spacing w:before="7"/>
        <w:rPr>
          <w:sz w:val="25"/>
        </w:rPr>
      </w:pPr>
    </w:p>
    <w:p>
      <w:pPr>
        <w:pStyle w:val="ListParagraph"/>
        <w:numPr>
          <w:ilvl w:val="1"/>
          <w:numId w:val="17"/>
        </w:numPr>
        <w:tabs>
          <w:tab w:pos="1902" w:val="left" w:leader="none"/>
        </w:tabs>
        <w:spacing w:line="240" w:lineRule="auto" w:before="0" w:after="0"/>
        <w:ind w:left="1901" w:right="0" w:hanging="361"/>
        <w:jc w:val="left"/>
        <w:rPr>
          <w:b/>
          <w:sz w:val="22"/>
        </w:rPr>
      </w:pPr>
      <w:r>
        <w:rPr>
          <w:color w:val="006FC0"/>
          <w:sz w:val="22"/>
        </w:rPr>
        <w:t>Shall not be paid through the</w:t>
      </w:r>
      <w:r>
        <w:rPr>
          <w:color w:val="FF0000"/>
          <w:sz w:val="22"/>
        </w:rPr>
        <w:t> </w:t>
      </w:r>
      <w:r>
        <w:rPr>
          <w:b/>
          <w:color w:val="FF0000"/>
          <w:sz w:val="22"/>
          <w:u w:val="single" w:color="FF0000"/>
        </w:rPr>
        <w:t>Input tax</w:t>
      </w:r>
      <w:r>
        <w:rPr>
          <w:b/>
          <w:color w:val="FF0000"/>
          <w:spacing w:val="-12"/>
          <w:sz w:val="22"/>
          <w:u w:val="single" w:color="FF0000"/>
        </w:rPr>
        <w:t> </w:t>
      </w:r>
      <w:r>
        <w:rPr>
          <w:b/>
          <w:color w:val="FF0000"/>
          <w:sz w:val="22"/>
          <w:u w:val="single" w:color="FF0000"/>
        </w:rPr>
        <w:t>credit;</w:t>
      </w:r>
    </w:p>
    <w:p>
      <w:pPr>
        <w:pStyle w:val="ListParagraph"/>
        <w:numPr>
          <w:ilvl w:val="1"/>
          <w:numId w:val="17"/>
        </w:numPr>
        <w:tabs>
          <w:tab w:pos="1902" w:val="left" w:leader="none"/>
        </w:tabs>
        <w:spacing w:line="240" w:lineRule="auto" w:before="25" w:after="0"/>
        <w:ind w:left="1901" w:right="0" w:hanging="361"/>
        <w:jc w:val="left"/>
        <w:rPr>
          <w:sz w:val="22"/>
        </w:rPr>
      </w:pPr>
      <w:r>
        <w:rPr>
          <w:color w:val="006FC0"/>
          <w:sz w:val="22"/>
        </w:rPr>
        <w:t>Shall not be refunded under any</w:t>
      </w:r>
      <w:r>
        <w:rPr>
          <w:color w:val="006FC0"/>
          <w:spacing w:val="-8"/>
          <w:sz w:val="22"/>
        </w:rPr>
        <w:t> </w:t>
      </w:r>
      <w:r>
        <w:rPr>
          <w:color w:val="006FC0"/>
          <w:sz w:val="22"/>
        </w:rPr>
        <w:t>circumstances;</w:t>
      </w:r>
    </w:p>
    <w:p>
      <w:pPr>
        <w:pStyle w:val="ListParagraph"/>
        <w:numPr>
          <w:ilvl w:val="1"/>
          <w:numId w:val="17"/>
        </w:numPr>
        <w:tabs>
          <w:tab w:pos="1950" w:val="left" w:leader="none"/>
        </w:tabs>
        <w:spacing w:line="240" w:lineRule="auto" w:before="19" w:after="0"/>
        <w:ind w:left="1949" w:right="0" w:hanging="409"/>
        <w:jc w:val="left"/>
        <w:rPr>
          <w:sz w:val="22"/>
        </w:rPr>
      </w:pPr>
      <w:r>
        <w:rPr>
          <w:color w:val="006FC0"/>
          <w:sz w:val="22"/>
        </w:rPr>
        <w:t>Shall not</w:t>
      </w:r>
      <w:r>
        <w:rPr>
          <w:color w:val="006FC0"/>
          <w:spacing w:val="-5"/>
          <w:sz w:val="22"/>
        </w:rPr>
        <w:t> </w:t>
      </w:r>
      <w:r>
        <w:rPr>
          <w:color w:val="006FC0"/>
          <w:sz w:val="22"/>
        </w:rPr>
        <w:t>be</w:t>
      </w:r>
    </w:p>
    <w:p>
      <w:pPr>
        <w:pStyle w:val="ListParagraph"/>
        <w:numPr>
          <w:ilvl w:val="2"/>
          <w:numId w:val="17"/>
        </w:numPr>
        <w:tabs>
          <w:tab w:pos="3342" w:val="left" w:leader="none"/>
        </w:tabs>
        <w:spacing w:line="240" w:lineRule="auto" w:before="20" w:after="0"/>
        <w:ind w:left="3342" w:right="0" w:hanging="361"/>
        <w:jc w:val="left"/>
        <w:rPr>
          <w:sz w:val="22"/>
        </w:rPr>
      </w:pPr>
      <w:r>
        <w:rPr>
          <w:color w:val="006FC0"/>
          <w:sz w:val="22"/>
        </w:rPr>
        <w:t>Taken as input tax credit by the</w:t>
      </w:r>
      <w:r>
        <w:rPr>
          <w:color w:val="006FC0"/>
          <w:spacing w:val="-9"/>
          <w:sz w:val="22"/>
        </w:rPr>
        <w:t> </w:t>
      </w:r>
      <w:r>
        <w:rPr>
          <w:color w:val="006FC0"/>
          <w:sz w:val="22"/>
        </w:rPr>
        <w:t>declarant</w:t>
      </w:r>
    </w:p>
    <w:p>
      <w:pPr>
        <w:pStyle w:val="ListParagraph"/>
        <w:numPr>
          <w:ilvl w:val="2"/>
          <w:numId w:val="17"/>
        </w:numPr>
        <w:tabs>
          <w:tab w:pos="3342" w:val="left" w:leader="none"/>
        </w:tabs>
        <w:spacing w:line="240" w:lineRule="auto" w:before="24" w:after="0"/>
        <w:ind w:left="3342" w:right="0" w:hanging="361"/>
        <w:jc w:val="left"/>
        <w:rPr>
          <w:sz w:val="22"/>
        </w:rPr>
      </w:pPr>
      <w:r>
        <w:rPr>
          <w:color w:val="006FC0"/>
          <w:sz w:val="22"/>
        </w:rPr>
        <w:t>Shall not entitle any person to take input tax credit as</w:t>
      </w:r>
      <w:r>
        <w:rPr>
          <w:color w:val="006FC0"/>
          <w:spacing w:val="-17"/>
          <w:sz w:val="22"/>
        </w:rPr>
        <w:t> </w:t>
      </w:r>
      <w:r>
        <w:rPr>
          <w:color w:val="006FC0"/>
          <w:sz w:val="22"/>
        </w:rPr>
        <w:t>recipient.</w:t>
      </w:r>
    </w:p>
    <w:p>
      <w:pPr>
        <w:pStyle w:val="BodyText"/>
        <w:spacing w:before="7"/>
        <w:rPr>
          <w:sz w:val="25"/>
        </w:rPr>
      </w:pPr>
    </w:p>
    <w:p>
      <w:pPr>
        <w:pStyle w:val="ListParagraph"/>
        <w:numPr>
          <w:ilvl w:val="0"/>
          <w:numId w:val="17"/>
        </w:numPr>
        <w:tabs>
          <w:tab w:pos="1181" w:val="left" w:leader="none"/>
        </w:tabs>
        <w:spacing w:line="261" w:lineRule="auto" w:before="0" w:after="0"/>
        <w:ind w:left="1181" w:right="774" w:hanging="360"/>
        <w:jc w:val="left"/>
        <w:rPr>
          <w:sz w:val="22"/>
        </w:rPr>
      </w:pPr>
      <w:r>
        <w:rPr>
          <w:color w:val="006FC0"/>
          <w:sz w:val="22"/>
        </w:rPr>
        <w:t>In</w:t>
      </w:r>
      <w:r>
        <w:rPr>
          <w:color w:val="006FC0"/>
          <w:spacing w:val="-15"/>
          <w:sz w:val="22"/>
        </w:rPr>
        <w:t> </w:t>
      </w:r>
      <w:r>
        <w:rPr>
          <w:color w:val="006FC0"/>
          <w:sz w:val="22"/>
        </w:rPr>
        <w:t>case</w:t>
      </w:r>
      <w:r>
        <w:rPr>
          <w:color w:val="006FC0"/>
          <w:spacing w:val="-13"/>
          <w:sz w:val="22"/>
        </w:rPr>
        <w:t> </w:t>
      </w:r>
      <w:r>
        <w:rPr>
          <w:color w:val="006FC0"/>
          <w:sz w:val="22"/>
        </w:rPr>
        <w:t>pre-deposit</w:t>
      </w:r>
      <w:r>
        <w:rPr>
          <w:color w:val="006FC0"/>
          <w:spacing w:val="-15"/>
          <w:sz w:val="22"/>
        </w:rPr>
        <w:t> </w:t>
      </w:r>
      <w:r>
        <w:rPr>
          <w:color w:val="006FC0"/>
          <w:sz w:val="22"/>
        </w:rPr>
        <w:t>or</w:t>
      </w:r>
      <w:r>
        <w:rPr>
          <w:color w:val="006FC0"/>
          <w:spacing w:val="-13"/>
          <w:sz w:val="22"/>
        </w:rPr>
        <w:t> </w:t>
      </w:r>
      <w:r>
        <w:rPr>
          <w:color w:val="006FC0"/>
          <w:sz w:val="22"/>
        </w:rPr>
        <w:t>other</w:t>
      </w:r>
      <w:r>
        <w:rPr>
          <w:color w:val="006FC0"/>
          <w:spacing w:val="-12"/>
          <w:sz w:val="22"/>
        </w:rPr>
        <w:t> </w:t>
      </w:r>
      <w:r>
        <w:rPr>
          <w:color w:val="006FC0"/>
          <w:sz w:val="22"/>
        </w:rPr>
        <w:t>deposit</w:t>
      </w:r>
      <w:r>
        <w:rPr>
          <w:color w:val="006FC0"/>
          <w:spacing w:val="-15"/>
          <w:sz w:val="22"/>
        </w:rPr>
        <w:t> </w:t>
      </w:r>
      <w:r>
        <w:rPr>
          <w:color w:val="006FC0"/>
          <w:sz w:val="22"/>
        </w:rPr>
        <w:t>amount</w:t>
      </w:r>
      <w:r>
        <w:rPr>
          <w:color w:val="006FC0"/>
          <w:spacing w:val="-15"/>
          <w:sz w:val="22"/>
        </w:rPr>
        <w:t> </w:t>
      </w:r>
      <w:r>
        <w:rPr>
          <w:color w:val="006FC0"/>
          <w:sz w:val="22"/>
        </w:rPr>
        <w:t>already</w:t>
      </w:r>
      <w:r>
        <w:rPr>
          <w:color w:val="006FC0"/>
          <w:spacing w:val="-12"/>
          <w:sz w:val="22"/>
        </w:rPr>
        <w:t> </w:t>
      </w:r>
      <w:r>
        <w:rPr>
          <w:color w:val="006FC0"/>
          <w:sz w:val="22"/>
        </w:rPr>
        <w:t>paid</w:t>
      </w:r>
      <w:r>
        <w:rPr>
          <w:color w:val="006FC0"/>
          <w:spacing w:val="-14"/>
          <w:sz w:val="22"/>
        </w:rPr>
        <w:t> </w:t>
      </w:r>
      <w:r>
        <w:rPr>
          <w:color w:val="006FC0"/>
          <w:sz w:val="22"/>
        </w:rPr>
        <w:t>exceeds</w:t>
      </w:r>
      <w:r>
        <w:rPr>
          <w:color w:val="006FC0"/>
          <w:spacing w:val="-13"/>
          <w:sz w:val="22"/>
        </w:rPr>
        <w:t> </w:t>
      </w:r>
      <w:r>
        <w:rPr>
          <w:color w:val="006FC0"/>
          <w:sz w:val="22"/>
        </w:rPr>
        <w:t>the</w:t>
      </w:r>
      <w:r>
        <w:rPr>
          <w:color w:val="006FC0"/>
          <w:spacing w:val="-12"/>
          <w:sz w:val="22"/>
        </w:rPr>
        <w:t> </w:t>
      </w:r>
      <w:r>
        <w:rPr>
          <w:color w:val="006FC0"/>
          <w:sz w:val="22"/>
        </w:rPr>
        <w:t>amount</w:t>
      </w:r>
      <w:r>
        <w:rPr>
          <w:color w:val="006FC0"/>
          <w:spacing w:val="-15"/>
          <w:sz w:val="22"/>
        </w:rPr>
        <w:t> </w:t>
      </w:r>
      <w:r>
        <w:rPr>
          <w:color w:val="006FC0"/>
          <w:sz w:val="22"/>
        </w:rPr>
        <w:t>as</w:t>
      </w:r>
      <w:r>
        <w:rPr>
          <w:color w:val="006FC0"/>
          <w:spacing w:val="-13"/>
          <w:sz w:val="22"/>
        </w:rPr>
        <w:t> </w:t>
      </w:r>
      <w:r>
        <w:rPr>
          <w:color w:val="006FC0"/>
          <w:sz w:val="22"/>
        </w:rPr>
        <w:t>indicated in statement of DC, the difference shall not be</w:t>
      </w:r>
      <w:r>
        <w:rPr>
          <w:color w:val="006FC0"/>
          <w:spacing w:val="-21"/>
          <w:sz w:val="22"/>
        </w:rPr>
        <w:t> </w:t>
      </w:r>
      <w:r>
        <w:rPr>
          <w:color w:val="006FC0"/>
          <w:sz w:val="22"/>
        </w:rPr>
        <w:t>refunded.</w:t>
      </w:r>
    </w:p>
    <w:p>
      <w:pPr>
        <w:pStyle w:val="BodyText"/>
        <w:spacing w:before="159"/>
        <w:ind w:left="100"/>
      </w:pPr>
      <w:r>
        <w:rPr>
          <w:color w:val="006FC0"/>
        </w:rPr>
        <w:t>--------------------------------------------------------------------------------------------------------------------------------------</w:t>
      </w:r>
    </w:p>
    <w:p>
      <w:pPr>
        <w:pStyle w:val="BodyText"/>
      </w:pPr>
    </w:p>
    <w:p>
      <w:pPr>
        <w:pStyle w:val="BodyText"/>
        <w:spacing w:before="8"/>
        <w:rPr>
          <w:sz w:val="28"/>
        </w:rPr>
      </w:pPr>
    </w:p>
    <w:p>
      <w:pPr>
        <w:pStyle w:val="Heading1"/>
        <w:spacing w:line="237" w:lineRule="auto"/>
        <w:ind w:left="3380" w:right="972"/>
        <w:jc w:val="left"/>
        <w:rPr>
          <w:rFonts w:ascii="Times New Roman"/>
        </w:rPr>
      </w:pPr>
      <w:r>
        <w:rPr>
          <w:rFonts w:ascii="Times New Roman"/>
        </w:rPr>
        <w:t>Sabka Vishwas (Legacy Dispute Resolution) Scheme Rules, 2019.</w:t>
      </w:r>
    </w:p>
    <w:p>
      <w:pPr>
        <w:pStyle w:val="Heading3"/>
        <w:spacing w:before="284"/>
      </w:pPr>
      <w:r>
        <w:rPr/>
        <w:t>Rule 3. Form of declaration u/s 125.-</w:t>
      </w:r>
    </w:p>
    <w:p>
      <w:pPr>
        <w:pStyle w:val="BodyText"/>
        <w:rPr>
          <w:b/>
        </w:rPr>
      </w:pPr>
    </w:p>
    <w:p>
      <w:pPr>
        <w:pStyle w:val="ListParagraph"/>
        <w:numPr>
          <w:ilvl w:val="0"/>
          <w:numId w:val="18"/>
        </w:numPr>
        <w:tabs>
          <w:tab w:pos="389" w:val="left" w:leader="none"/>
        </w:tabs>
        <w:spacing w:line="240" w:lineRule="auto" w:before="1" w:after="0"/>
        <w:ind w:left="100" w:right="774" w:firstLine="0"/>
        <w:jc w:val="left"/>
        <w:rPr>
          <w:sz w:val="22"/>
        </w:rPr>
      </w:pPr>
      <w:r>
        <w:rPr>
          <w:sz w:val="22"/>
        </w:rPr>
        <w:t>The</w:t>
      </w:r>
      <w:r>
        <w:rPr>
          <w:spacing w:val="-7"/>
          <w:sz w:val="22"/>
        </w:rPr>
        <w:t> </w:t>
      </w:r>
      <w:r>
        <w:rPr>
          <w:sz w:val="22"/>
        </w:rPr>
        <w:t>declaration</w:t>
      </w:r>
      <w:r>
        <w:rPr>
          <w:spacing w:val="-8"/>
          <w:sz w:val="22"/>
        </w:rPr>
        <w:t> </w:t>
      </w:r>
      <w:r>
        <w:rPr>
          <w:sz w:val="22"/>
        </w:rPr>
        <w:t>u/s</w:t>
      </w:r>
      <w:r>
        <w:rPr>
          <w:spacing w:val="-8"/>
          <w:sz w:val="22"/>
        </w:rPr>
        <w:t> </w:t>
      </w:r>
      <w:r>
        <w:rPr>
          <w:sz w:val="22"/>
        </w:rPr>
        <w:t>125</w:t>
      </w:r>
      <w:r>
        <w:rPr>
          <w:spacing w:val="-8"/>
          <w:sz w:val="22"/>
        </w:rPr>
        <w:t> </w:t>
      </w:r>
      <w:r>
        <w:rPr>
          <w:sz w:val="22"/>
        </w:rPr>
        <w:t>shall</w:t>
      </w:r>
      <w:r>
        <w:rPr>
          <w:spacing w:val="-6"/>
          <w:sz w:val="22"/>
        </w:rPr>
        <w:t> </w:t>
      </w:r>
      <w:r>
        <w:rPr>
          <w:sz w:val="22"/>
        </w:rPr>
        <w:t>be</w:t>
      </w:r>
      <w:r>
        <w:rPr>
          <w:spacing w:val="-6"/>
          <w:sz w:val="22"/>
        </w:rPr>
        <w:t> </w:t>
      </w:r>
      <w:r>
        <w:rPr>
          <w:sz w:val="22"/>
        </w:rPr>
        <w:t>made</w:t>
      </w:r>
      <w:r>
        <w:rPr>
          <w:spacing w:val="-7"/>
          <w:sz w:val="22"/>
        </w:rPr>
        <w:t> </w:t>
      </w:r>
      <w:r>
        <w:rPr>
          <w:sz w:val="22"/>
        </w:rPr>
        <w:t>electronically</w:t>
      </w:r>
      <w:r>
        <w:rPr>
          <w:spacing w:val="-11"/>
          <w:sz w:val="22"/>
        </w:rPr>
        <w:t> </w:t>
      </w:r>
      <w:r>
        <w:rPr>
          <w:sz w:val="22"/>
        </w:rPr>
        <w:t>at</w:t>
      </w:r>
      <w:r>
        <w:rPr>
          <w:spacing w:val="-10"/>
          <w:sz w:val="22"/>
        </w:rPr>
        <w:t> </w:t>
      </w:r>
      <w:r>
        <w:rPr>
          <w:sz w:val="22"/>
        </w:rPr>
        <w:t>https://cbic-gst.gov.in</w:t>
      </w:r>
      <w:r>
        <w:rPr>
          <w:spacing w:val="-8"/>
          <w:sz w:val="22"/>
        </w:rPr>
        <w:t> </w:t>
      </w:r>
      <w:r>
        <w:rPr>
          <w:sz w:val="22"/>
        </w:rPr>
        <w:t>in</w:t>
      </w:r>
      <w:r>
        <w:rPr>
          <w:spacing w:val="-8"/>
          <w:sz w:val="22"/>
        </w:rPr>
        <w:t> </w:t>
      </w:r>
      <w:r>
        <w:rPr>
          <w:sz w:val="22"/>
        </w:rPr>
        <w:t>Form</w:t>
      </w:r>
      <w:r>
        <w:rPr>
          <w:spacing w:val="-7"/>
          <w:sz w:val="22"/>
        </w:rPr>
        <w:t> </w:t>
      </w:r>
      <w:r>
        <w:rPr>
          <w:sz w:val="22"/>
        </w:rPr>
        <w:t>SVLDRS-1</w:t>
      </w:r>
      <w:r>
        <w:rPr>
          <w:spacing w:val="-8"/>
          <w:sz w:val="22"/>
        </w:rPr>
        <w:t> </w:t>
      </w:r>
      <w:r>
        <w:rPr>
          <w:sz w:val="22"/>
        </w:rPr>
        <w:t>by the declarant, on or before the 31st</w:t>
      </w:r>
      <w:r>
        <w:rPr>
          <w:spacing w:val="-4"/>
          <w:sz w:val="22"/>
        </w:rPr>
        <w:t> </w:t>
      </w:r>
      <w:r>
        <w:rPr>
          <w:sz w:val="22"/>
        </w:rPr>
        <w:t>December,2019.</w:t>
      </w:r>
    </w:p>
    <w:p>
      <w:pPr>
        <w:pStyle w:val="BodyText"/>
      </w:pPr>
    </w:p>
    <w:p>
      <w:pPr>
        <w:pStyle w:val="ListParagraph"/>
        <w:numPr>
          <w:ilvl w:val="0"/>
          <w:numId w:val="18"/>
        </w:numPr>
        <w:tabs>
          <w:tab w:pos="394" w:val="left" w:leader="none"/>
        </w:tabs>
        <w:spacing w:line="240" w:lineRule="auto" w:before="0" w:after="0"/>
        <w:ind w:left="393" w:right="0" w:hanging="294"/>
        <w:jc w:val="left"/>
        <w:rPr>
          <w:b/>
          <w:sz w:val="22"/>
        </w:rPr>
      </w:pPr>
      <w:r>
        <w:rPr>
          <w:sz w:val="22"/>
        </w:rPr>
        <w:t>A separate declaration shall be filed for </w:t>
      </w:r>
      <w:r>
        <w:rPr>
          <w:b/>
          <w:sz w:val="22"/>
          <w:u w:val="single"/>
        </w:rPr>
        <w:t>each</w:t>
      </w:r>
      <w:r>
        <w:rPr>
          <w:b/>
          <w:spacing w:val="-11"/>
          <w:sz w:val="22"/>
          <w:u w:val="single"/>
        </w:rPr>
        <w:t> </w:t>
      </w:r>
      <w:r>
        <w:rPr>
          <w:b/>
          <w:sz w:val="22"/>
          <w:u w:val="single"/>
        </w:rPr>
        <w:t>case.</w:t>
      </w:r>
    </w:p>
    <w:p>
      <w:pPr>
        <w:pStyle w:val="BodyText"/>
        <w:spacing w:before="6"/>
        <w:rPr>
          <w:b/>
          <w:sz w:val="17"/>
        </w:rPr>
      </w:pPr>
    </w:p>
    <w:p>
      <w:pPr>
        <w:pStyle w:val="ListParagraph"/>
        <w:numPr>
          <w:ilvl w:val="1"/>
          <w:numId w:val="18"/>
        </w:numPr>
        <w:tabs>
          <w:tab w:pos="1540" w:val="left" w:leader="none"/>
          <w:tab w:pos="1541" w:val="left" w:leader="none"/>
        </w:tabs>
        <w:spacing w:line="240" w:lineRule="auto" w:before="56" w:after="0"/>
        <w:ind w:left="1541" w:right="0" w:hanging="720"/>
        <w:jc w:val="left"/>
        <w:rPr>
          <w:sz w:val="22"/>
        </w:rPr>
      </w:pPr>
      <w:r>
        <w:rPr>
          <w:sz w:val="22"/>
        </w:rPr>
        <w:t>For every SCN (under litigation</w:t>
      </w:r>
      <w:r>
        <w:rPr>
          <w:spacing w:val="-11"/>
          <w:sz w:val="22"/>
        </w:rPr>
        <w:t> </w:t>
      </w:r>
      <w:r>
        <w:rPr>
          <w:sz w:val="22"/>
        </w:rPr>
        <w:t>category)</w:t>
      </w:r>
    </w:p>
    <w:p>
      <w:pPr>
        <w:pStyle w:val="BodyText"/>
        <w:spacing w:before="1"/>
      </w:pPr>
    </w:p>
    <w:p>
      <w:pPr>
        <w:pStyle w:val="ListParagraph"/>
        <w:numPr>
          <w:ilvl w:val="1"/>
          <w:numId w:val="18"/>
        </w:numPr>
        <w:tabs>
          <w:tab w:pos="1540" w:val="left" w:leader="none"/>
          <w:tab w:pos="1541" w:val="left" w:leader="none"/>
        </w:tabs>
        <w:spacing w:line="240" w:lineRule="auto" w:before="0" w:after="0"/>
        <w:ind w:left="1541" w:right="0" w:hanging="720"/>
        <w:jc w:val="left"/>
        <w:rPr>
          <w:sz w:val="22"/>
        </w:rPr>
      </w:pPr>
      <w:r>
        <w:rPr>
          <w:sz w:val="22"/>
        </w:rPr>
        <w:t>For every Appeal pending up to 30.06.2019 (under litigation</w:t>
      </w:r>
      <w:r>
        <w:rPr>
          <w:spacing w:val="-22"/>
          <w:sz w:val="22"/>
        </w:rPr>
        <w:t> </w:t>
      </w:r>
      <w:r>
        <w:rPr>
          <w:sz w:val="22"/>
        </w:rPr>
        <w:t>category)</w:t>
      </w:r>
    </w:p>
    <w:p>
      <w:pPr>
        <w:spacing w:after="0" w:line="240" w:lineRule="auto"/>
        <w:jc w:val="left"/>
        <w:rPr>
          <w:sz w:val="22"/>
        </w:rPr>
        <w:sectPr>
          <w:pgSz w:w="11910" w:h="16840"/>
          <w:pgMar w:header="764" w:footer="992" w:top="1620" w:bottom="1180" w:left="1340" w:right="660"/>
        </w:sectPr>
      </w:pPr>
    </w:p>
    <w:p>
      <w:pPr>
        <w:pStyle w:val="BodyText"/>
        <w:rPr>
          <w:sz w:val="20"/>
        </w:rPr>
      </w:pPr>
    </w:p>
    <w:p>
      <w:pPr>
        <w:pStyle w:val="BodyText"/>
        <w:rPr>
          <w:sz w:val="21"/>
        </w:rPr>
      </w:pPr>
    </w:p>
    <w:p>
      <w:pPr>
        <w:pStyle w:val="ListParagraph"/>
        <w:numPr>
          <w:ilvl w:val="1"/>
          <w:numId w:val="18"/>
        </w:numPr>
        <w:tabs>
          <w:tab w:pos="1540" w:val="left" w:leader="none"/>
          <w:tab w:pos="1541" w:val="left" w:leader="none"/>
        </w:tabs>
        <w:spacing w:line="240" w:lineRule="auto" w:before="57" w:after="0"/>
        <w:ind w:left="1541" w:right="0" w:hanging="720"/>
        <w:jc w:val="left"/>
        <w:rPr>
          <w:sz w:val="22"/>
        </w:rPr>
      </w:pPr>
      <w:r>
        <w:rPr>
          <w:sz w:val="22"/>
        </w:rPr>
        <w:t>Appeal not filed within time limit (under arrears</w:t>
      </w:r>
      <w:r>
        <w:rPr>
          <w:spacing w:val="-20"/>
          <w:sz w:val="22"/>
        </w:rPr>
        <w:t> </w:t>
      </w:r>
      <w:r>
        <w:rPr>
          <w:sz w:val="22"/>
        </w:rPr>
        <w:t>category)</w:t>
      </w:r>
    </w:p>
    <w:p>
      <w:pPr>
        <w:pStyle w:val="BodyText"/>
        <w:spacing w:before="1"/>
      </w:pPr>
    </w:p>
    <w:p>
      <w:pPr>
        <w:pStyle w:val="ListParagraph"/>
        <w:numPr>
          <w:ilvl w:val="1"/>
          <w:numId w:val="18"/>
        </w:numPr>
        <w:tabs>
          <w:tab w:pos="1540" w:val="left" w:leader="none"/>
          <w:tab w:pos="1541" w:val="left" w:leader="none"/>
        </w:tabs>
        <w:spacing w:line="240" w:lineRule="auto" w:before="0" w:after="0"/>
        <w:ind w:left="1541" w:right="0" w:hanging="720"/>
        <w:jc w:val="left"/>
        <w:rPr>
          <w:sz w:val="22"/>
        </w:rPr>
      </w:pPr>
      <w:r>
        <w:rPr>
          <w:sz w:val="22"/>
        </w:rPr>
        <w:t>Order in appeal is finally heard (under arrears</w:t>
      </w:r>
      <w:r>
        <w:rPr>
          <w:spacing w:val="-17"/>
          <w:sz w:val="22"/>
        </w:rPr>
        <w:t> </w:t>
      </w:r>
      <w:r>
        <w:rPr>
          <w:sz w:val="22"/>
        </w:rPr>
        <w:t>category)</w:t>
      </w:r>
    </w:p>
    <w:p>
      <w:pPr>
        <w:pStyle w:val="BodyText"/>
      </w:pPr>
    </w:p>
    <w:p>
      <w:pPr>
        <w:pStyle w:val="ListParagraph"/>
        <w:numPr>
          <w:ilvl w:val="1"/>
          <w:numId w:val="18"/>
        </w:numPr>
        <w:tabs>
          <w:tab w:pos="1540" w:val="left" w:leader="none"/>
          <w:tab w:pos="1541" w:val="left" w:leader="none"/>
        </w:tabs>
        <w:spacing w:line="240" w:lineRule="auto" w:before="0" w:after="0"/>
        <w:ind w:left="1541" w:right="0" w:hanging="720"/>
        <w:jc w:val="left"/>
        <w:rPr>
          <w:sz w:val="22"/>
        </w:rPr>
      </w:pPr>
      <w:r>
        <w:rPr>
          <w:sz w:val="22"/>
        </w:rPr>
        <w:t>A Return filed up 30.06.2019 (under arrears</w:t>
      </w:r>
      <w:r>
        <w:rPr>
          <w:spacing w:val="-18"/>
          <w:sz w:val="22"/>
        </w:rPr>
        <w:t> </w:t>
      </w:r>
      <w:r>
        <w:rPr>
          <w:sz w:val="22"/>
        </w:rPr>
        <w:t>category)</w:t>
      </w:r>
    </w:p>
    <w:p>
      <w:pPr>
        <w:pStyle w:val="BodyText"/>
        <w:spacing w:before="8"/>
        <w:rPr>
          <w:sz w:val="21"/>
        </w:rPr>
      </w:pPr>
    </w:p>
    <w:p>
      <w:pPr>
        <w:pStyle w:val="ListParagraph"/>
        <w:numPr>
          <w:ilvl w:val="1"/>
          <w:numId w:val="18"/>
        </w:numPr>
        <w:tabs>
          <w:tab w:pos="1540" w:val="left" w:leader="none"/>
          <w:tab w:pos="1541" w:val="left" w:leader="none"/>
        </w:tabs>
        <w:spacing w:line="240" w:lineRule="auto" w:before="0" w:after="0"/>
        <w:ind w:left="1541" w:right="1350" w:hanging="720"/>
        <w:jc w:val="left"/>
        <w:rPr>
          <w:sz w:val="22"/>
        </w:rPr>
      </w:pPr>
      <w:r>
        <w:rPr>
          <w:sz w:val="22"/>
        </w:rPr>
        <w:t>Enquiry or investigation by DGGI if amount quantified up to 30.06.2019 (under investigation, enquiry or audit</w:t>
      </w:r>
      <w:r>
        <w:rPr>
          <w:spacing w:val="-13"/>
          <w:sz w:val="22"/>
        </w:rPr>
        <w:t> </w:t>
      </w:r>
      <w:r>
        <w:rPr>
          <w:sz w:val="22"/>
        </w:rPr>
        <w:t>category)</w:t>
      </w:r>
    </w:p>
    <w:p>
      <w:pPr>
        <w:pStyle w:val="BodyText"/>
        <w:spacing w:before="1"/>
      </w:pPr>
    </w:p>
    <w:p>
      <w:pPr>
        <w:pStyle w:val="ListParagraph"/>
        <w:numPr>
          <w:ilvl w:val="1"/>
          <w:numId w:val="18"/>
        </w:numPr>
        <w:tabs>
          <w:tab w:pos="1540" w:val="left" w:leader="none"/>
          <w:tab w:pos="1541" w:val="left" w:leader="none"/>
        </w:tabs>
        <w:spacing w:line="240" w:lineRule="auto" w:before="0" w:after="0"/>
        <w:ind w:left="1541" w:right="855" w:hanging="720"/>
        <w:jc w:val="left"/>
        <w:rPr>
          <w:sz w:val="22"/>
        </w:rPr>
      </w:pPr>
      <w:r>
        <w:rPr>
          <w:sz w:val="22"/>
        </w:rPr>
        <w:t>Enquiry</w:t>
      </w:r>
      <w:r>
        <w:rPr>
          <w:spacing w:val="-3"/>
          <w:sz w:val="22"/>
        </w:rPr>
        <w:t> </w:t>
      </w:r>
      <w:r>
        <w:rPr>
          <w:sz w:val="22"/>
        </w:rPr>
        <w:t>or</w:t>
      </w:r>
      <w:r>
        <w:rPr>
          <w:spacing w:val="-3"/>
          <w:sz w:val="22"/>
        </w:rPr>
        <w:t> </w:t>
      </w:r>
      <w:r>
        <w:rPr>
          <w:sz w:val="22"/>
        </w:rPr>
        <w:t>investigation</w:t>
      </w:r>
      <w:r>
        <w:rPr>
          <w:spacing w:val="-4"/>
          <w:sz w:val="22"/>
        </w:rPr>
        <w:t> </w:t>
      </w:r>
      <w:r>
        <w:rPr>
          <w:sz w:val="22"/>
        </w:rPr>
        <w:t>by</w:t>
      </w:r>
      <w:r>
        <w:rPr>
          <w:spacing w:val="-3"/>
          <w:sz w:val="22"/>
        </w:rPr>
        <w:t> </w:t>
      </w:r>
      <w:r>
        <w:rPr>
          <w:sz w:val="22"/>
        </w:rPr>
        <w:t>Commissioner</w:t>
      </w:r>
      <w:r>
        <w:rPr>
          <w:spacing w:val="-4"/>
          <w:sz w:val="22"/>
        </w:rPr>
        <w:t> </w:t>
      </w:r>
      <w:r>
        <w:rPr>
          <w:sz w:val="22"/>
        </w:rPr>
        <w:t>ate</w:t>
      </w:r>
      <w:r>
        <w:rPr>
          <w:spacing w:val="-3"/>
          <w:sz w:val="22"/>
        </w:rPr>
        <w:t> </w:t>
      </w:r>
      <w:r>
        <w:rPr>
          <w:sz w:val="22"/>
        </w:rPr>
        <w:t>if</w:t>
      </w:r>
      <w:r>
        <w:rPr>
          <w:spacing w:val="-3"/>
          <w:sz w:val="22"/>
        </w:rPr>
        <w:t> </w:t>
      </w:r>
      <w:r>
        <w:rPr>
          <w:sz w:val="22"/>
        </w:rPr>
        <w:t>amount</w:t>
      </w:r>
      <w:r>
        <w:rPr>
          <w:spacing w:val="-5"/>
          <w:sz w:val="22"/>
        </w:rPr>
        <w:t> </w:t>
      </w:r>
      <w:r>
        <w:rPr>
          <w:sz w:val="22"/>
        </w:rPr>
        <w:t>quantified</w:t>
      </w:r>
      <w:r>
        <w:rPr>
          <w:spacing w:val="-4"/>
          <w:sz w:val="22"/>
        </w:rPr>
        <w:t> </w:t>
      </w:r>
      <w:r>
        <w:rPr>
          <w:sz w:val="22"/>
        </w:rPr>
        <w:t>up</w:t>
      </w:r>
      <w:r>
        <w:rPr>
          <w:spacing w:val="-4"/>
          <w:sz w:val="22"/>
        </w:rPr>
        <w:t> </w:t>
      </w:r>
      <w:r>
        <w:rPr>
          <w:sz w:val="22"/>
        </w:rPr>
        <w:t>to</w:t>
      </w:r>
      <w:r>
        <w:rPr>
          <w:spacing w:val="-4"/>
          <w:sz w:val="22"/>
        </w:rPr>
        <w:t> </w:t>
      </w:r>
      <w:r>
        <w:rPr>
          <w:sz w:val="22"/>
        </w:rPr>
        <w:t>30.06.2019 (under investigation, enquiry or audit</w:t>
      </w:r>
      <w:r>
        <w:rPr>
          <w:spacing w:val="-15"/>
          <w:sz w:val="22"/>
        </w:rPr>
        <w:t> </w:t>
      </w:r>
      <w:r>
        <w:rPr>
          <w:sz w:val="22"/>
        </w:rPr>
        <w:t>category)</w:t>
      </w:r>
    </w:p>
    <w:p>
      <w:pPr>
        <w:pStyle w:val="BodyText"/>
        <w:spacing w:before="1"/>
      </w:pPr>
    </w:p>
    <w:p>
      <w:pPr>
        <w:pStyle w:val="ListParagraph"/>
        <w:numPr>
          <w:ilvl w:val="1"/>
          <w:numId w:val="18"/>
        </w:numPr>
        <w:tabs>
          <w:tab w:pos="1540" w:val="left" w:leader="none"/>
          <w:tab w:pos="1541" w:val="left" w:leader="none"/>
        </w:tabs>
        <w:spacing w:line="240" w:lineRule="auto" w:before="0" w:after="0"/>
        <w:ind w:left="1541" w:right="1031" w:hanging="720"/>
        <w:jc w:val="left"/>
        <w:rPr>
          <w:sz w:val="22"/>
        </w:rPr>
      </w:pPr>
      <w:r>
        <w:rPr>
          <w:sz w:val="22"/>
        </w:rPr>
        <w:t>Audit if amount quantified up to 30.06.2019 (under investigation, enquiry or audit category)</w:t>
      </w:r>
    </w:p>
    <w:p>
      <w:pPr>
        <w:pStyle w:val="BodyText"/>
        <w:spacing w:before="1"/>
      </w:pPr>
    </w:p>
    <w:p>
      <w:pPr>
        <w:pStyle w:val="ListParagraph"/>
        <w:numPr>
          <w:ilvl w:val="1"/>
          <w:numId w:val="18"/>
        </w:numPr>
        <w:tabs>
          <w:tab w:pos="1540" w:val="left" w:leader="none"/>
          <w:tab w:pos="1541" w:val="left" w:leader="none"/>
        </w:tabs>
        <w:spacing w:line="240" w:lineRule="auto" w:before="0" w:after="0"/>
        <w:ind w:left="1541" w:right="0" w:hanging="720"/>
        <w:jc w:val="left"/>
        <w:rPr>
          <w:sz w:val="22"/>
        </w:rPr>
      </w:pPr>
      <w:r>
        <w:rPr>
          <w:sz w:val="22"/>
        </w:rPr>
        <w:t>Each Voluntary Disclosure (under Voluntary Disclosure</w:t>
      </w:r>
      <w:r>
        <w:rPr>
          <w:spacing w:val="-7"/>
          <w:sz w:val="22"/>
        </w:rPr>
        <w:t> </w:t>
      </w:r>
      <w:r>
        <w:rPr>
          <w:sz w:val="22"/>
        </w:rPr>
        <w:t>category)</w:t>
      </w:r>
    </w:p>
    <w:p>
      <w:pPr>
        <w:pStyle w:val="BodyText"/>
      </w:pPr>
    </w:p>
    <w:p>
      <w:pPr>
        <w:pStyle w:val="BodyText"/>
        <w:spacing w:before="9"/>
        <w:rPr>
          <w:sz w:val="21"/>
        </w:rPr>
      </w:pPr>
    </w:p>
    <w:p>
      <w:pPr>
        <w:spacing w:before="0"/>
        <w:ind w:left="1291" w:right="0" w:firstLine="0"/>
        <w:jc w:val="left"/>
        <w:rPr>
          <w:b/>
          <w:sz w:val="30"/>
        </w:rPr>
      </w:pPr>
      <w:r>
        <w:rPr>
          <w:b/>
          <w:sz w:val="30"/>
        </w:rPr>
        <w:t>Para wise discussion of point no 8 of Form SVLDRS - 1</w:t>
      </w:r>
    </w:p>
    <w:p>
      <w:pPr>
        <w:pStyle w:val="BodyText"/>
        <w:rPr>
          <w:b/>
          <w:sz w:val="38"/>
        </w:rPr>
      </w:pPr>
    </w:p>
    <w:p>
      <w:pPr>
        <w:pStyle w:val="ListParagraph"/>
        <w:numPr>
          <w:ilvl w:val="0"/>
          <w:numId w:val="19"/>
        </w:numPr>
        <w:tabs>
          <w:tab w:pos="1181" w:val="left" w:leader="none"/>
        </w:tabs>
        <w:spacing w:line="240" w:lineRule="auto" w:before="0" w:after="0"/>
        <w:ind w:left="1181" w:right="775" w:hanging="360"/>
        <w:jc w:val="left"/>
        <w:rPr>
          <w:sz w:val="22"/>
        </w:rPr>
      </w:pPr>
      <w:r>
        <w:rPr>
          <w:sz w:val="22"/>
        </w:rPr>
        <w:t>Have</w:t>
      </w:r>
      <w:r>
        <w:rPr>
          <w:spacing w:val="-4"/>
          <w:sz w:val="22"/>
        </w:rPr>
        <w:t> </w:t>
      </w:r>
      <w:r>
        <w:rPr>
          <w:sz w:val="22"/>
        </w:rPr>
        <w:t>you</w:t>
      </w:r>
      <w:r>
        <w:rPr>
          <w:spacing w:val="-4"/>
          <w:sz w:val="22"/>
        </w:rPr>
        <w:t> </w:t>
      </w:r>
      <w:r>
        <w:rPr>
          <w:sz w:val="22"/>
        </w:rPr>
        <w:t>been</w:t>
      </w:r>
      <w:r>
        <w:rPr>
          <w:spacing w:val="-3"/>
          <w:sz w:val="22"/>
        </w:rPr>
        <w:t> </w:t>
      </w:r>
      <w:r>
        <w:rPr>
          <w:b/>
          <w:sz w:val="22"/>
          <w:u w:val="single"/>
        </w:rPr>
        <w:t>convicted</w:t>
      </w:r>
      <w:r>
        <w:rPr>
          <w:b/>
          <w:spacing w:val="-8"/>
          <w:sz w:val="22"/>
          <w:u w:val="single"/>
        </w:rPr>
        <w:t> </w:t>
      </w:r>
      <w:r>
        <w:rPr>
          <w:b/>
          <w:sz w:val="22"/>
          <w:u w:val="single"/>
        </w:rPr>
        <w:t>for</w:t>
      </w:r>
      <w:r>
        <w:rPr>
          <w:b/>
          <w:spacing w:val="-10"/>
          <w:sz w:val="22"/>
          <w:u w:val="single"/>
        </w:rPr>
        <w:t> </w:t>
      </w:r>
      <w:r>
        <w:rPr>
          <w:b/>
          <w:sz w:val="22"/>
          <w:u w:val="single"/>
        </w:rPr>
        <w:t>an offence</w:t>
      </w:r>
      <w:r>
        <w:rPr>
          <w:b/>
          <w:spacing w:val="-4"/>
          <w:sz w:val="22"/>
        </w:rPr>
        <w:t> </w:t>
      </w:r>
      <w:r>
        <w:rPr>
          <w:sz w:val="22"/>
        </w:rPr>
        <w:t>for</w:t>
      </w:r>
      <w:r>
        <w:rPr>
          <w:spacing w:val="-3"/>
          <w:sz w:val="22"/>
        </w:rPr>
        <w:t> </w:t>
      </w:r>
      <w:r>
        <w:rPr>
          <w:sz w:val="22"/>
        </w:rPr>
        <w:t>the</w:t>
      </w:r>
      <w:r>
        <w:rPr>
          <w:spacing w:val="-3"/>
          <w:sz w:val="22"/>
        </w:rPr>
        <w:t> </w:t>
      </w:r>
      <w:r>
        <w:rPr>
          <w:sz w:val="22"/>
        </w:rPr>
        <w:t>matter</w:t>
      </w:r>
      <w:r>
        <w:rPr>
          <w:spacing w:val="-4"/>
          <w:sz w:val="22"/>
        </w:rPr>
        <w:t> </w:t>
      </w:r>
      <w:r>
        <w:rPr>
          <w:sz w:val="22"/>
        </w:rPr>
        <w:t>for</w:t>
      </w:r>
      <w:r>
        <w:rPr>
          <w:spacing w:val="-3"/>
          <w:sz w:val="22"/>
        </w:rPr>
        <w:t> </w:t>
      </w:r>
      <w:r>
        <w:rPr>
          <w:sz w:val="22"/>
        </w:rPr>
        <w:t>which</w:t>
      </w:r>
      <w:r>
        <w:rPr>
          <w:spacing w:val="-4"/>
          <w:sz w:val="22"/>
        </w:rPr>
        <w:t> </w:t>
      </w:r>
      <w:r>
        <w:rPr>
          <w:sz w:val="22"/>
        </w:rPr>
        <w:t>this</w:t>
      </w:r>
      <w:r>
        <w:rPr>
          <w:spacing w:val="-3"/>
          <w:sz w:val="22"/>
        </w:rPr>
        <w:t> </w:t>
      </w:r>
      <w:r>
        <w:rPr>
          <w:sz w:val="22"/>
        </w:rPr>
        <w:t>declaration</w:t>
      </w:r>
      <w:r>
        <w:rPr>
          <w:spacing w:val="-5"/>
          <w:sz w:val="22"/>
        </w:rPr>
        <w:t> </w:t>
      </w:r>
      <w:r>
        <w:rPr>
          <w:sz w:val="22"/>
        </w:rPr>
        <w:t>is</w:t>
      </w:r>
      <w:r>
        <w:rPr>
          <w:spacing w:val="-8"/>
          <w:sz w:val="22"/>
        </w:rPr>
        <w:t> </w:t>
      </w:r>
      <w:r>
        <w:rPr>
          <w:sz w:val="22"/>
        </w:rPr>
        <w:t>being made?</w:t>
      </w:r>
    </w:p>
    <w:p>
      <w:pPr>
        <w:pStyle w:val="ListParagraph"/>
        <w:numPr>
          <w:ilvl w:val="1"/>
          <w:numId w:val="19"/>
        </w:numPr>
        <w:tabs>
          <w:tab w:pos="1540" w:val="left" w:leader="none"/>
          <w:tab w:pos="1541" w:val="left" w:leader="none"/>
        </w:tabs>
        <w:spacing w:line="240" w:lineRule="auto" w:before="1" w:after="0"/>
        <w:ind w:left="1541" w:right="0" w:hanging="360"/>
        <w:jc w:val="left"/>
        <w:rPr>
          <w:sz w:val="22"/>
        </w:rPr>
      </w:pPr>
      <w:r>
        <w:rPr>
          <w:sz w:val="22"/>
        </w:rPr>
        <w:t>If yes, you </w:t>
      </w:r>
      <w:r>
        <w:rPr>
          <w:b/>
          <w:sz w:val="22"/>
        </w:rPr>
        <w:t>cannot further proceed </w:t>
      </w:r>
      <w:r>
        <w:rPr>
          <w:sz w:val="22"/>
        </w:rPr>
        <w:t>under this scheme. – Sec.</w:t>
      </w:r>
      <w:r>
        <w:rPr>
          <w:spacing w:val="-21"/>
          <w:sz w:val="22"/>
        </w:rPr>
        <w:t> </w:t>
      </w:r>
      <w:r>
        <w:rPr>
          <w:sz w:val="22"/>
        </w:rPr>
        <w:t>125(1)(b)</w:t>
      </w:r>
    </w:p>
    <w:p>
      <w:pPr>
        <w:pStyle w:val="BodyText"/>
      </w:pPr>
    </w:p>
    <w:p>
      <w:pPr>
        <w:pStyle w:val="BodyText"/>
        <w:spacing w:before="1"/>
      </w:pPr>
    </w:p>
    <w:p>
      <w:pPr>
        <w:pStyle w:val="ListParagraph"/>
        <w:numPr>
          <w:ilvl w:val="0"/>
          <w:numId w:val="19"/>
        </w:numPr>
        <w:tabs>
          <w:tab w:pos="1181" w:val="left" w:leader="none"/>
        </w:tabs>
        <w:spacing w:line="240" w:lineRule="auto" w:before="0" w:after="0"/>
        <w:ind w:left="1181" w:right="1026" w:hanging="360"/>
        <w:jc w:val="left"/>
        <w:rPr>
          <w:sz w:val="22"/>
        </w:rPr>
      </w:pPr>
      <w:r>
        <w:rPr>
          <w:sz w:val="22"/>
        </w:rPr>
        <w:t>Have</w:t>
      </w:r>
      <w:r>
        <w:rPr>
          <w:spacing w:val="-3"/>
          <w:sz w:val="22"/>
        </w:rPr>
        <w:t> </w:t>
      </w:r>
      <w:r>
        <w:rPr>
          <w:sz w:val="22"/>
        </w:rPr>
        <w:t>you</w:t>
      </w:r>
      <w:r>
        <w:rPr>
          <w:spacing w:val="-3"/>
          <w:sz w:val="22"/>
        </w:rPr>
        <w:t> </w:t>
      </w:r>
      <w:r>
        <w:rPr>
          <w:sz w:val="22"/>
        </w:rPr>
        <w:t>filed</w:t>
      </w:r>
      <w:r>
        <w:rPr>
          <w:spacing w:val="-3"/>
          <w:sz w:val="22"/>
        </w:rPr>
        <w:t> </w:t>
      </w:r>
      <w:r>
        <w:rPr>
          <w:sz w:val="22"/>
        </w:rPr>
        <w:t>an</w:t>
      </w:r>
      <w:r>
        <w:rPr>
          <w:spacing w:val="-3"/>
          <w:sz w:val="22"/>
        </w:rPr>
        <w:t> </w:t>
      </w:r>
      <w:r>
        <w:rPr>
          <w:sz w:val="22"/>
        </w:rPr>
        <w:t>application</w:t>
      </w:r>
      <w:r>
        <w:rPr>
          <w:spacing w:val="-4"/>
          <w:sz w:val="22"/>
        </w:rPr>
        <w:t> </w:t>
      </w:r>
      <w:r>
        <w:rPr>
          <w:sz w:val="22"/>
        </w:rPr>
        <w:t>in</w:t>
      </w:r>
      <w:r>
        <w:rPr>
          <w:spacing w:val="-3"/>
          <w:sz w:val="22"/>
        </w:rPr>
        <w:t> </w:t>
      </w:r>
      <w:r>
        <w:rPr>
          <w:sz w:val="22"/>
        </w:rPr>
        <w:t>the</w:t>
      </w:r>
      <w:r>
        <w:rPr>
          <w:spacing w:val="-3"/>
          <w:sz w:val="22"/>
        </w:rPr>
        <w:t> </w:t>
      </w:r>
      <w:r>
        <w:rPr>
          <w:sz w:val="22"/>
        </w:rPr>
        <w:t>Settlement</w:t>
      </w:r>
      <w:r>
        <w:rPr>
          <w:spacing w:val="-4"/>
          <w:sz w:val="22"/>
        </w:rPr>
        <w:t> </w:t>
      </w:r>
      <w:r>
        <w:rPr>
          <w:sz w:val="22"/>
        </w:rPr>
        <w:t>Commission</w:t>
      </w:r>
      <w:r>
        <w:rPr>
          <w:spacing w:val="-3"/>
          <w:sz w:val="22"/>
        </w:rPr>
        <w:t> </w:t>
      </w:r>
      <w:r>
        <w:rPr>
          <w:sz w:val="22"/>
        </w:rPr>
        <w:t>for</w:t>
      </w:r>
      <w:r>
        <w:rPr>
          <w:spacing w:val="-3"/>
          <w:sz w:val="22"/>
        </w:rPr>
        <w:t> </w:t>
      </w:r>
      <w:r>
        <w:rPr>
          <w:sz w:val="22"/>
        </w:rPr>
        <w:t>the</w:t>
      </w:r>
      <w:r>
        <w:rPr>
          <w:spacing w:val="-2"/>
          <w:sz w:val="22"/>
        </w:rPr>
        <w:t> </w:t>
      </w:r>
      <w:r>
        <w:rPr>
          <w:sz w:val="22"/>
        </w:rPr>
        <w:t>case</w:t>
      </w:r>
      <w:r>
        <w:rPr>
          <w:spacing w:val="-3"/>
          <w:sz w:val="22"/>
        </w:rPr>
        <w:t> </w:t>
      </w:r>
      <w:r>
        <w:rPr>
          <w:sz w:val="22"/>
        </w:rPr>
        <w:t>for</w:t>
      </w:r>
      <w:r>
        <w:rPr>
          <w:spacing w:val="-2"/>
          <w:sz w:val="22"/>
        </w:rPr>
        <w:t> </w:t>
      </w:r>
      <w:r>
        <w:rPr>
          <w:sz w:val="22"/>
        </w:rPr>
        <w:t>which</w:t>
      </w:r>
      <w:r>
        <w:rPr>
          <w:spacing w:val="-4"/>
          <w:sz w:val="22"/>
        </w:rPr>
        <w:t> </w:t>
      </w:r>
      <w:r>
        <w:rPr>
          <w:sz w:val="22"/>
        </w:rPr>
        <w:t>this declaration is being</w:t>
      </w:r>
      <w:r>
        <w:rPr>
          <w:spacing w:val="-6"/>
          <w:sz w:val="22"/>
        </w:rPr>
        <w:t> </w:t>
      </w:r>
      <w:r>
        <w:rPr>
          <w:sz w:val="22"/>
        </w:rPr>
        <w:t>made?</w:t>
      </w:r>
    </w:p>
    <w:p>
      <w:pPr>
        <w:pStyle w:val="ListParagraph"/>
        <w:numPr>
          <w:ilvl w:val="1"/>
          <w:numId w:val="19"/>
        </w:numPr>
        <w:tabs>
          <w:tab w:pos="1540" w:val="left" w:leader="none"/>
          <w:tab w:pos="1541" w:val="left" w:leader="none"/>
        </w:tabs>
        <w:spacing w:line="240" w:lineRule="auto" w:before="0" w:after="0"/>
        <w:ind w:left="1541" w:right="0" w:hanging="360"/>
        <w:jc w:val="left"/>
        <w:rPr>
          <w:sz w:val="22"/>
        </w:rPr>
      </w:pPr>
      <w:r>
        <w:rPr>
          <w:sz w:val="22"/>
        </w:rPr>
        <w:t>If yes, you </w:t>
      </w:r>
      <w:r>
        <w:rPr>
          <w:b/>
          <w:sz w:val="22"/>
        </w:rPr>
        <w:t>cannot further proceed </w:t>
      </w:r>
      <w:r>
        <w:rPr>
          <w:sz w:val="22"/>
        </w:rPr>
        <w:t>under this scheme. – Sec.</w:t>
      </w:r>
      <w:r>
        <w:rPr>
          <w:spacing w:val="-21"/>
          <w:sz w:val="22"/>
        </w:rPr>
        <w:t> </w:t>
      </w:r>
      <w:r>
        <w:rPr>
          <w:sz w:val="22"/>
        </w:rPr>
        <w:t>125(1)(g)</w:t>
      </w:r>
    </w:p>
    <w:p>
      <w:pPr>
        <w:pStyle w:val="BodyText"/>
      </w:pPr>
    </w:p>
    <w:p>
      <w:pPr>
        <w:pStyle w:val="BodyText"/>
        <w:spacing w:before="8"/>
        <w:rPr>
          <w:sz w:val="21"/>
        </w:rPr>
      </w:pPr>
    </w:p>
    <w:p>
      <w:pPr>
        <w:pStyle w:val="ListParagraph"/>
        <w:numPr>
          <w:ilvl w:val="0"/>
          <w:numId w:val="19"/>
        </w:numPr>
        <w:tabs>
          <w:tab w:pos="1228" w:val="left" w:leader="none"/>
          <w:tab w:pos="1229" w:val="left" w:leader="none"/>
        </w:tabs>
        <w:spacing w:line="240" w:lineRule="auto" w:before="1" w:after="0"/>
        <w:ind w:left="1181" w:right="803" w:hanging="360"/>
        <w:jc w:val="left"/>
        <w:rPr>
          <w:sz w:val="22"/>
        </w:rPr>
      </w:pPr>
      <w:r>
        <w:rPr/>
        <w:tab/>
      </w:r>
      <w:r>
        <w:rPr>
          <w:sz w:val="22"/>
        </w:rPr>
        <w:t>Are you seeking to make this declaration with respect to excisable goods set forth in the Fourth Schedule to the Central Excise Act, 1944 (specified petroleum and tobacco products)?</w:t>
      </w:r>
    </w:p>
    <w:p>
      <w:pPr>
        <w:pStyle w:val="ListParagraph"/>
        <w:numPr>
          <w:ilvl w:val="1"/>
          <w:numId w:val="19"/>
        </w:numPr>
        <w:tabs>
          <w:tab w:pos="1540" w:val="left" w:leader="none"/>
          <w:tab w:pos="1541" w:val="left" w:leader="none"/>
        </w:tabs>
        <w:spacing w:line="240" w:lineRule="auto" w:before="1" w:after="0"/>
        <w:ind w:left="1541" w:right="0" w:hanging="360"/>
        <w:jc w:val="left"/>
        <w:rPr>
          <w:sz w:val="22"/>
        </w:rPr>
      </w:pPr>
      <w:r>
        <w:rPr>
          <w:sz w:val="22"/>
        </w:rPr>
        <w:t>If yes, you </w:t>
      </w:r>
      <w:r>
        <w:rPr>
          <w:b/>
          <w:sz w:val="22"/>
        </w:rPr>
        <w:t>cannot further proceed </w:t>
      </w:r>
      <w:r>
        <w:rPr>
          <w:sz w:val="22"/>
        </w:rPr>
        <w:t>under this scheme. – Sec.</w:t>
      </w:r>
      <w:r>
        <w:rPr>
          <w:spacing w:val="-19"/>
          <w:sz w:val="22"/>
        </w:rPr>
        <w:t> </w:t>
      </w:r>
      <w:r>
        <w:rPr>
          <w:sz w:val="22"/>
        </w:rPr>
        <w:t>125(1)(h)</w:t>
      </w:r>
    </w:p>
    <w:p>
      <w:pPr>
        <w:pStyle w:val="BodyText"/>
      </w:pPr>
    </w:p>
    <w:p>
      <w:pPr>
        <w:pStyle w:val="BodyText"/>
      </w:pPr>
    </w:p>
    <w:p>
      <w:pPr>
        <w:pStyle w:val="ListParagraph"/>
        <w:numPr>
          <w:ilvl w:val="0"/>
          <w:numId w:val="19"/>
        </w:numPr>
        <w:tabs>
          <w:tab w:pos="1228" w:val="left" w:leader="none"/>
          <w:tab w:pos="1229" w:val="left" w:leader="none"/>
        </w:tabs>
        <w:spacing w:line="240" w:lineRule="auto" w:before="1" w:after="0"/>
        <w:ind w:left="1181" w:right="1562" w:hanging="360"/>
        <w:jc w:val="left"/>
        <w:rPr>
          <w:sz w:val="22"/>
        </w:rPr>
      </w:pPr>
      <w:r>
        <w:rPr/>
        <w:tab/>
      </w:r>
      <w:r>
        <w:rPr>
          <w:sz w:val="22"/>
        </w:rPr>
        <w:t>Are you seeking to make this declaration with respect to a show cause notice of refund/erroneous</w:t>
      </w:r>
      <w:r>
        <w:rPr>
          <w:spacing w:val="-3"/>
          <w:sz w:val="22"/>
        </w:rPr>
        <w:t> </w:t>
      </w:r>
      <w:r>
        <w:rPr>
          <w:sz w:val="22"/>
        </w:rPr>
        <w:t>refund?</w:t>
      </w:r>
    </w:p>
    <w:p>
      <w:pPr>
        <w:pStyle w:val="ListParagraph"/>
        <w:numPr>
          <w:ilvl w:val="1"/>
          <w:numId w:val="19"/>
        </w:numPr>
        <w:tabs>
          <w:tab w:pos="1540" w:val="left" w:leader="none"/>
          <w:tab w:pos="1541" w:val="left" w:leader="none"/>
        </w:tabs>
        <w:spacing w:line="240" w:lineRule="auto" w:before="1" w:after="0"/>
        <w:ind w:left="1541" w:right="0" w:hanging="360"/>
        <w:jc w:val="left"/>
        <w:rPr>
          <w:sz w:val="22"/>
        </w:rPr>
      </w:pPr>
      <w:r>
        <w:rPr>
          <w:sz w:val="22"/>
        </w:rPr>
        <w:t>If yes, you </w:t>
      </w:r>
      <w:r>
        <w:rPr>
          <w:b/>
          <w:sz w:val="22"/>
        </w:rPr>
        <w:t>cannot further proceed </w:t>
      </w:r>
      <w:r>
        <w:rPr>
          <w:sz w:val="22"/>
        </w:rPr>
        <w:t>under this scheme. – Sec.</w:t>
      </w:r>
      <w:r>
        <w:rPr>
          <w:spacing w:val="-21"/>
          <w:sz w:val="22"/>
        </w:rPr>
        <w:t> </w:t>
      </w:r>
      <w:r>
        <w:rPr>
          <w:sz w:val="22"/>
        </w:rPr>
        <w:t>125(1)(d)</w:t>
      </w:r>
    </w:p>
    <w:p>
      <w:pPr>
        <w:pStyle w:val="BodyText"/>
      </w:pPr>
    </w:p>
    <w:p>
      <w:pPr>
        <w:pStyle w:val="BodyText"/>
      </w:pPr>
    </w:p>
    <w:p>
      <w:pPr>
        <w:pStyle w:val="ListParagraph"/>
        <w:numPr>
          <w:ilvl w:val="0"/>
          <w:numId w:val="19"/>
        </w:numPr>
        <w:tabs>
          <w:tab w:pos="1181" w:val="left" w:leader="none"/>
        </w:tabs>
        <w:spacing w:line="240" w:lineRule="auto" w:before="0" w:after="0"/>
        <w:ind w:left="1181" w:right="775" w:hanging="360"/>
        <w:jc w:val="left"/>
        <w:rPr>
          <w:sz w:val="22"/>
        </w:rPr>
      </w:pPr>
      <w:r>
        <w:rPr>
          <w:sz w:val="22"/>
        </w:rPr>
        <w:t>Whether final hearing with regard to a matter in adjudication or appeal has taken place on or before 30.06.2019 for the matter for which this declaration is being</w:t>
      </w:r>
      <w:r>
        <w:rPr>
          <w:spacing w:val="-13"/>
          <w:sz w:val="22"/>
        </w:rPr>
        <w:t> </w:t>
      </w:r>
      <w:r>
        <w:rPr>
          <w:sz w:val="22"/>
        </w:rPr>
        <w:t>made?</w:t>
      </w:r>
    </w:p>
    <w:p>
      <w:pPr>
        <w:pStyle w:val="ListParagraph"/>
        <w:numPr>
          <w:ilvl w:val="1"/>
          <w:numId w:val="19"/>
        </w:numPr>
        <w:tabs>
          <w:tab w:pos="1540" w:val="left" w:leader="none"/>
          <w:tab w:pos="1541" w:val="left" w:leader="none"/>
        </w:tabs>
        <w:spacing w:line="240" w:lineRule="auto" w:before="1" w:after="0"/>
        <w:ind w:left="1541" w:right="0" w:hanging="360"/>
        <w:jc w:val="left"/>
        <w:rPr>
          <w:sz w:val="22"/>
        </w:rPr>
      </w:pPr>
      <w:r>
        <w:rPr>
          <w:sz w:val="22"/>
        </w:rPr>
        <w:t>If yes, you </w:t>
      </w:r>
      <w:r>
        <w:rPr>
          <w:b/>
          <w:sz w:val="22"/>
        </w:rPr>
        <w:t>cannot further proceed </w:t>
      </w:r>
      <w:r>
        <w:rPr>
          <w:sz w:val="22"/>
        </w:rPr>
        <w:t>under Litigation Category. –</w:t>
      </w:r>
      <w:r>
        <w:rPr>
          <w:spacing w:val="-36"/>
          <w:sz w:val="22"/>
        </w:rPr>
        <w:t> </w:t>
      </w:r>
      <w:r>
        <w:rPr>
          <w:sz w:val="22"/>
        </w:rPr>
        <w:t>Sec. 125(1)(a)</w:t>
      </w:r>
    </w:p>
    <w:p>
      <w:pPr>
        <w:pStyle w:val="BodyText"/>
        <w:spacing w:before="1"/>
      </w:pPr>
    </w:p>
    <w:p>
      <w:pPr>
        <w:pStyle w:val="ListParagraph"/>
        <w:numPr>
          <w:ilvl w:val="1"/>
          <w:numId w:val="19"/>
        </w:numPr>
        <w:tabs>
          <w:tab w:pos="1540" w:val="left" w:leader="none"/>
          <w:tab w:pos="1541" w:val="left" w:leader="none"/>
        </w:tabs>
        <w:spacing w:line="240" w:lineRule="auto" w:before="0" w:after="0"/>
        <w:ind w:left="1541" w:right="0" w:hanging="360"/>
        <w:jc w:val="left"/>
        <w:rPr>
          <w:sz w:val="22"/>
        </w:rPr>
      </w:pPr>
      <w:r>
        <w:rPr>
          <w:sz w:val="22"/>
        </w:rPr>
        <w:t>However, declaration can be made under “Arrears”</w:t>
      </w:r>
      <w:r>
        <w:rPr>
          <w:spacing w:val="-21"/>
          <w:sz w:val="22"/>
        </w:rPr>
        <w:t> </w:t>
      </w:r>
      <w:r>
        <w:rPr>
          <w:sz w:val="22"/>
        </w:rPr>
        <w:t>Category</w:t>
      </w:r>
    </w:p>
    <w:p>
      <w:pPr>
        <w:spacing w:after="0" w:line="240" w:lineRule="auto"/>
        <w:jc w:val="left"/>
        <w:rPr>
          <w:sz w:val="22"/>
        </w:rPr>
        <w:sectPr>
          <w:pgSz w:w="11910" w:h="16840"/>
          <w:pgMar w:header="764" w:footer="992" w:top="1620" w:bottom="1180" w:left="1340" w:right="660"/>
        </w:sectPr>
      </w:pPr>
    </w:p>
    <w:p>
      <w:pPr>
        <w:pStyle w:val="BodyText"/>
        <w:rPr>
          <w:sz w:val="19"/>
        </w:rPr>
      </w:pPr>
    </w:p>
    <w:p>
      <w:pPr>
        <w:pStyle w:val="ListParagraph"/>
        <w:numPr>
          <w:ilvl w:val="0"/>
          <w:numId w:val="19"/>
        </w:numPr>
        <w:tabs>
          <w:tab w:pos="1181" w:val="left" w:leader="none"/>
        </w:tabs>
        <w:spacing w:line="240" w:lineRule="auto" w:before="57" w:after="0"/>
        <w:ind w:left="1181" w:right="851" w:hanging="360"/>
        <w:jc w:val="both"/>
        <w:rPr>
          <w:sz w:val="22"/>
        </w:rPr>
      </w:pPr>
      <w:r>
        <w:rPr>
          <w:sz w:val="22"/>
        </w:rPr>
        <w:t>Have you been subjected to any audit under the Central Excise Act,1944 or Chapter V of the Finance Act, 1994 in respect of the goods/services or both for which this declaration is being</w:t>
      </w:r>
      <w:r>
        <w:rPr>
          <w:spacing w:val="-3"/>
          <w:sz w:val="22"/>
        </w:rPr>
        <w:t> </w:t>
      </w:r>
      <w:r>
        <w:rPr>
          <w:sz w:val="22"/>
        </w:rPr>
        <w:t>made?</w:t>
      </w:r>
    </w:p>
    <w:p>
      <w:pPr>
        <w:pStyle w:val="ListParagraph"/>
        <w:numPr>
          <w:ilvl w:val="1"/>
          <w:numId w:val="19"/>
        </w:numPr>
        <w:tabs>
          <w:tab w:pos="1541" w:val="left" w:leader="none"/>
        </w:tabs>
        <w:spacing w:line="240" w:lineRule="auto" w:before="1" w:after="0"/>
        <w:ind w:left="1541" w:right="0" w:hanging="360"/>
        <w:jc w:val="both"/>
        <w:rPr>
          <w:sz w:val="22"/>
        </w:rPr>
      </w:pPr>
      <w:r>
        <w:rPr>
          <w:sz w:val="22"/>
        </w:rPr>
        <w:t>If yes, you </w:t>
      </w:r>
      <w:r>
        <w:rPr>
          <w:b/>
          <w:sz w:val="22"/>
        </w:rPr>
        <w:t>cannot further proceed </w:t>
      </w:r>
      <w:r>
        <w:rPr>
          <w:sz w:val="22"/>
        </w:rPr>
        <w:t>under this scheme. – Sec.</w:t>
      </w:r>
      <w:r>
        <w:rPr>
          <w:spacing w:val="-21"/>
          <w:sz w:val="22"/>
        </w:rPr>
        <w:t> </w:t>
      </w:r>
      <w:r>
        <w:rPr>
          <w:sz w:val="22"/>
        </w:rPr>
        <w:t>125(1)(f)</w:t>
      </w:r>
    </w:p>
    <w:p>
      <w:pPr>
        <w:pStyle w:val="BodyText"/>
      </w:pPr>
    </w:p>
    <w:p>
      <w:pPr>
        <w:pStyle w:val="BodyText"/>
        <w:spacing w:before="8"/>
        <w:rPr>
          <w:sz w:val="21"/>
        </w:rPr>
      </w:pPr>
    </w:p>
    <w:p>
      <w:pPr>
        <w:pStyle w:val="ListParagraph"/>
        <w:numPr>
          <w:ilvl w:val="0"/>
          <w:numId w:val="19"/>
        </w:numPr>
        <w:tabs>
          <w:tab w:pos="1181" w:val="left" w:leader="none"/>
        </w:tabs>
        <w:spacing w:line="240" w:lineRule="auto" w:before="0" w:after="0"/>
        <w:ind w:left="1181" w:right="874" w:hanging="360"/>
        <w:jc w:val="both"/>
        <w:rPr>
          <w:sz w:val="22"/>
        </w:rPr>
      </w:pPr>
      <w:r>
        <w:rPr>
          <w:sz w:val="22"/>
        </w:rPr>
        <w:t>Have you received any written communication from a Central Excise Officer with regard to any audit to be</w:t>
      </w:r>
      <w:r>
        <w:rPr>
          <w:spacing w:val="-6"/>
          <w:sz w:val="22"/>
        </w:rPr>
        <w:t> </w:t>
      </w:r>
      <w:r>
        <w:rPr>
          <w:sz w:val="22"/>
        </w:rPr>
        <w:t>conducted?</w:t>
      </w:r>
    </w:p>
    <w:p>
      <w:pPr>
        <w:pStyle w:val="ListParagraph"/>
        <w:numPr>
          <w:ilvl w:val="1"/>
          <w:numId w:val="19"/>
        </w:numPr>
        <w:tabs>
          <w:tab w:pos="1541" w:val="left" w:leader="none"/>
        </w:tabs>
        <w:spacing w:line="240" w:lineRule="auto" w:before="1" w:after="0"/>
        <w:ind w:left="1541" w:right="0" w:hanging="360"/>
        <w:jc w:val="both"/>
        <w:rPr>
          <w:sz w:val="22"/>
        </w:rPr>
      </w:pPr>
      <w:r>
        <w:rPr>
          <w:sz w:val="22"/>
        </w:rPr>
        <w:t>If yes, you </w:t>
      </w:r>
      <w:r>
        <w:rPr>
          <w:b/>
          <w:sz w:val="22"/>
        </w:rPr>
        <w:t>cannot further proceed </w:t>
      </w:r>
      <w:r>
        <w:rPr>
          <w:sz w:val="22"/>
        </w:rPr>
        <w:t>under this scheme. – Sec.</w:t>
      </w:r>
      <w:r>
        <w:rPr>
          <w:spacing w:val="-20"/>
          <w:sz w:val="22"/>
        </w:rPr>
        <w:t> </w:t>
      </w:r>
      <w:r>
        <w:rPr>
          <w:sz w:val="22"/>
        </w:rPr>
        <w:t>125(1)(f)</w:t>
      </w:r>
    </w:p>
    <w:p>
      <w:pPr>
        <w:pStyle w:val="BodyText"/>
      </w:pPr>
    </w:p>
    <w:p>
      <w:pPr>
        <w:pStyle w:val="ListParagraph"/>
        <w:numPr>
          <w:ilvl w:val="0"/>
          <w:numId w:val="19"/>
        </w:numPr>
        <w:tabs>
          <w:tab w:pos="1181" w:val="left" w:leader="none"/>
        </w:tabs>
        <w:spacing w:line="240" w:lineRule="auto" w:before="0" w:after="0"/>
        <w:ind w:left="1181" w:right="774" w:hanging="360"/>
        <w:jc w:val="both"/>
        <w:rPr>
          <w:sz w:val="22"/>
        </w:rPr>
      </w:pPr>
      <w:r>
        <w:rPr>
          <w:sz w:val="22"/>
        </w:rPr>
        <w:t>Have</w:t>
      </w:r>
      <w:r>
        <w:rPr>
          <w:spacing w:val="-17"/>
          <w:sz w:val="22"/>
        </w:rPr>
        <w:t> </w:t>
      </w:r>
      <w:r>
        <w:rPr>
          <w:sz w:val="22"/>
        </w:rPr>
        <w:t>you</w:t>
      </w:r>
      <w:r>
        <w:rPr>
          <w:spacing w:val="-18"/>
          <w:sz w:val="22"/>
        </w:rPr>
        <w:t> </w:t>
      </w:r>
      <w:r>
        <w:rPr>
          <w:sz w:val="22"/>
        </w:rPr>
        <w:t>been</w:t>
      </w:r>
      <w:r>
        <w:rPr>
          <w:spacing w:val="-18"/>
          <w:sz w:val="22"/>
        </w:rPr>
        <w:t> </w:t>
      </w:r>
      <w:r>
        <w:rPr>
          <w:sz w:val="22"/>
        </w:rPr>
        <w:t>subjected</w:t>
      </w:r>
      <w:r>
        <w:rPr>
          <w:spacing w:val="-13"/>
          <w:sz w:val="22"/>
        </w:rPr>
        <w:t> </w:t>
      </w:r>
      <w:r>
        <w:rPr>
          <w:sz w:val="22"/>
        </w:rPr>
        <w:t>to</w:t>
      </w:r>
      <w:r>
        <w:rPr>
          <w:spacing w:val="-14"/>
          <w:sz w:val="22"/>
        </w:rPr>
        <w:t> </w:t>
      </w:r>
      <w:r>
        <w:rPr>
          <w:sz w:val="22"/>
        </w:rPr>
        <w:t>any</w:t>
      </w:r>
      <w:r>
        <w:rPr>
          <w:spacing w:val="-12"/>
          <w:sz w:val="22"/>
        </w:rPr>
        <w:t> </w:t>
      </w:r>
      <w:r>
        <w:rPr>
          <w:sz w:val="22"/>
        </w:rPr>
        <w:t>enquiry</w:t>
      </w:r>
      <w:r>
        <w:rPr>
          <w:spacing w:val="-17"/>
          <w:sz w:val="22"/>
        </w:rPr>
        <w:t> </w:t>
      </w:r>
      <w:r>
        <w:rPr>
          <w:sz w:val="22"/>
        </w:rPr>
        <w:t>or</w:t>
      </w:r>
      <w:r>
        <w:rPr>
          <w:spacing w:val="-13"/>
          <w:sz w:val="22"/>
        </w:rPr>
        <w:t> </w:t>
      </w:r>
      <w:r>
        <w:rPr>
          <w:sz w:val="22"/>
        </w:rPr>
        <w:t>investigation</w:t>
      </w:r>
      <w:r>
        <w:rPr>
          <w:spacing w:val="-17"/>
          <w:sz w:val="22"/>
        </w:rPr>
        <w:t> </w:t>
      </w:r>
      <w:r>
        <w:rPr>
          <w:sz w:val="22"/>
        </w:rPr>
        <w:t>under</w:t>
      </w:r>
      <w:r>
        <w:rPr>
          <w:spacing w:val="-13"/>
          <w:sz w:val="22"/>
        </w:rPr>
        <w:t> </w:t>
      </w:r>
      <w:r>
        <w:rPr>
          <w:sz w:val="22"/>
        </w:rPr>
        <w:t>the</w:t>
      </w:r>
      <w:r>
        <w:rPr>
          <w:spacing w:val="-12"/>
          <w:sz w:val="22"/>
        </w:rPr>
        <w:t> </w:t>
      </w:r>
      <w:r>
        <w:rPr>
          <w:sz w:val="22"/>
        </w:rPr>
        <w:t>Central</w:t>
      </w:r>
      <w:r>
        <w:rPr>
          <w:spacing w:val="-16"/>
          <w:sz w:val="22"/>
        </w:rPr>
        <w:t> </w:t>
      </w:r>
      <w:r>
        <w:rPr>
          <w:sz w:val="22"/>
        </w:rPr>
        <w:t>Excise</w:t>
      </w:r>
      <w:r>
        <w:rPr>
          <w:spacing w:val="-11"/>
          <w:sz w:val="22"/>
        </w:rPr>
        <w:t> </w:t>
      </w:r>
      <w:r>
        <w:rPr>
          <w:sz w:val="22"/>
        </w:rPr>
        <w:t>Act,1944 or Chapter V of the Finance Act, 1994 in respect of the goods/services or both for which this declaration is being made by way of any of the following: (a) search of premises (b) issuance of summons (c) requiring the production of accounts, documents or other evidence (d) recording of</w:t>
      </w:r>
      <w:r>
        <w:rPr>
          <w:spacing w:val="-7"/>
          <w:sz w:val="22"/>
        </w:rPr>
        <w:t> </w:t>
      </w:r>
      <w:r>
        <w:rPr>
          <w:sz w:val="22"/>
        </w:rPr>
        <w:t>statements.</w:t>
      </w:r>
    </w:p>
    <w:p>
      <w:pPr>
        <w:pStyle w:val="BodyText"/>
        <w:spacing w:before="2"/>
      </w:pPr>
    </w:p>
    <w:p>
      <w:pPr>
        <w:pStyle w:val="ListParagraph"/>
        <w:numPr>
          <w:ilvl w:val="1"/>
          <w:numId w:val="19"/>
        </w:numPr>
        <w:tabs>
          <w:tab w:pos="1541" w:val="left" w:leader="none"/>
        </w:tabs>
        <w:spacing w:line="240" w:lineRule="auto" w:before="0" w:after="0"/>
        <w:ind w:left="1541" w:right="0" w:hanging="360"/>
        <w:jc w:val="both"/>
        <w:rPr>
          <w:sz w:val="22"/>
        </w:rPr>
      </w:pPr>
      <w:r>
        <w:rPr>
          <w:sz w:val="22"/>
        </w:rPr>
        <w:t>If yes, you </w:t>
      </w:r>
      <w:r>
        <w:rPr>
          <w:b/>
          <w:sz w:val="22"/>
        </w:rPr>
        <w:t>cannot further proceed </w:t>
      </w:r>
      <w:r>
        <w:rPr>
          <w:sz w:val="22"/>
        </w:rPr>
        <w:t>under this scheme. – Sec.</w:t>
      </w:r>
      <w:r>
        <w:rPr>
          <w:spacing w:val="-20"/>
          <w:sz w:val="22"/>
        </w:rPr>
        <w:t> </w:t>
      </w:r>
      <w:r>
        <w:rPr>
          <w:sz w:val="22"/>
        </w:rPr>
        <w:t>125(1)(f)</w:t>
      </w:r>
    </w:p>
    <w:p>
      <w:pPr>
        <w:pStyle w:val="BodyText"/>
        <w:spacing w:before="1"/>
      </w:pPr>
    </w:p>
    <w:p>
      <w:pPr>
        <w:pStyle w:val="ListParagraph"/>
        <w:numPr>
          <w:ilvl w:val="0"/>
          <w:numId w:val="19"/>
        </w:numPr>
        <w:tabs>
          <w:tab w:pos="1181" w:val="left" w:leader="none"/>
        </w:tabs>
        <w:spacing w:line="240" w:lineRule="auto" w:before="0" w:after="0"/>
        <w:ind w:left="1181" w:right="785" w:hanging="360"/>
        <w:jc w:val="both"/>
        <w:rPr>
          <w:sz w:val="22"/>
        </w:rPr>
      </w:pPr>
      <w:r>
        <w:rPr>
          <w:sz w:val="22"/>
        </w:rPr>
        <w:t>Have you filed any return for the period for which declaration is being made showing the amount of duty to be payable but not having paid</w:t>
      </w:r>
      <w:r>
        <w:rPr>
          <w:spacing w:val="-23"/>
          <w:sz w:val="22"/>
        </w:rPr>
        <w:t> </w:t>
      </w:r>
      <w:r>
        <w:rPr>
          <w:sz w:val="22"/>
        </w:rPr>
        <w:t>it?</w:t>
      </w:r>
    </w:p>
    <w:p>
      <w:pPr>
        <w:pStyle w:val="BodyText"/>
        <w:spacing w:before="1"/>
      </w:pPr>
    </w:p>
    <w:p>
      <w:pPr>
        <w:pStyle w:val="ListParagraph"/>
        <w:numPr>
          <w:ilvl w:val="1"/>
          <w:numId w:val="19"/>
        </w:numPr>
        <w:tabs>
          <w:tab w:pos="1541" w:val="left" w:leader="none"/>
        </w:tabs>
        <w:spacing w:line="240" w:lineRule="auto" w:before="0" w:after="0"/>
        <w:ind w:left="1541" w:right="0" w:hanging="360"/>
        <w:jc w:val="both"/>
        <w:rPr>
          <w:sz w:val="22"/>
        </w:rPr>
      </w:pPr>
      <w:r>
        <w:rPr>
          <w:sz w:val="22"/>
        </w:rPr>
        <w:t>If yes, you </w:t>
      </w:r>
      <w:r>
        <w:rPr>
          <w:b/>
          <w:sz w:val="22"/>
        </w:rPr>
        <w:t>cannot further proceed </w:t>
      </w:r>
      <w:r>
        <w:rPr>
          <w:sz w:val="22"/>
        </w:rPr>
        <w:t>under this scheme. – Sec.</w:t>
      </w:r>
      <w:r>
        <w:rPr>
          <w:spacing w:val="-20"/>
          <w:sz w:val="22"/>
        </w:rPr>
        <w:t> </w:t>
      </w:r>
      <w:r>
        <w:rPr>
          <w:sz w:val="22"/>
        </w:rPr>
        <w:t>125(1)(f)</w:t>
      </w:r>
    </w:p>
    <w:p>
      <w:pPr>
        <w:pStyle w:val="BodyText"/>
      </w:pPr>
    </w:p>
    <w:p>
      <w:pPr>
        <w:pStyle w:val="ListParagraph"/>
        <w:numPr>
          <w:ilvl w:val="0"/>
          <w:numId w:val="19"/>
        </w:numPr>
        <w:tabs>
          <w:tab w:pos="1181" w:val="left" w:leader="none"/>
        </w:tabs>
        <w:spacing w:line="240" w:lineRule="auto" w:before="1" w:after="0"/>
        <w:ind w:left="1181" w:right="1017" w:hanging="360"/>
        <w:jc w:val="left"/>
        <w:rPr>
          <w:sz w:val="22"/>
        </w:rPr>
      </w:pPr>
      <w:r>
        <w:rPr>
          <w:sz w:val="22"/>
        </w:rPr>
        <w:t>Have the tax dues with regard to the matter under enquiry, investigation or audit NOT been quantified on or before</w:t>
      </w:r>
      <w:r>
        <w:rPr>
          <w:spacing w:val="-13"/>
          <w:sz w:val="22"/>
        </w:rPr>
        <w:t> </w:t>
      </w:r>
      <w:r>
        <w:rPr>
          <w:sz w:val="22"/>
        </w:rPr>
        <w:t>30.06.2019?</w:t>
      </w:r>
    </w:p>
    <w:p>
      <w:pPr>
        <w:pStyle w:val="BodyText"/>
        <w:spacing w:before="8"/>
        <w:rPr>
          <w:sz w:val="21"/>
        </w:rPr>
      </w:pPr>
    </w:p>
    <w:p>
      <w:pPr>
        <w:pStyle w:val="ListParagraph"/>
        <w:numPr>
          <w:ilvl w:val="1"/>
          <w:numId w:val="19"/>
        </w:numPr>
        <w:tabs>
          <w:tab w:pos="478" w:val="left" w:leader="none"/>
          <w:tab w:pos="1541" w:val="left" w:leader="none"/>
        </w:tabs>
        <w:spacing w:line="240" w:lineRule="auto" w:before="0" w:after="0"/>
        <w:ind w:left="1541" w:right="0" w:hanging="1423"/>
        <w:jc w:val="left"/>
        <w:rPr>
          <w:sz w:val="22"/>
        </w:rPr>
      </w:pPr>
      <w:r>
        <w:rPr>
          <w:sz w:val="22"/>
        </w:rPr>
        <w:t>If yes, you </w:t>
      </w:r>
      <w:r>
        <w:rPr>
          <w:b/>
          <w:sz w:val="22"/>
        </w:rPr>
        <w:t>cannot further proceed </w:t>
      </w:r>
      <w:r>
        <w:rPr>
          <w:sz w:val="22"/>
        </w:rPr>
        <w:t>under </w:t>
      </w:r>
      <w:r>
        <w:rPr>
          <w:i/>
          <w:sz w:val="22"/>
        </w:rPr>
        <w:t>investigation, enquiry or audit</w:t>
      </w:r>
      <w:r>
        <w:rPr>
          <w:i/>
          <w:spacing w:val="-23"/>
          <w:sz w:val="22"/>
        </w:rPr>
        <w:t> </w:t>
      </w:r>
      <w:r>
        <w:rPr>
          <w:sz w:val="22"/>
        </w:rPr>
        <w:t>Category.</w:t>
      </w:r>
    </w:p>
    <w:p>
      <w:pPr>
        <w:pStyle w:val="BodyText"/>
      </w:pPr>
    </w:p>
    <w:p>
      <w:pPr>
        <w:pStyle w:val="ListParagraph"/>
        <w:numPr>
          <w:ilvl w:val="1"/>
          <w:numId w:val="19"/>
        </w:numPr>
        <w:tabs>
          <w:tab w:pos="1540" w:val="left" w:leader="none"/>
          <w:tab w:pos="1541" w:val="left" w:leader="none"/>
        </w:tabs>
        <w:spacing w:line="240" w:lineRule="auto" w:before="1" w:after="0"/>
        <w:ind w:left="1541" w:right="0" w:hanging="360"/>
        <w:jc w:val="left"/>
        <w:rPr>
          <w:sz w:val="22"/>
        </w:rPr>
      </w:pPr>
      <w:r>
        <w:rPr>
          <w:sz w:val="22"/>
        </w:rPr>
        <w:t>However, declaration can be made under “Voluntary Disclosure”</w:t>
      </w:r>
      <w:r>
        <w:rPr>
          <w:spacing w:val="-24"/>
          <w:sz w:val="22"/>
        </w:rPr>
        <w:t> </w:t>
      </w:r>
      <w:r>
        <w:rPr>
          <w:sz w:val="22"/>
        </w:rPr>
        <w:t>Category.</w:t>
      </w:r>
    </w:p>
    <w:p>
      <w:pPr>
        <w:pStyle w:val="BodyText"/>
      </w:pPr>
    </w:p>
    <w:p>
      <w:pPr>
        <w:pStyle w:val="BodyText"/>
      </w:pPr>
    </w:p>
    <w:p>
      <w:pPr>
        <w:spacing w:before="180"/>
        <w:ind w:left="118" w:right="786" w:firstLine="0"/>
        <w:jc w:val="center"/>
        <w:rPr>
          <w:b/>
          <w:sz w:val="42"/>
        </w:rPr>
      </w:pPr>
      <w:r>
        <w:rPr>
          <w:b/>
          <w:sz w:val="42"/>
        </w:rPr>
        <w:t>Other points: -</w:t>
      </w:r>
    </w:p>
    <w:p>
      <w:pPr>
        <w:pStyle w:val="ListParagraph"/>
        <w:numPr>
          <w:ilvl w:val="0"/>
          <w:numId w:val="20"/>
        </w:numPr>
        <w:tabs>
          <w:tab w:pos="821" w:val="left" w:leader="none"/>
        </w:tabs>
        <w:spacing w:line="240" w:lineRule="auto" w:before="273" w:after="0"/>
        <w:ind w:left="821" w:right="0" w:hanging="361"/>
        <w:jc w:val="left"/>
        <w:rPr>
          <w:sz w:val="22"/>
        </w:rPr>
      </w:pPr>
      <w:r>
        <w:rPr>
          <w:sz w:val="22"/>
        </w:rPr>
        <w:t>This scheme has two</w:t>
      </w:r>
      <w:r>
        <w:rPr>
          <w:spacing w:val="-10"/>
          <w:sz w:val="22"/>
        </w:rPr>
        <w:t> </w:t>
      </w:r>
      <w:r>
        <w:rPr>
          <w:sz w:val="22"/>
        </w:rPr>
        <w:t>components</w:t>
      </w:r>
    </w:p>
    <w:p>
      <w:pPr>
        <w:pStyle w:val="ListParagraph"/>
        <w:numPr>
          <w:ilvl w:val="1"/>
          <w:numId w:val="20"/>
        </w:numPr>
        <w:tabs>
          <w:tab w:pos="1902" w:val="left" w:leader="none"/>
        </w:tabs>
        <w:spacing w:line="240" w:lineRule="auto" w:before="0" w:after="0"/>
        <w:ind w:left="1901" w:right="778" w:hanging="361"/>
        <w:jc w:val="left"/>
        <w:rPr>
          <w:sz w:val="22"/>
        </w:rPr>
      </w:pPr>
      <w:r>
        <w:rPr>
          <w:sz w:val="22"/>
        </w:rPr>
        <w:t>Dispute resolution – To liquidate the cases which are locked up in litigation at various</w:t>
      </w:r>
      <w:r>
        <w:rPr>
          <w:spacing w:val="-2"/>
          <w:sz w:val="22"/>
        </w:rPr>
        <w:t> </w:t>
      </w:r>
      <w:r>
        <w:rPr>
          <w:sz w:val="22"/>
        </w:rPr>
        <w:t>stages.</w:t>
      </w:r>
    </w:p>
    <w:p>
      <w:pPr>
        <w:pStyle w:val="ListParagraph"/>
        <w:numPr>
          <w:ilvl w:val="1"/>
          <w:numId w:val="20"/>
        </w:numPr>
        <w:tabs>
          <w:tab w:pos="1902" w:val="left" w:leader="none"/>
        </w:tabs>
        <w:spacing w:line="240" w:lineRule="auto" w:before="1" w:after="0"/>
        <w:ind w:left="1901" w:right="771" w:hanging="361"/>
        <w:jc w:val="left"/>
        <w:rPr>
          <w:sz w:val="22"/>
        </w:rPr>
      </w:pPr>
      <w:r>
        <w:rPr>
          <w:sz w:val="22"/>
        </w:rPr>
        <w:t>Amnesty – To give opportunity to the persons who have failed to discharge their tax liability</w:t>
      </w:r>
      <w:r>
        <w:rPr>
          <w:spacing w:val="-5"/>
          <w:sz w:val="22"/>
        </w:rPr>
        <w:t> </w:t>
      </w:r>
      <w:r>
        <w:rPr>
          <w:sz w:val="22"/>
        </w:rPr>
        <w:t>correctly.</w:t>
      </w:r>
    </w:p>
    <w:p>
      <w:pPr>
        <w:pStyle w:val="BodyText"/>
        <w:spacing w:before="8"/>
        <w:rPr>
          <w:sz w:val="21"/>
        </w:rPr>
      </w:pPr>
    </w:p>
    <w:p>
      <w:pPr>
        <w:pStyle w:val="ListParagraph"/>
        <w:numPr>
          <w:ilvl w:val="0"/>
          <w:numId w:val="20"/>
        </w:numPr>
        <w:tabs>
          <w:tab w:pos="821" w:val="left" w:leader="none"/>
        </w:tabs>
        <w:spacing w:line="240" w:lineRule="auto" w:before="0" w:after="0"/>
        <w:ind w:left="821" w:right="0" w:hanging="361"/>
        <w:jc w:val="left"/>
        <w:rPr>
          <w:sz w:val="22"/>
        </w:rPr>
      </w:pPr>
      <w:r>
        <w:rPr>
          <w:sz w:val="22"/>
        </w:rPr>
        <w:t>There will be full waiver of interest and penalty under all four categories of this</w:t>
      </w:r>
      <w:r>
        <w:rPr>
          <w:spacing w:val="-23"/>
          <w:sz w:val="22"/>
        </w:rPr>
        <w:t> </w:t>
      </w:r>
      <w:r>
        <w:rPr>
          <w:sz w:val="22"/>
        </w:rPr>
        <w:t>scheme.</w:t>
      </w:r>
    </w:p>
    <w:p>
      <w:pPr>
        <w:pStyle w:val="BodyText"/>
        <w:spacing w:before="1"/>
      </w:pPr>
    </w:p>
    <w:p>
      <w:pPr>
        <w:pStyle w:val="ListParagraph"/>
        <w:numPr>
          <w:ilvl w:val="0"/>
          <w:numId w:val="20"/>
        </w:numPr>
        <w:tabs>
          <w:tab w:pos="821" w:val="left" w:leader="none"/>
        </w:tabs>
        <w:spacing w:line="240" w:lineRule="auto" w:before="0" w:after="0"/>
        <w:ind w:left="821" w:right="787" w:hanging="361"/>
        <w:jc w:val="both"/>
        <w:rPr>
          <w:sz w:val="22"/>
        </w:rPr>
      </w:pPr>
      <w:r>
        <w:rPr>
          <w:sz w:val="22"/>
        </w:rPr>
        <w:t>The case where SCN is relating to the refund or erroneous refund as well as for other outstanding dispute. In this situation, he can file the declaration for outstanding disputed demand.</w:t>
      </w:r>
    </w:p>
    <w:p>
      <w:pPr>
        <w:pStyle w:val="BodyText"/>
        <w:spacing w:before="3"/>
        <w:rPr>
          <w:sz w:val="24"/>
        </w:rPr>
      </w:pPr>
    </w:p>
    <w:p>
      <w:pPr>
        <w:pStyle w:val="ListParagraph"/>
        <w:numPr>
          <w:ilvl w:val="0"/>
          <w:numId w:val="20"/>
        </w:numPr>
        <w:tabs>
          <w:tab w:pos="821" w:val="left" w:leader="none"/>
        </w:tabs>
        <w:spacing w:line="237" w:lineRule="auto" w:before="0" w:after="0"/>
        <w:ind w:left="821" w:right="775" w:hanging="361"/>
        <w:jc w:val="both"/>
        <w:rPr>
          <w:sz w:val="22"/>
        </w:rPr>
      </w:pPr>
      <w:r>
        <w:rPr>
          <w:sz w:val="22"/>
        </w:rPr>
        <w:t>The cases where, tax liability has been discharged by utilising CENVAT credit and matter is under dispute, in such cases tax already paid through CENVAT credit shall </w:t>
      </w:r>
      <w:r>
        <w:rPr>
          <w:spacing w:val="-3"/>
          <w:sz w:val="22"/>
        </w:rPr>
        <w:t>be </w:t>
      </w:r>
      <w:r>
        <w:rPr>
          <w:sz w:val="22"/>
        </w:rPr>
        <w:t>adjusted accordingly.</w:t>
      </w:r>
    </w:p>
    <w:p>
      <w:pPr>
        <w:spacing w:after="0" w:line="237" w:lineRule="auto"/>
        <w:jc w:val="both"/>
        <w:rPr>
          <w:sz w:val="22"/>
        </w:rPr>
        <w:sectPr>
          <w:pgSz w:w="11910" w:h="16840"/>
          <w:pgMar w:header="764" w:footer="992" w:top="1620" w:bottom="1180" w:left="1340" w:right="660"/>
        </w:sectPr>
      </w:pPr>
    </w:p>
    <w:p>
      <w:pPr>
        <w:pStyle w:val="BodyText"/>
        <w:rPr>
          <w:sz w:val="20"/>
        </w:rPr>
      </w:pPr>
    </w:p>
    <w:p>
      <w:pPr>
        <w:pStyle w:val="BodyText"/>
        <w:spacing w:before="7"/>
      </w:pPr>
    </w:p>
    <w:p>
      <w:pPr>
        <w:pStyle w:val="ListParagraph"/>
        <w:numPr>
          <w:ilvl w:val="0"/>
          <w:numId w:val="20"/>
        </w:numPr>
        <w:tabs>
          <w:tab w:pos="821" w:val="left" w:leader="none"/>
        </w:tabs>
        <w:spacing w:line="240" w:lineRule="auto" w:before="57" w:after="0"/>
        <w:ind w:left="821" w:right="781" w:hanging="361"/>
        <w:jc w:val="both"/>
        <w:rPr>
          <w:sz w:val="22"/>
        </w:rPr>
      </w:pPr>
      <w:r>
        <w:rPr>
          <w:sz w:val="22"/>
        </w:rPr>
        <w:t>If declarant doesn’t pay the amount indicated in statement issued by the designated committee within 30 days, such declaration will be treated as</w:t>
      </w:r>
      <w:r>
        <w:rPr>
          <w:spacing w:val="-20"/>
          <w:sz w:val="22"/>
        </w:rPr>
        <w:t> </w:t>
      </w:r>
      <w:r>
        <w:rPr>
          <w:b/>
          <w:sz w:val="22"/>
        </w:rPr>
        <w:t>lapsed</w:t>
      </w:r>
      <w:r>
        <w:rPr>
          <w:sz w:val="22"/>
        </w:rPr>
        <w:t>.</w:t>
      </w:r>
    </w:p>
    <w:p>
      <w:pPr>
        <w:pStyle w:val="BodyText"/>
        <w:spacing w:before="8"/>
        <w:rPr>
          <w:sz w:val="23"/>
        </w:rPr>
      </w:pPr>
    </w:p>
    <w:p>
      <w:pPr>
        <w:pStyle w:val="ListParagraph"/>
        <w:numPr>
          <w:ilvl w:val="0"/>
          <w:numId w:val="20"/>
        </w:numPr>
        <w:tabs>
          <w:tab w:pos="821" w:val="left" w:leader="none"/>
        </w:tabs>
        <w:spacing w:line="240" w:lineRule="auto" w:before="0" w:after="0"/>
        <w:ind w:left="821" w:right="778" w:hanging="361"/>
        <w:jc w:val="both"/>
        <w:rPr>
          <w:sz w:val="22"/>
        </w:rPr>
      </w:pPr>
      <w:r>
        <w:rPr>
          <w:sz w:val="22"/>
        </w:rPr>
        <w:t>In case “Final Audit Report “(FAR) has been issued in the case of audit, assessee has two options</w:t>
      </w:r>
    </w:p>
    <w:p>
      <w:pPr>
        <w:pStyle w:val="BodyText"/>
        <w:rPr>
          <w:sz w:val="24"/>
        </w:rPr>
      </w:pPr>
    </w:p>
    <w:p>
      <w:pPr>
        <w:pStyle w:val="ListParagraph"/>
        <w:numPr>
          <w:ilvl w:val="1"/>
          <w:numId w:val="20"/>
        </w:numPr>
        <w:tabs>
          <w:tab w:pos="2262" w:val="left" w:leader="none"/>
        </w:tabs>
        <w:spacing w:line="240" w:lineRule="auto" w:before="0" w:after="0"/>
        <w:ind w:left="2261" w:right="0" w:hanging="361"/>
        <w:jc w:val="left"/>
        <w:rPr>
          <w:sz w:val="22"/>
        </w:rPr>
      </w:pPr>
      <w:r>
        <w:rPr>
          <w:sz w:val="22"/>
        </w:rPr>
        <w:t>Assessee pays the duty as indicated in such FAR</w:t>
      </w:r>
      <w:r>
        <w:rPr>
          <w:spacing w:val="-20"/>
          <w:sz w:val="22"/>
        </w:rPr>
        <w:t> </w:t>
      </w:r>
      <w:r>
        <w:rPr>
          <w:sz w:val="22"/>
        </w:rPr>
        <w:t>or</w:t>
      </w:r>
    </w:p>
    <w:p>
      <w:pPr>
        <w:pStyle w:val="ListParagraph"/>
        <w:numPr>
          <w:ilvl w:val="1"/>
          <w:numId w:val="20"/>
        </w:numPr>
        <w:tabs>
          <w:tab w:pos="2262" w:val="left" w:leader="none"/>
        </w:tabs>
        <w:spacing w:line="240" w:lineRule="auto" w:before="1" w:after="0"/>
        <w:ind w:left="2261" w:right="0" w:hanging="361"/>
        <w:jc w:val="left"/>
        <w:rPr>
          <w:sz w:val="22"/>
        </w:rPr>
      </w:pPr>
      <w:r>
        <w:rPr>
          <w:sz w:val="22"/>
        </w:rPr>
        <w:t>Doesn’t pay such</w:t>
      </w:r>
      <w:r>
        <w:rPr>
          <w:spacing w:val="-10"/>
          <w:sz w:val="22"/>
        </w:rPr>
        <w:t> </w:t>
      </w:r>
      <w:r>
        <w:rPr>
          <w:sz w:val="22"/>
        </w:rPr>
        <w:t>duty.</w:t>
      </w:r>
    </w:p>
    <w:p>
      <w:pPr>
        <w:pStyle w:val="BodyText"/>
      </w:pPr>
    </w:p>
    <w:p>
      <w:pPr>
        <w:pStyle w:val="BodyText"/>
        <w:spacing w:before="1"/>
        <w:ind w:left="1541" w:right="811"/>
      </w:pPr>
      <w:r>
        <w:rPr/>
        <w:t>In the situation (a) audit deemed to be completed after receiving the payment proof In the situation (b) audit shall be completed after issuance of SCN.</w:t>
      </w:r>
    </w:p>
    <w:p>
      <w:pPr>
        <w:pStyle w:val="BodyText"/>
        <w:spacing w:before="8"/>
        <w:rPr>
          <w:sz w:val="21"/>
        </w:rPr>
      </w:pPr>
    </w:p>
    <w:p>
      <w:pPr>
        <w:pStyle w:val="BodyText"/>
        <w:ind w:left="1541" w:right="765"/>
      </w:pPr>
      <w:r>
        <w:rPr/>
        <w:t>Further, duty payable indicated in such FAR is the quantified amount and assessee may enjoy the benefits of this scheme.</w:t>
      </w:r>
    </w:p>
    <w:p>
      <w:pPr>
        <w:pStyle w:val="BodyText"/>
        <w:spacing w:before="1"/>
      </w:pPr>
    </w:p>
    <w:p>
      <w:pPr>
        <w:pStyle w:val="ListParagraph"/>
        <w:numPr>
          <w:ilvl w:val="0"/>
          <w:numId w:val="20"/>
        </w:numPr>
        <w:tabs>
          <w:tab w:pos="821" w:val="left" w:leader="none"/>
        </w:tabs>
        <w:spacing w:line="240" w:lineRule="auto" w:before="0" w:after="0"/>
        <w:ind w:left="821" w:right="769" w:hanging="361"/>
        <w:jc w:val="both"/>
        <w:rPr>
          <w:sz w:val="22"/>
        </w:rPr>
      </w:pPr>
      <w:r>
        <w:rPr>
          <w:sz w:val="22"/>
        </w:rPr>
        <w:t>Since the amount of arrears pertains to “a return” where amount of duty is outstanding against the declarant. Please note for the purpose of “tax relief” each return will be taken individually even though a single estimate/statement and discharge certificate is issued for such one or more</w:t>
      </w:r>
      <w:r>
        <w:rPr>
          <w:spacing w:val="-6"/>
          <w:sz w:val="22"/>
        </w:rPr>
        <w:t> </w:t>
      </w:r>
      <w:r>
        <w:rPr>
          <w:sz w:val="22"/>
        </w:rPr>
        <w:t>returns.</w:t>
      </w:r>
    </w:p>
    <w:p>
      <w:pPr>
        <w:pStyle w:val="BodyText"/>
        <w:spacing w:before="1"/>
      </w:pPr>
    </w:p>
    <w:p>
      <w:pPr>
        <w:pStyle w:val="ListParagraph"/>
        <w:numPr>
          <w:ilvl w:val="0"/>
          <w:numId w:val="20"/>
        </w:numPr>
        <w:tabs>
          <w:tab w:pos="821" w:val="left" w:leader="none"/>
        </w:tabs>
        <w:spacing w:line="240" w:lineRule="auto" w:before="1" w:after="0"/>
        <w:ind w:left="821" w:right="774" w:hanging="361"/>
        <w:jc w:val="both"/>
        <w:rPr>
          <w:sz w:val="22"/>
        </w:rPr>
      </w:pPr>
      <w:r>
        <w:rPr>
          <w:sz w:val="22"/>
        </w:rPr>
        <w:t>Hon’ble Supreme Court has given interim relief to the members (lessees) of Retailers Association</w:t>
      </w:r>
      <w:r>
        <w:rPr>
          <w:spacing w:val="-5"/>
          <w:sz w:val="22"/>
        </w:rPr>
        <w:t> </w:t>
      </w:r>
      <w:r>
        <w:rPr>
          <w:sz w:val="22"/>
        </w:rPr>
        <w:t>of</w:t>
      </w:r>
      <w:r>
        <w:rPr>
          <w:spacing w:val="-3"/>
          <w:sz w:val="22"/>
        </w:rPr>
        <w:t> </w:t>
      </w:r>
      <w:r>
        <w:rPr>
          <w:sz w:val="22"/>
        </w:rPr>
        <w:t>India</w:t>
      </w:r>
      <w:r>
        <w:rPr>
          <w:spacing w:val="-8"/>
          <w:sz w:val="22"/>
        </w:rPr>
        <w:t> </w:t>
      </w:r>
      <w:r>
        <w:rPr>
          <w:sz w:val="22"/>
        </w:rPr>
        <w:t>(RAI)</w:t>
      </w:r>
      <w:r>
        <w:rPr>
          <w:spacing w:val="-3"/>
          <w:sz w:val="22"/>
        </w:rPr>
        <w:t> </w:t>
      </w:r>
      <w:r>
        <w:rPr>
          <w:sz w:val="22"/>
        </w:rPr>
        <w:t>on</w:t>
      </w:r>
      <w:r>
        <w:rPr>
          <w:spacing w:val="-5"/>
          <w:sz w:val="22"/>
        </w:rPr>
        <w:t> </w:t>
      </w:r>
      <w:r>
        <w:rPr>
          <w:sz w:val="22"/>
        </w:rPr>
        <w:t>the</w:t>
      </w:r>
      <w:r>
        <w:rPr>
          <w:spacing w:val="-3"/>
          <w:sz w:val="22"/>
        </w:rPr>
        <w:t> </w:t>
      </w:r>
      <w:r>
        <w:rPr>
          <w:sz w:val="22"/>
        </w:rPr>
        <w:t>condition</w:t>
      </w:r>
      <w:r>
        <w:rPr>
          <w:spacing w:val="-4"/>
          <w:sz w:val="22"/>
        </w:rPr>
        <w:t> </w:t>
      </w:r>
      <w:r>
        <w:rPr>
          <w:sz w:val="22"/>
        </w:rPr>
        <w:t>of</w:t>
      </w:r>
      <w:r>
        <w:rPr>
          <w:spacing w:val="-3"/>
          <w:sz w:val="22"/>
        </w:rPr>
        <w:t> </w:t>
      </w:r>
      <w:r>
        <w:rPr>
          <w:sz w:val="22"/>
        </w:rPr>
        <w:t>pre-deposit</w:t>
      </w:r>
      <w:r>
        <w:rPr>
          <w:spacing w:val="-5"/>
          <w:sz w:val="22"/>
        </w:rPr>
        <w:t> </w:t>
      </w:r>
      <w:r>
        <w:rPr>
          <w:sz w:val="22"/>
        </w:rPr>
        <w:t>of</w:t>
      </w:r>
      <w:r>
        <w:rPr>
          <w:spacing w:val="-4"/>
          <w:sz w:val="22"/>
        </w:rPr>
        <w:t> </w:t>
      </w:r>
      <w:r>
        <w:rPr>
          <w:sz w:val="22"/>
        </w:rPr>
        <w:t>duty.</w:t>
      </w:r>
      <w:r>
        <w:rPr>
          <w:spacing w:val="-2"/>
          <w:sz w:val="22"/>
        </w:rPr>
        <w:t> </w:t>
      </w:r>
      <w:r>
        <w:rPr>
          <w:sz w:val="22"/>
        </w:rPr>
        <w:t>In</w:t>
      </w:r>
      <w:r>
        <w:rPr>
          <w:spacing w:val="-4"/>
          <w:sz w:val="22"/>
        </w:rPr>
        <w:t> </w:t>
      </w:r>
      <w:r>
        <w:rPr>
          <w:sz w:val="22"/>
        </w:rPr>
        <w:t>this</w:t>
      </w:r>
      <w:r>
        <w:rPr>
          <w:spacing w:val="-3"/>
          <w:sz w:val="22"/>
        </w:rPr>
        <w:t> </w:t>
      </w:r>
      <w:r>
        <w:rPr>
          <w:sz w:val="22"/>
        </w:rPr>
        <w:t>case</w:t>
      </w:r>
      <w:r>
        <w:rPr>
          <w:spacing w:val="-8"/>
          <w:sz w:val="22"/>
        </w:rPr>
        <w:t> </w:t>
      </w:r>
      <w:r>
        <w:rPr>
          <w:sz w:val="22"/>
        </w:rPr>
        <w:t>members</w:t>
      </w:r>
      <w:r>
        <w:rPr>
          <w:spacing w:val="-9"/>
          <w:sz w:val="22"/>
        </w:rPr>
        <w:t> </w:t>
      </w:r>
      <w:r>
        <w:rPr>
          <w:sz w:val="22"/>
        </w:rPr>
        <w:t>of</w:t>
      </w:r>
      <w:r>
        <w:rPr>
          <w:spacing w:val="-3"/>
          <w:sz w:val="22"/>
        </w:rPr>
        <w:t> </w:t>
      </w:r>
      <w:r>
        <w:rPr>
          <w:sz w:val="22"/>
        </w:rPr>
        <w:t>RAI are</w:t>
      </w:r>
      <w:r>
        <w:rPr>
          <w:spacing w:val="-5"/>
          <w:sz w:val="22"/>
        </w:rPr>
        <w:t> </w:t>
      </w:r>
      <w:r>
        <w:rPr>
          <w:sz w:val="22"/>
        </w:rPr>
        <w:t>eligible</w:t>
      </w:r>
      <w:r>
        <w:rPr>
          <w:spacing w:val="-4"/>
          <w:sz w:val="22"/>
        </w:rPr>
        <w:t> </w:t>
      </w:r>
      <w:r>
        <w:rPr>
          <w:sz w:val="22"/>
        </w:rPr>
        <w:t>to</w:t>
      </w:r>
      <w:r>
        <w:rPr>
          <w:spacing w:val="-5"/>
          <w:sz w:val="22"/>
        </w:rPr>
        <w:t> </w:t>
      </w:r>
      <w:r>
        <w:rPr>
          <w:sz w:val="22"/>
        </w:rPr>
        <w:t>opt</w:t>
      </w:r>
      <w:r>
        <w:rPr>
          <w:spacing w:val="-6"/>
          <w:sz w:val="22"/>
        </w:rPr>
        <w:t> </w:t>
      </w:r>
      <w:r>
        <w:rPr>
          <w:sz w:val="22"/>
        </w:rPr>
        <w:t>this</w:t>
      </w:r>
      <w:r>
        <w:rPr>
          <w:spacing w:val="-4"/>
          <w:sz w:val="22"/>
        </w:rPr>
        <w:t> </w:t>
      </w:r>
      <w:r>
        <w:rPr>
          <w:sz w:val="22"/>
        </w:rPr>
        <w:t>scheme</w:t>
      </w:r>
      <w:r>
        <w:rPr>
          <w:spacing w:val="-1"/>
          <w:sz w:val="22"/>
        </w:rPr>
        <w:t> </w:t>
      </w:r>
      <w:r>
        <w:rPr>
          <w:sz w:val="22"/>
        </w:rPr>
        <w:t>{para</w:t>
      </w:r>
      <w:r>
        <w:rPr>
          <w:spacing w:val="-5"/>
          <w:sz w:val="22"/>
        </w:rPr>
        <w:t> </w:t>
      </w:r>
      <w:r>
        <w:rPr>
          <w:sz w:val="22"/>
        </w:rPr>
        <w:t>(2(v)</w:t>
      </w:r>
      <w:r>
        <w:rPr>
          <w:spacing w:val="-4"/>
          <w:sz w:val="22"/>
        </w:rPr>
        <w:t> </w:t>
      </w:r>
      <w:r>
        <w:rPr>
          <w:sz w:val="22"/>
        </w:rPr>
        <w:t>of</w:t>
      </w:r>
      <w:r>
        <w:rPr>
          <w:spacing w:val="-4"/>
          <w:sz w:val="22"/>
        </w:rPr>
        <w:t> </w:t>
      </w:r>
      <w:r>
        <w:rPr>
          <w:sz w:val="22"/>
        </w:rPr>
        <w:t>Circular</w:t>
      </w:r>
      <w:r>
        <w:rPr>
          <w:spacing w:val="-5"/>
          <w:sz w:val="22"/>
        </w:rPr>
        <w:t> </w:t>
      </w:r>
      <w:r>
        <w:rPr>
          <w:sz w:val="22"/>
        </w:rPr>
        <w:t>No.</w:t>
      </w:r>
      <w:r>
        <w:rPr>
          <w:spacing w:val="-3"/>
          <w:sz w:val="22"/>
        </w:rPr>
        <w:t> </w:t>
      </w:r>
      <w:r>
        <w:rPr>
          <w:sz w:val="22"/>
        </w:rPr>
        <w:t>1073/06/2019.CX</w:t>
      </w:r>
      <w:r>
        <w:rPr>
          <w:spacing w:val="-4"/>
          <w:sz w:val="22"/>
        </w:rPr>
        <w:t> </w:t>
      </w:r>
      <w:r>
        <w:rPr>
          <w:sz w:val="22"/>
        </w:rPr>
        <w:t>dated</w:t>
      </w:r>
      <w:r>
        <w:rPr>
          <w:spacing w:val="-4"/>
          <w:sz w:val="22"/>
        </w:rPr>
        <w:t> </w:t>
      </w:r>
      <w:r>
        <w:rPr>
          <w:sz w:val="22"/>
        </w:rPr>
        <w:t>29.10.2019}</w:t>
      </w:r>
    </w:p>
    <w:p>
      <w:pPr>
        <w:pStyle w:val="BodyText"/>
        <w:spacing w:before="7"/>
        <w:rPr>
          <w:sz w:val="23"/>
        </w:rPr>
      </w:pPr>
    </w:p>
    <w:p>
      <w:pPr>
        <w:pStyle w:val="BodyText"/>
        <w:spacing w:before="1"/>
        <w:ind w:left="821" w:right="771"/>
        <w:jc w:val="both"/>
      </w:pPr>
      <w:r>
        <w:rPr/>
        <w:t>On other Side, burden of payment of duty has already shifted from service provider (lessors) to service recipient (lessees) vide Apex Court Order dated 14.10.2011. Hence if any appeal is pending or SCN issued to the lessors, such duty amount, which is payable by lessees, shall be reduced from the total disputed amount of the lessors.</w:t>
      </w:r>
    </w:p>
    <w:p>
      <w:pPr>
        <w:pStyle w:val="BodyText"/>
        <w:spacing w:before="1"/>
      </w:pPr>
    </w:p>
    <w:p>
      <w:pPr>
        <w:pStyle w:val="BodyText"/>
        <w:ind w:left="821" w:right="775"/>
        <w:jc w:val="both"/>
      </w:pPr>
      <w:r>
        <w:rPr/>
        <w:t>Example: - M/s. ABC Ltd has total disputed demand of Rs.20 Crores out of which Rs.5 crores is payable by lessees directly to Govt. In such case total disputed amount for lesser will be Rs.15 crores.</w:t>
      </w:r>
    </w:p>
    <w:p>
      <w:pPr>
        <w:pStyle w:val="BodyText"/>
        <w:spacing w:before="9"/>
        <w:rPr>
          <w:sz w:val="23"/>
        </w:rPr>
      </w:pPr>
    </w:p>
    <w:p>
      <w:pPr>
        <w:pStyle w:val="ListParagraph"/>
        <w:numPr>
          <w:ilvl w:val="0"/>
          <w:numId w:val="20"/>
        </w:numPr>
        <w:tabs>
          <w:tab w:pos="821" w:val="left" w:leader="none"/>
        </w:tabs>
        <w:spacing w:line="240" w:lineRule="auto" w:before="0" w:after="0"/>
        <w:ind w:left="821" w:right="773" w:hanging="361"/>
        <w:jc w:val="both"/>
        <w:rPr>
          <w:sz w:val="22"/>
        </w:rPr>
      </w:pPr>
      <w:r>
        <w:rPr>
          <w:sz w:val="22"/>
        </w:rPr>
        <w:t>There is little confusion/contradiction between the provisions of section 125(1) (f) (ii) and section 124(1) (c) (iii). In my opinion, it is clarified that there is no confusion/contradiction between the both. Clarification/differences are as under:</w:t>
      </w:r>
      <w:r>
        <w:rPr>
          <w:spacing w:val="-12"/>
          <w:sz w:val="22"/>
        </w:rPr>
        <w:t> </w:t>
      </w:r>
      <w:r>
        <w:rPr>
          <w:sz w:val="22"/>
        </w:rPr>
        <w:t>-</w:t>
      </w:r>
    </w:p>
    <w:p>
      <w:pPr>
        <w:pStyle w:val="BodyText"/>
        <w:spacing w:before="8"/>
        <w:rPr>
          <w:sz w:val="23"/>
        </w:rPr>
      </w:pPr>
    </w:p>
    <w:p>
      <w:pPr>
        <w:pStyle w:val="ListParagraph"/>
        <w:numPr>
          <w:ilvl w:val="0"/>
          <w:numId w:val="6"/>
        </w:numPr>
        <w:tabs>
          <w:tab w:pos="2981" w:val="left" w:leader="none"/>
          <w:tab w:pos="2982" w:val="left" w:leader="none"/>
        </w:tabs>
        <w:spacing w:line="240" w:lineRule="auto" w:before="0" w:after="0"/>
        <w:ind w:left="2981" w:right="0" w:hanging="721"/>
        <w:jc w:val="left"/>
        <w:rPr>
          <w:sz w:val="22"/>
        </w:rPr>
      </w:pPr>
      <w:r>
        <w:rPr>
          <w:sz w:val="22"/>
        </w:rPr>
        <w:t>Section</w:t>
      </w:r>
      <w:r>
        <w:rPr>
          <w:spacing w:val="-3"/>
          <w:sz w:val="22"/>
        </w:rPr>
        <w:t> </w:t>
      </w:r>
      <w:r>
        <w:rPr>
          <w:sz w:val="22"/>
        </w:rPr>
        <w:t>124(1)(c)(iii)</w:t>
      </w:r>
    </w:p>
    <w:p>
      <w:pPr>
        <w:pStyle w:val="ListParagraph"/>
        <w:numPr>
          <w:ilvl w:val="1"/>
          <w:numId w:val="6"/>
        </w:numPr>
        <w:tabs>
          <w:tab w:pos="3389" w:val="left" w:leader="none"/>
          <w:tab w:pos="3390" w:val="left" w:leader="none"/>
        </w:tabs>
        <w:spacing w:line="240" w:lineRule="auto" w:before="0" w:after="0"/>
        <w:ind w:left="3390" w:right="0" w:hanging="409"/>
        <w:jc w:val="left"/>
        <w:rPr>
          <w:sz w:val="22"/>
        </w:rPr>
      </w:pPr>
      <w:r>
        <w:rPr>
          <w:sz w:val="22"/>
        </w:rPr>
        <w:t>It should be read with section</w:t>
      </w:r>
      <w:r>
        <w:rPr>
          <w:spacing w:val="-18"/>
          <w:sz w:val="22"/>
        </w:rPr>
        <w:t> </w:t>
      </w:r>
      <w:r>
        <w:rPr>
          <w:sz w:val="22"/>
        </w:rPr>
        <w:t>121(c)(iii).</w:t>
      </w:r>
    </w:p>
    <w:p>
      <w:pPr>
        <w:pStyle w:val="ListParagraph"/>
        <w:numPr>
          <w:ilvl w:val="1"/>
          <w:numId w:val="6"/>
        </w:numPr>
        <w:tabs>
          <w:tab w:pos="3389" w:val="left" w:leader="none"/>
          <w:tab w:pos="3390" w:val="left" w:leader="none"/>
        </w:tabs>
        <w:spacing w:line="240" w:lineRule="auto" w:before="1" w:after="0"/>
        <w:ind w:left="3390" w:right="0" w:hanging="409"/>
        <w:jc w:val="left"/>
        <w:rPr>
          <w:sz w:val="22"/>
        </w:rPr>
      </w:pPr>
      <w:r>
        <w:rPr>
          <w:sz w:val="22"/>
        </w:rPr>
        <w:t>It is purely relating to the “amount in</w:t>
      </w:r>
      <w:r>
        <w:rPr>
          <w:spacing w:val="-21"/>
          <w:sz w:val="22"/>
        </w:rPr>
        <w:t> </w:t>
      </w:r>
      <w:r>
        <w:rPr>
          <w:sz w:val="22"/>
        </w:rPr>
        <w:t>arrears”</w:t>
      </w:r>
    </w:p>
    <w:p>
      <w:pPr>
        <w:pStyle w:val="ListParagraph"/>
        <w:numPr>
          <w:ilvl w:val="1"/>
          <w:numId w:val="6"/>
        </w:numPr>
        <w:tabs>
          <w:tab w:pos="3341" w:val="left" w:leader="none"/>
          <w:tab w:pos="3342" w:val="left" w:leader="none"/>
        </w:tabs>
        <w:spacing w:line="240" w:lineRule="auto" w:before="0" w:after="0"/>
        <w:ind w:left="3342" w:right="774" w:hanging="361"/>
        <w:jc w:val="left"/>
        <w:rPr>
          <w:sz w:val="22"/>
        </w:rPr>
      </w:pPr>
      <w:r>
        <w:rPr>
          <w:sz w:val="22"/>
        </w:rPr>
        <w:t>If we read section 124(1)(c), it only talks about the amount in arrears.</w:t>
      </w:r>
    </w:p>
    <w:p>
      <w:pPr>
        <w:pStyle w:val="ListParagraph"/>
        <w:numPr>
          <w:ilvl w:val="1"/>
          <w:numId w:val="6"/>
        </w:numPr>
        <w:tabs>
          <w:tab w:pos="3342" w:val="left" w:leader="none"/>
        </w:tabs>
        <w:spacing w:line="240" w:lineRule="auto" w:before="0" w:after="0"/>
        <w:ind w:left="3342" w:right="778" w:hanging="361"/>
        <w:jc w:val="left"/>
        <w:rPr>
          <w:sz w:val="22"/>
        </w:rPr>
      </w:pPr>
      <w:r>
        <w:rPr>
          <w:sz w:val="22"/>
        </w:rPr>
        <w:t>Hence it is applicable on those returns which are filed up to 30.06.2019.</w:t>
      </w:r>
    </w:p>
    <w:p>
      <w:pPr>
        <w:pStyle w:val="BodyText"/>
        <w:spacing w:before="2"/>
      </w:pPr>
    </w:p>
    <w:p>
      <w:pPr>
        <w:pStyle w:val="ListParagraph"/>
        <w:numPr>
          <w:ilvl w:val="0"/>
          <w:numId w:val="6"/>
        </w:numPr>
        <w:tabs>
          <w:tab w:pos="2981" w:val="left" w:leader="none"/>
          <w:tab w:pos="2982" w:val="left" w:leader="none"/>
        </w:tabs>
        <w:spacing w:line="240" w:lineRule="auto" w:before="0" w:after="0"/>
        <w:ind w:left="2981" w:right="0" w:hanging="721"/>
        <w:jc w:val="left"/>
        <w:rPr>
          <w:sz w:val="22"/>
        </w:rPr>
      </w:pPr>
      <w:r>
        <w:rPr>
          <w:sz w:val="22"/>
        </w:rPr>
        <w:t>Section</w:t>
      </w:r>
      <w:r>
        <w:rPr>
          <w:spacing w:val="-4"/>
          <w:sz w:val="22"/>
        </w:rPr>
        <w:t> </w:t>
      </w:r>
      <w:r>
        <w:rPr>
          <w:sz w:val="22"/>
        </w:rPr>
        <w:t>125(1)(f)(ii)</w:t>
      </w:r>
    </w:p>
    <w:p>
      <w:pPr>
        <w:pStyle w:val="ListParagraph"/>
        <w:numPr>
          <w:ilvl w:val="1"/>
          <w:numId w:val="6"/>
        </w:numPr>
        <w:tabs>
          <w:tab w:pos="3342" w:val="left" w:leader="none"/>
        </w:tabs>
        <w:spacing w:line="240" w:lineRule="auto" w:before="0" w:after="0"/>
        <w:ind w:left="3342" w:right="780" w:hanging="361"/>
        <w:jc w:val="left"/>
        <w:rPr>
          <w:sz w:val="22"/>
        </w:rPr>
      </w:pPr>
      <w:r>
        <w:rPr>
          <w:sz w:val="22"/>
        </w:rPr>
        <w:t>Section 125(1)(f) is for persons who are making voluntary disclosure.</w:t>
      </w:r>
    </w:p>
    <w:p>
      <w:pPr>
        <w:spacing w:after="0" w:line="240" w:lineRule="auto"/>
        <w:jc w:val="left"/>
        <w:rPr>
          <w:sz w:val="22"/>
        </w:rPr>
        <w:sectPr>
          <w:pgSz w:w="11910" w:h="16840"/>
          <w:pgMar w:header="764" w:footer="992" w:top="1620" w:bottom="1180" w:left="1340" w:right="660"/>
        </w:sectPr>
      </w:pPr>
    </w:p>
    <w:p>
      <w:pPr>
        <w:pStyle w:val="BodyText"/>
        <w:rPr>
          <w:sz w:val="19"/>
        </w:rPr>
      </w:pPr>
      <w:r>
        <w:rPr/>
        <w:pict>
          <v:line style="position:absolute;mso-position-horizontal-relative:page;mso-position-vertical-relative:page;z-index:251668480" from="0pt,257.239990pt" to="594.2pt,258.63999pt" stroked="true" strokeweight=".5pt" strokecolor="#5b9bd4">
            <v:stroke dashstyle="solid"/>
            <w10:wrap type="none"/>
          </v:line>
        </w:pict>
      </w:r>
    </w:p>
    <w:p>
      <w:pPr>
        <w:pStyle w:val="ListParagraph"/>
        <w:numPr>
          <w:ilvl w:val="1"/>
          <w:numId w:val="6"/>
        </w:numPr>
        <w:tabs>
          <w:tab w:pos="3342" w:val="left" w:leader="none"/>
        </w:tabs>
        <w:spacing w:line="240" w:lineRule="auto" w:before="57" w:after="0"/>
        <w:ind w:left="3342" w:right="775" w:hanging="361"/>
        <w:jc w:val="left"/>
        <w:rPr>
          <w:sz w:val="22"/>
        </w:rPr>
      </w:pPr>
      <w:r>
        <w:rPr>
          <w:sz w:val="22"/>
        </w:rPr>
        <w:t>Its absolute meaning that returns are filed only after introducing such scheme (i.e. after</w:t>
      </w:r>
      <w:r>
        <w:rPr>
          <w:spacing w:val="-8"/>
          <w:sz w:val="22"/>
        </w:rPr>
        <w:t> </w:t>
      </w:r>
      <w:r>
        <w:rPr>
          <w:sz w:val="22"/>
        </w:rPr>
        <w:t>30.06.2019)</w:t>
      </w:r>
    </w:p>
    <w:p>
      <w:pPr>
        <w:pStyle w:val="ListParagraph"/>
        <w:numPr>
          <w:ilvl w:val="1"/>
          <w:numId w:val="6"/>
        </w:numPr>
        <w:tabs>
          <w:tab w:pos="3341" w:val="left" w:leader="none"/>
          <w:tab w:pos="3342" w:val="left" w:leader="none"/>
        </w:tabs>
        <w:spacing w:line="240" w:lineRule="auto" w:before="1" w:after="0"/>
        <w:ind w:left="3342" w:right="778" w:hanging="361"/>
        <w:jc w:val="left"/>
        <w:rPr>
          <w:sz w:val="22"/>
        </w:rPr>
      </w:pPr>
      <w:r>
        <w:rPr>
          <w:sz w:val="22"/>
        </w:rPr>
        <w:t>Even though it is not clearly mentioned in such section but when we read whole section, it becomes clear as</w:t>
      </w:r>
      <w:r>
        <w:rPr>
          <w:spacing w:val="-21"/>
          <w:sz w:val="22"/>
        </w:rPr>
        <w:t> </w:t>
      </w:r>
      <w:r>
        <w:rPr>
          <w:sz w:val="22"/>
        </w:rPr>
        <w:t>under</w:t>
      </w:r>
    </w:p>
    <w:p>
      <w:pPr>
        <w:pStyle w:val="BodyText"/>
        <w:ind w:left="1541"/>
      </w:pPr>
      <w:r>
        <w:rPr/>
        <w:t>Provisions of Section 124(1) (c) (iii) apply when returns are filed up to 30.06.2019 and assessee can enjoy the benefits of this scheme under “amount in arrears” category.</w:t>
      </w:r>
    </w:p>
    <w:p>
      <w:pPr>
        <w:pStyle w:val="BodyText"/>
        <w:spacing w:before="8"/>
        <w:rPr>
          <w:sz w:val="21"/>
        </w:rPr>
      </w:pPr>
    </w:p>
    <w:p>
      <w:pPr>
        <w:pStyle w:val="BodyText"/>
        <w:ind w:left="1541" w:right="769"/>
        <w:jc w:val="both"/>
      </w:pPr>
      <w:r>
        <w:rPr/>
        <w:t>Provisions</w:t>
      </w:r>
      <w:r>
        <w:rPr>
          <w:spacing w:val="-9"/>
        </w:rPr>
        <w:t> </w:t>
      </w:r>
      <w:r>
        <w:rPr/>
        <w:t>of</w:t>
      </w:r>
      <w:r>
        <w:rPr>
          <w:spacing w:val="-8"/>
        </w:rPr>
        <w:t> </w:t>
      </w:r>
      <w:r>
        <w:rPr/>
        <w:t>Section</w:t>
      </w:r>
      <w:r>
        <w:rPr>
          <w:spacing w:val="-9"/>
        </w:rPr>
        <w:t> </w:t>
      </w:r>
      <w:r>
        <w:rPr/>
        <w:t>125(1)</w:t>
      </w:r>
      <w:r>
        <w:rPr>
          <w:spacing w:val="-8"/>
        </w:rPr>
        <w:t> </w:t>
      </w:r>
      <w:r>
        <w:rPr/>
        <w:t>(f)</w:t>
      </w:r>
      <w:r>
        <w:rPr>
          <w:spacing w:val="-8"/>
        </w:rPr>
        <w:t> </w:t>
      </w:r>
      <w:r>
        <w:rPr/>
        <w:t>(ii)</w:t>
      </w:r>
      <w:r>
        <w:rPr>
          <w:spacing w:val="-8"/>
        </w:rPr>
        <w:t> </w:t>
      </w:r>
      <w:r>
        <w:rPr/>
        <w:t>apply</w:t>
      </w:r>
      <w:r>
        <w:rPr>
          <w:spacing w:val="-7"/>
        </w:rPr>
        <w:t> </w:t>
      </w:r>
      <w:r>
        <w:rPr/>
        <w:t>on</w:t>
      </w:r>
      <w:r>
        <w:rPr>
          <w:spacing w:val="-9"/>
        </w:rPr>
        <w:t> </w:t>
      </w:r>
      <w:r>
        <w:rPr/>
        <w:t>those</w:t>
      </w:r>
      <w:r>
        <w:rPr>
          <w:spacing w:val="-8"/>
        </w:rPr>
        <w:t> </w:t>
      </w:r>
      <w:r>
        <w:rPr/>
        <w:t>assessee</w:t>
      </w:r>
      <w:r>
        <w:rPr>
          <w:spacing w:val="-7"/>
        </w:rPr>
        <w:t> </w:t>
      </w:r>
      <w:r>
        <w:rPr/>
        <w:t>who</w:t>
      </w:r>
      <w:r>
        <w:rPr>
          <w:spacing w:val="-9"/>
        </w:rPr>
        <w:t> </w:t>
      </w:r>
      <w:r>
        <w:rPr/>
        <w:t>have</w:t>
      </w:r>
      <w:r>
        <w:rPr>
          <w:spacing w:val="-7"/>
        </w:rPr>
        <w:t> </w:t>
      </w:r>
      <w:r>
        <w:rPr/>
        <w:t>filed</w:t>
      </w:r>
      <w:r>
        <w:rPr>
          <w:spacing w:val="-8"/>
        </w:rPr>
        <w:t> </w:t>
      </w:r>
      <w:r>
        <w:rPr/>
        <w:t>return</w:t>
      </w:r>
      <w:r>
        <w:rPr>
          <w:spacing w:val="-9"/>
        </w:rPr>
        <w:t> </w:t>
      </w:r>
      <w:r>
        <w:rPr/>
        <w:t>after 30.06.2019 and they cannot enjoy the benefits of this scheme even under the voluntary disclosure category. In this case assessee has to pay full amount of duty, applicable interest or</w:t>
      </w:r>
      <w:r>
        <w:rPr>
          <w:spacing w:val="-8"/>
        </w:rPr>
        <w:t> </w:t>
      </w:r>
      <w:r>
        <w:rPr/>
        <w:t>penalty.</w:t>
      </w:r>
    </w:p>
    <w:p>
      <w:pPr>
        <w:pStyle w:val="BodyText"/>
      </w:pPr>
    </w:p>
    <w:p>
      <w:pPr>
        <w:pStyle w:val="BodyText"/>
        <w:spacing w:before="2"/>
      </w:pPr>
    </w:p>
    <w:p>
      <w:pPr>
        <w:pStyle w:val="BodyText"/>
        <w:ind w:left="821"/>
      </w:pPr>
      <w:r>
        <w:rPr/>
        <w:t>Disclaimer: -</w:t>
      </w:r>
    </w:p>
    <w:p>
      <w:pPr>
        <w:pStyle w:val="ListParagraph"/>
        <w:numPr>
          <w:ilvl w:val="0"/>
          <w:numId w:val="21"/>
        </w:numPr>
        <w:tabs>
          <w:tab w:pos="1540" w:val="left" w:leader="none"/>
          <w:tab w:pos="1541" w:val="left" w:leader="none"/>
        </w:tabs>
        <w:spacing w:line="264" w:lineRule="exact" w:before="1" w:after="0"/>
        <w:ind w:left="1541" w:right="0" w:hanging="360"/>
        <w:jc w:val="left"/>
        <w:rPr>
          <w:sz w:val="22"/>
        </w:rPr>
      </w:pPr>
      <w:r>
        <w:rPr>
          <w:sz w:val="18"/>
        </w:rPr>
        <w:t>Views expressed in the Article </w:t>
      </w:r>
      <w:r>
        <w:rPr>
          <w:spacing w:val="-3"/>
          <w:sz w:val="18"/>
        </w:rPr>
        <w:t>are </w:t>
      </w:r>
      <w:r>
        <w:rPr>
          <w:sz w:val="18"/>
        </w:rPr>
        <w:t>the personal </w:t>
      </w:r>
      <w:r>
        <w:rPr>
          <w:spacing w:val="-3"/>
          <w:sz w:val="18"/>
        </w:rPr>
        <w:t>views of </w:t>
      </w:r>
      <w:r>
        <w:rPr>
          <w:sz w:val="18"/>
        </w:rPr>
        <w:t>the Author based on his interpretation of</w:t>
      </w:r>
      <w:r>
        <w:rPr>
          <w:spacing w:val="1"/>
          <w:sz w:val="18"/>
        </w:rPr>
        <w:t> </w:t>
      </w:r>
      <w:r>
        <w:rPr>
          <w:sz w:val="18"/>
        </w:rPr>
        <w:t>Law.</w:t>
      </w:r>
    </w:p>
    <w:p>
      <w:pPr>
        <w:pStyle w:val="ListParagraph"/>
        <w:numPr>
          <w:ilvl w:val="0"/>
          <w:numId w:val="21"/>
        </w:numPr>
        <w:tabs>
          <w:tab w:pos="1540" w:val="left" w:leader="none"/>
          <w:tab w:pos="1541" w:val="left" w:leader="none"/>
        </w:tabs>
        <w:spacing w:line="257" w:lineRule="exact" w:before="0" w:after="0"/>
        <w:ind w:left="1541" w:right="0" w:hanging="360"/>
        <w:jc w:val="left"/>
        <w:rPr>
          <w:sz w:val="22"/>
        </w:rPr>
      </w:pPr>
      <w:r>
        <w:rPr>
          <w:sz w:val="18"/>
        </w:rPr>
        <w:t>Views expressed should not </w:t>
      </w:r>
      <w:r>
        <w:rPr>
          <w:spacing w:val="-3"/>
          <w:sz w:val="18"/>
        </w:rPr>
        <w:t>be </w:t>
      </w:r>
      <w:r>
        <w:rPr>
          <w:sz w:val="18"/>
        </w:rPr>
        <w:t>construed as professional advice or legal</w:t>
      </w:r>
      <w:r>
        <w:rPr>
          <w:spacing w:val="-17"/>
          <w:sz w:val="18"/>
        </w:rPr>
        <w:t> </w:t>
      </w:r>
      <w:r>
        <w:rPr>
          <w:sz w:val="18"/>
        </w:rPr>
        <w:t>opinion.</w:t>
      </w:r>
    </w:p>
    <w:p>
      <w:pPr>
        <w:pStyle w:val="ListParagraph"/>
        <w:numPr>
          <w:ilvl w:val="0"/>
          <w:numId w:val="21"/>
        </w:numPr>
        <w:tabs>
          <w:tab w:pos="1584" w:val="left" w:leader="none"/>
          <w:tab w:pos="1585" w:val="left" w:leader="none"/>
        </w:tabs>
        <w:spacing w:line="240" w:lineRule="auto" w:before="0" w:after="0"/>
        <w:ind w:left="1541" w:right="766" w:hanging="360"/>
        <w:jc w:val="left"/>
        <w:rPr>
          <w:sz w:val="18"/>
        </w:rPr>
      </w:pPr>
      <w:r>
        <w:rPr/>
        <w:tab/>
      </w:r>
      <w:r>
        <w:rPr>
          <w:sz w:val="18"/>
        </w:rPr>
        <w:t>Article</w:t>
      </w:r>
      <w:r>
        <w:rPr>
          <w:spacing w:val="-7"/>
          <w:sz w:val="18"/>
        </w:rPr>
        <w:t> </w:t>
      </w:r>
      <w:r>
        <w:rPr>
          <w:sz w:val="18"/>
        </w:rPr>
        <w:t>needs</w:t>
      </w:r>
      <w:r>
        <w:rPr>
          <w:spacing w:val="-8"/>
          <w:sz w:val="18"/>
        </w:rPr>
        <w:t> </w:t>
      </w:r>
      <w:r>
        <w:rPr>
          <w:sz w:val="18"/>
        </w:rPr>
        <w:t>to</w:t>
      </w:r>
      <w:r>
        <w:rPr>
          <w:spacing w:val="-9"/>
          <w:sz w:val="18"/>
        </w:rPr>
        <w:t> </w:t>
      </w:r>
      <w:r>
        <w:rPr>
          <w:sz w:val="18"/>
        </w:rPr>
        <w:t>be</w:t>
      </w:r>
      <w:r>
        <w:rPr>
          <w:spacing w:val="-8"/>
          <w:sz w:val="18"/>
        </w:rPr>
        <w:t> </w:t>
      </w:r>
      <w:r>
        <w:rPr>
          <w:sz w:val="18"/>
        </w:rPr>
        <w:t>revised</w:t>
      </w:r>
      <w:r>
        <w:rPr>
          <w:spacing w:val="-4"/>
          <w:sz w:val="18"/>
        </w:rPr>
        <w:t> </w:t>
      </w:r>
      <w:r>
        <w:rPr>
          <w:spacing w:val="-3"/>
          <w:sz w:val="18"/>
        </w:rPr>
        <w:t>and</w:t>
      </w:r>
      <w:r>
        <w:rPr>
          <w:spacing w:val="-8"/>
          <w:sz w:val="18"/>
        </w:rPr>
        <w:t> </w:t>
      </w:r>
      <w:r>
        <w:rPr>
          <w:sz w:val="18"/>
        </w:rPr>
        <w:t>revisited</w:t>
      </w:r>
      <w:r>
        <w:rPr>
          <w:spacing w:val="-8"/>
          <w:sz w:val="18"/>
        </w:rPr>
        <w:t> </w:t>
      </w:r>
      <w:r>
        <w:rPr>
          <w:sz w:val="18"/>
        </w:rPr>
        <w:t>on</w:t>
      </w:r>
      <w:r>
        <w:rPr>
          <w:spacing w:val="-8"/>
          <w:sz w:val="18"/>
        </w:rPr>
        <w:t> </w:t>
      </w:r>
      <w:r>
        <w:rPr>
          <w:sz w:val="18"/>
        </w:rPr>
        <w:t>any</w:t>
      </w:r>
      <w:r>
        <w:rPr>
          <w:spacing w:val="-9"/>
          <w:sz w:val="18"/>
        </w:rPr>
        <w:t> </w:t>
      </w:r>
      <w:r>
        <w:rPr>
          <w:sz w:val="18"/>
        </w:rPr>
        <w:t>clarifications,</w:t>
      </w:r>
      <w:r>
        <w:rPr>
          <w:spacing w:val="-6"/>
          <w:sz w:val="18"/>
        </w:rPr>
        <w:t> </w:t>
      </w:r>
      <w:r>
        <w:rPr>
          <w:sz w:val="18"/>
        </w:rPr>
        <w:t>circulars</w:t>
      </w:r>
      <w:r>
        <w:rPr>
          <w:spacing w:val="-3"/>
          <w:sz w:val="18"/>
        </w:rPr>
        <w:t> </w:t>
      </w:r>
      <w:r>
        <w:rPr>
          <w:sz w:val="18"/>
        </w:rPr>
        <w:t>or</w:t>
      </w:r>
      <w:r>
        <w:rPr>
          <w:spacing w:val="-10"/>
          <w:sz w:val="18"/>
        </w:rPr>
        <w:t> </w:t>
      </w:r>
      <w:r>
        <w:rPr>
          <w:sz w:val="18"/>
        </w:rPr>
        <w:t>notifications</w:t>
      </w:r>
      <w:r>
        <w:rPr>
          <w:spacing w:val="-8"/>
          <w:sz w:val="18"/>
        </w:rPr>
        <w:t> </w:t>
      </w:r>
      <w:r>
        <w:rPr>
          <w:sz w:val="18"/>
        </w:rPr>
        <w:t>released</w:t>
      </w:r>
      <w:r>
        <w:rPr>
          <w:spacing w:val="-4"/>
          <w:sz w:val="18"/>
        </w:rPr>
        <w:t> </w:t>
      </w:r>
      <w:r>
        <w:rPr>
          <w:sz w:val="18"/>
        </w:rPr>
        <w:t>after</w:t>
      </w:r>
      <w:r>
        <w:rPr>
          <w:spacing w:val="-9"/>
          <w:sz w:val="18"/>
        </w:rPr>
        <w:t> </w:t>
      </w:r>
      <w:r>
        <w:rPr>
          <w:sz w:val="18"/>
        </w:rPr>
        <w:t>the date of</w:t>
      </w:r>
      <w:r>
        <w:rPr>
          <w:spacing w:val="-2"/>
          <w:sz w:val="18"/>
        </w:rPr>
        <w:t> </w:t>
      </w:r>
      <w:r>
        <w:rPr>
          <w:sz w:val="18"/>
        </w:rPr>
        <w:t>article.</w:t>
      </w:r>
    </w:p>
    <w:p>
      <w:pPr>
        <w:pStyle w:val="ListParagraph"/>
        <w:numPr>
          <w:ilvl w:val="0"/>
          <w:numId w:val="21"/>
        </w:numPr>
        <w:tabs>
          <w:tab w:pos="1584" w:val="left" w:leader="none"/>
          <w:tab w:pos="1585" w:val="left" w:leader="none"/>
        </w:tabs>
        <w:spacing w:line="230" w:lineRule="auto" w:before="4" w:after="0"/>
        <w:ind w:left="1541" w:right="774" w:hanging="360"/>
        <w:jc w:val="left"/>
        <w:rPr>
          <w:sz w:val="22"/>
        </w:rPr>
      </w:pPr>
      <w:r>
        <w:rPr/>
        <w:tab/>
      </w:r>
      <w:r>
        <w:rPr>
          <w:sz w:val="18"/>
        </w:rPr>
        <w:t>The</w:t>
      </w:r>
      <w:r>
        <w:rPr>
          <w:spacing w:val="-2"/>
          <w:sz w:val="18"/>
        </w:rPr>
        <w:t> </w:t>
      </w:r>
      <w:r>
        <w:rPr>
          <w:sz w:val="18"/>
        </w:rPr>
        <w:t>author</w:t>
      </w:r>
      <w:r>
        <w:rPr>
          <w:spacing w:val="-9"/>
          <w:sz w:val="18"/>
        </w:rPr>
        <w:t> </w:t>
      </w:r>
      <w:r>
        <w:rPr>
          <w:sz w:val="18"/>
        </w:rPr>
        <w:t>will</w:t>
      </w:r>
      <w:r>
        <w:rPr>
          <w:spacing w:val="-2"/>
          <w:sz w:val="18"/>
        </w:rPr>
        <w:t> </w:t>
      </w:r>
      <w:r>
        <w:rPr>
          <w:sz w:val="18"/>
        </w:rPr>
        <w:t>not</w:t>
      </w:r>
      <w:r>
        <w:rPr>
          <w:spacing w:val="-2"/>
          <w:sz w:val="18"/>
        </w:rPr>
        <w:t> </w:t>
      </w:r>
      <w:r>
        <w:rPr>
          <w:spacing w:val="-3"/>
          <w:sz w:val="18"/>
        </w:rPr>
        <w:t>be</w:t>
      </w:r>
      <w:r>
        <w:rPr>
          <w:spacing w:val="-2"/>
          <w:sz w:val="18"/>
        </w:rPr>
        <w:t> </w:t>
      </w:r>
      <w:r>
        <w:rPr>
          <w:sz w:val="18"/>
        </w:rPr>
        <w:t>responsible</w:t>
      </w:r>
      <w:r>
        <w:rPr>
          <w:spacing w:val="-7"/>
          <w:sz w:val="18"/>
        </w:rPr>
        <w:t> </w:t>
      </w:r>
      <w:r>
        <w:rPr>
          <w:sz w:val="18"/>
        </w:rPr>
        <w:t>for</w:t>
      </w:r>
      <w:r>
        <w:rPr>
          <w:spacing w:val="-4"/>
          <w:sz w:val="18"/>
        </w:rPr>
        <w:t> </w:t>
      </w:r>
      <w:r>
        <w:rPr>
          <w:sz w:val="18"/>
        </w:rPr>
        <w:t>any</w:t>
      </w:r>
      <w:r>
        <w:rPr>
          <w:spacing w:val="-8"/>
          <w:sz w:val="18"/>
        </w:rPr>
        <w:t> </w:t>
      </w:r>
      <w:r>
        <w:rPr>
          <w:sz w:val="18"/>
        </w:rPr>
        <w:t>error,</w:t>
      </w:r>
      <w:r>
        <w:rPr>
          <w:spacing w:val="-4"/>
          <w:sz w:val="18"/>
        </w:rPr>
        <w:t> </w:t>
      </w:r>
      <w:r>
        <w:rPr>
          <w:sz w:val="18"/>
        </w:rPr>
        <w:t>omission,</w:t>
      </w:r>
      <w:r>
        <w:rPr>
          <w:spacing w:val="-5"/>
          <w:sz w:val="18"/>
        </w:rPr>
        <w:t> </w:t>
      </w:r>
      <w:r>
        <w:rPr>
          <w:sz w:val="18"/>
        </w:rPr>
        <w:t>commission</w:t>
      </w:r>
      <w:r>
        <w:rPr>
          <w:spacing w:val="-3"/>
          <w:sz w:val="18"/>
        </w:rPr>
        <w:t> and</w:t>
      </w:r>
      <w:r>
        <w:rPr>
          <w:spacing w:val="-2"/>
          <w:sz w:val="18"/>
        </w:rPr>
        <w:t> </w:t>
      </w:r>
      <w:r>
        <w:rPr>
          <w:sz w:val="18"/>
        </w:rPr>
        <w:t>result</w:t>
      </w:r>
      <w:r>
        <w:rPr>
          <w:spacing w:val="-2"/>
          <w:sz w:val="18"/>
        </w:rPr>
        <w:t> </w:t>
      </w:r>
      <w:r>
        <w:rPr>
          <w:spacing w:val="-3"/>
          <w:sz w:val="18"/>
        </w:rPr>
        <w:t>of</w:t>
      </w:r>
      <w:r>
        <w:rPr>
          <w:spacing w:val="-1"/>
          <w:sz w:val="18"/>
        </w:rPr>
        <w:t> </w:t>
      </w:r>
      <w:r>
        <w:rPr>
          <w:sz w:val="18"/>
        </w:rPr>
        <w:t>any</w:t>
      </w:r>
      <w:r>
        <w:rPr>
          <w:spacing w:val="-8"/>
          <w:sz w:val="18"/>
        </w:rPr>
        <w:t> </w:t>
      </w:r>
      <w:r>
        <w:rPr>
          <w:sz w:val="18"/>
        </w:rPr>
        <w:t>action</w:t>
      </w:r>
      <w:r>
        <w:rPr>
          <w:spacing w:val="-8"/>
          <w:sz w:val="18"/>
        </w:rPr>
        <w:t> </w:t>
      </w:r>
      <w:r>
        <w:rPr>
          <w:sz w:val="18"/>
        </w:rPr>
        <w:t>taken</w:t>
      </w:r>
      <w:r>
        <w:rPr>
          <w:spacing w:val="-7"/>
          <w:sz w:val="18"/>
        </w:rPr>
        <w:t> </w:t>
      </w:r>
      <w:r>
        <w:rPr>
          <w:sz w:val="18"/>
        </w:rPr>
        <w:t>by a participant or anyone </w:t>
      </w:r>
      <w:r>
        <w:rPr>
          <w:spacing w:val="-3"/>
          <w:sz w:val="18"/>
        </w:rPr>
        <w:t>on </w:t>
      </w:r>
      <w:r>
        <w:rPr>
          <w:sz w:val="18"/>
        </w:rPr>
        <w:t>the basis </w:t>
      </w:r>
      <w:r>
        <w:rPr>
          <w:spacing w:val="-3"/>
          <w:sz w:val="18"/>
        </w:rPr>
        <w:t>of </w:t>
      </w:r>
      <w:r>
        <w:rPr>
          <w:sz w:val="18"/>
        </w:rPr>
        <w:t>this</w:t>
      </w:r>
      <w:r>
        <w:rPr>
          <w:spacing w:val="-2"/>
          <w:sz w:val="18"/>
        </w:rPr>
        <w:t> </w:t>
      </w:r>
      <w:r>
        <w:rPr>
          <w:sz w:val="18"/>
        </w:rPr>
        <w:t>presentation.</w:t>
      </w:r>
    </w:p>
    <w:sectPr>
      <w:pgSz w:w="11910" w:h="16840"/>
      <w:pgMar w:header="764" w:footer="992" w:top="1620" w:bottom="1180" w:left="134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Arial Rounded MT Bold">
    <w:altName w:val="Arial Rounded MT Bold"/>
    <w:charset w:val="0"/>
    <w:family w:val="swiss"/>
    <w:pitch w:val="variable"/>
  </w:font>
  <w:font w:name="Arial Black">
    <w:altName w:val="Arial Black"/>
    <w:charset w:val="0"/>
    <w:family w:val="swiss"/>
    <w:pitch w:val="variable"/>
  </w:font>
  <w:font w:name="Wingdings">
    <w:altName w:val="Wingdings"/>
    <w:charset w:val="2"/>
    <w:family w:val="auto"/>
    <w:pitch w:val="variable"/>
  </w:font>
  <w:font w:name="Algerian">
    <w:altName w:val="Algerian"/>
    <w:charset w:val="0"/>
    <w:family w:val="decorative"/>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317696" from="70.584pt,778.536011pt" to="524.834pt,778.536011pt" stroked="true" strokeweight=".47998pt" strokecolor="#d9d9d9">
          <v:stroke dashstyle="solid"/>
          <w10:wrap type="none"/>
        </v:line>
      </w:pict>
    </w:r>
    <w:r>
      <w:rPr/>
      <w:pict>
        <v:shape style="position:absolute;margin-left:70.024002pt;margin-top:781.015991pt;width:55.05pt;height:13.05pt;mso-position-horizontal-relative:page;mso-position-vertical-relative:page;z-index:-252316672" type="#_x0000_t202" filled="false" stroked="false">
          <v:textbox inset="0,0,0,0">
            <w:txbxContent>
              <w:p>
                <w:pPr>
                  <w:spacing w:line="245" w:lineRule="exact" w:before="0"/>
                  <w:ind w:left="40" w:right="0" w:firstLine="0"/>
                  <w:jc w:val="left"/>
                  <w:rPr>
                    <w:sz w:val="22"/>
                  </w:rPr>
                </w:pPr>
                <w:r>
                  <w:rPr/>
                  <w:fldChar w:fldCharType="begin"/>
                </w:r>
                <w:r>
                  <w:rPr>
                    <w:b/>
                    <w:sz w:val="22"/>
                  </w:rPr>
                  <w:instrText> PAGE </w:instrText>
                </w:r>
                <w:r>
                  <w:rPr/>
                  <w:fldChar w:fldCharType="separate"/>
                </w:r>
                <w:r>
                  <w:rPr/>
                  <w:t>10</w:t>
                </w:r>
                <w:r>
                  <w:rPr/>
                  <w:fldChar w:fldCharType="end"/>
                </w:r>
                <w:r>
                  <w:rPr>
                    <w:b/>
                    <w:sz w:val="22"/>
                  </w:rPr>
                  <w:t> | </w:t>
                </w:r>
                <w:r>
                  <w:rPr>
                    <w:color w:val="7E7E7E"/>
                    <w:sz w:val="22"/>
                  </w:rPr>
                  <w:t>P a g e</w:t>
                </w:r>
              </w:p>
            </w:txbxContent>
          </v:textbox>
          <w10:wrap type="none"/>
        </v:shape>
      </w:pict>
    </w:r>
    <w:r>
      <w:rPr/>
      <w:pict>
        <v:shape style="position:absolute;margin-left:350.371521pt;margin-top:781.015991pt;width:160.450pt;height:13.05pt;mso-position-horizontal-relative:page;mso-position-vertical-relative:page;z-index:-252315648" type="#_x0000_t202" filled="false" stroked="false">
          <v:textbox inset="0,0,0,0">
            <w:txbxContent>
              <w:p>
                <w:pPr>
                  <w:pStyle w:val="BodyText"/>
                  <w:spacing w:line="245" w:lineRule="exact"/>
                  <w:ind w:left="20"/>
                </w:pPr>
                <w:r>
                  <w:rPr>
                    <w:color w:val="7E7E7E"/>
                  </w:rPr>
                  <w:t>A u t h o r - C A L a l i t G u p t a</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993664">
          <wp:simplePos x="0" y="0"/>
          <wp:positionH relativeFrom="page">
            <wp:posOffset>1323911</wp:posOffset>
          </wp:positionH>
          <wp:positionV relativeFrom="page">
            <wp:posOffset>525398</wp:posOffset>
          </wp:positionV>
          <wp:extent cx="127000" cy="130175"/>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127000" cy="130175"/>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71.024002pt;margin-top:37.190647pt;width:29.6pt;height:18.850pt;mso-position-horizontal-relative:page;mso-position-vertical-relative:page;z-index:-252321792" type="#_x0000_t202" filled="false" stroked="false">
          <v:textbox inset="0,0,0,0">
            <w:txbxContent>
              <w:p>
                <w:pPr>
                  <w:spacing w:line="356" w:lineRule="exact" w:before="0"/>
                  <w:ind w:left="20" w:right="0" w:firstLine="0"/>
                  <w:jc w:val="left"/>
                  <w:rPr>
                    <w:rFonts w:ascii="Algerian"/>
                    <w:sz w:val="30"/>
                  </w:rPr>
                </w:pPr>
                <w:r>
                  <w:rPr>
                    <w:rFonts w:ascii="Algerian"/>
                    <w:color w:val="FF0000"/>
                    <w:sz w:val="30"/>
                  </w:rPr>
                  <w:t>LNG</w:t>
                </w:r>
              </w:p>
            </w:txbxContent>
          </v:textbox>
          <w10:wrap type="none"/>
        </v:shape>
      </w:pict>
    </w:r>
    <w:r>
      <w:rPr/>
      <w:pict>
        <v:shape style="position:absolute;margin-left:118.075668pt;margin-top:37.190647pt;width:90.6pt;height:18.850pt;mso-position-horizontal-relative:page;mso-position-vertical-relative:page;z-index:-252320768" type="#_x0000_t202" filled="false" stroked="false">
          <v:textbox inset="0,0,0,0">
            <w:txbxContent>
              <w:p>
                <w:pPr>
                  <w:spacing w:line="356" w:lineRule="exact" w:before="0"/>
                  <w:ind w:left="20" w:right="0" w:firstLine="0"/>
                  <w:jc w:val="left"/>
                  <w:rPr>
                    <w:rFonts w:ascii="Algerian"/>
                    <w:sz w:val="30"/>
                  </w:rPr>
                </w:pPr>
                <w:r>
                  <w:rPr>
                    <w:rFonts w:ascii="Algerian"/>
                    <w:color w:val="FF0000"/>
                    <w:sz w:val="30"/>
                  </w:rPr>
                  <w:t>Associates</w:t>
                </w:r>
              </w:p>
            </w:txbxContent>
          </v:textbox>
          <w10:wrap type="none"/>
        </v:shape>
      </w:pict>
    </w:r>
    <w:r>
      <w:rPr/>
      <w:pict>
        <v:shape style="position:absolute;margin-left:301.040009pt;margin-top:42.339981pt;width:222pt;height:27.2pt;mso-position-horizontal-relative:page;mso-position-vertical-relative:page;z-index:-252319744" type="#_x0000_t202" filled="false" stroked="false">
          <v:textbox inset="0,0,0,0">
            <w:txbxContent>
              <w:p>
                <w:pPr>
                  <w:pStyle w:val="BodyText"/>
                  <w:spacing w:line="245" w:lineRule="exact"/>
                  <w:ind w:right="63"/>
                  <w:jc w:val="right"/>
                </w:pPr>
                <w:r>
                  <w:rPr/>
                  <w:t>GF, Plot No. 921, Sector-5, Gurugram (Har.)</w:t>
                </w:r>
              </w:p>
              <w:p>
                <w:pPr>
                  <w:pStyle w:val="BodyText"/>
                  <w:spacing w:before="14"/>
                  <w:ind w:right="18"/>
                  <w:jc w:val="right"/>
                </w:pPr>
                <w:r>
                  <w:rPr/>
                  <w:t>0124-2255025, 9953307025, </w:t>
                </w:r>
                <w:hyperlink r:id="rId2">
                  <w:r>
                    <w:rPr>
                      <w:color w:val="0462C1"/>
                      <w:u w:val="single" w:color="0462C1"/>
                    </w:rPr>
                    <w:t>lng.lalit@gmail.com</w:t>
                  </w:r>
                </w:hyperlink>
              </w:p>
            </w:txbxContent>
          </v:textbox>
          <w10:wrap type="none"/>
        </v:shape>
      </w:pict>
    </w:r>
    <w:r>
      <w:rPr/>
      <w:pict>
        <v:shape style="position:absolute;margin-left:71.024002pt;margin-top:56.499985pt;width:105pt;height:13.05pt;mso-position-horizontal-relative:page;mso-position-vertical-relative:page;z-index:-252318720" type="#_x0000_t202" filled="false" stroked="false">
          <v:textbox inset="0,0,0,0">
            <w:txbxContent>
              <w:p>
                <w:pPr>
                  <w:pStyle w:val="BodyText"/>
                  <w:spacing w:line="245" w:lineRule="exact"/>
                  <w:ind w:left="20"/>
                </w:pPr>
                <w:r>
                  <w:rPr>
                    <w:color w:val="00AF50"/>
                  </w:rPr>
                  <w:t>Chartered Accountants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001856">
          <wp:simplePos x="0" y="0"/>
          <wp:positionH relativeFrom="page">
            <wp:posOffset>1323911</wp:posOffset>
          </wp:positionH>
          <wp:positionV relativeFrom="page">
            <wp:posOffset>525398</wp:posOffset>
          </wp:positionV>
          <wp:extent cx="127000" cy="130175"/>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127000" cy="130175"/>
                  </a:xfrm>
                  <a:prstGeom prst="rect">
                    <a:avLst/>
                  </a:prstGeom>
                </pic:spPr>
              </pic:pic>
            </a:graphicData>
          </a:graphic>
        </wp:anchor>
      </w:drawing>
    </w:r>
    <w:r>
      <w:rPr/>
      <w:pict>
        <v:line style="position:absolute;mso-position-horizontal-relative:page;mso-position-vertical-relative:page;z-index:-252313600" from="72.024002pt,80.829048pt" to="521.028419pt,80.829048pt" stroked="true" strokeweight=".71691pt" strokecolor="#000000">
          <v:stroke dashstyle="solid"/>
          <w10:wrap type="none"/>
        </v:line>
      </w:pict>
    </w:r>
    <w:r>
      <w:rPr/>
      <w:pict>
        <v:shape style="position:absolute;margin-left:71.024002pt;margin-top:37.190647pt;width:29.6pt;height:18.850pt;mso-position-horizontal-relative:page;mso-position-vertical-relative:page;z-index:-252312576" type="#_x0000_t202" filled="false" stroked="false">
          <v:textbox inset="0,0,0,0">
            <w:txbxContent>
              <w:p>
                <w:pPr>
                  <w:spacing w:line="356" w:lineRule="exact" w:before="0"/>
                  <w:ind w:left="20" w:right="0" w:firstLine="0"/>
                  <w:jc w:val="left"/>
                  <w:rPr>
                    <w:rFonts w:ascii="Algerian"/>
                    <w:sz w:val="30"/>
                  </w:rPr>
                </w:pPr>
                <w:r>
                  <w:rPr>
                    <w:rFonts w:ascii="Algerian"/>
                    <w:color w:val="FF0000"/>
                    <w:sz w:val="30"/>
                  </w:rPr>
                  <w:t>LNG</w:t>
                </w:r>
              </w:p>
            </w:txbxContent>
          </v:textbox>
          <w10:wrap type="none"/>
        </v:shape>
      </w:pict>
    </w:r>
    <w:r>
      <w:rPr/>
      <w:pict>
        <v:shape style="position:absolute;margin-left:118.075668pt;margin-top:37.190647pt;width:90.6pt;height:18.850pt;mso-position-horizontal-relative:page;mso-position-vertical-relative:page;z-index:-252311552" type="#_x0000_t202" filled="false" stroked="false">
          <v:textbox inset="0,0,0,0">
            <w:txbxContent>
              <w:p>
                <w:pPr>
                  <w:spacing w:line="356" w:lineRule="exact" w:before="0"/>
                  <w:ind w:left="20" w:right="0" w:firstLine="0"/>
                  <w:jc w:val="left"/>
                  <w:rPr>
                    <w:rFonts w:ascii="Algerian"/>
                    <w:sz w:val="30"/>
                  </w:rPr>
                </w:pPr>
                <w:r>
                  <w:rPr>
                    <w:rFonts w:ascii="Algerian"/>
                    <w:color w:val="FF0000"/>
                    <w:sz w:val="30"/>
                  </w:rPr>
                  <w:t>Associates</w:t>
                </w:r>
              </w:p>
            </w:txbxContent>
          </v:textbox>
          <w10:wrap type="none"/>
        </v:shape>
      </w:pict>
    </w:r>
    <w:r>
      <w:rPr/>
      <w:pict>
        <v:shape style="position:absolute;margin-left:301.040009pt;margin-top:42.339981pt;width:222pt;height:27.2pt;mso-position-horizontal-relative:page;mso-position-vertical-relative:page;z-index:-252310528" type="#_x0000_t202" filled="false" stroked="false">
          <v:textbox inset="0,0,0,0">
            <w:txbxContent>
              <w:p>
                <w:pPr>
                  <w:pStyle w:val="BodyText"/>
                  <w:spacing w:line="245" w:lineRule="exact"/>
                  <w:ind w:right="63"/>
                  <w:jc w:val="right"/>
                </w:pPr>
                <w:r>
                  <w:rPr/>
                  <w:t>GF, Plot No. 921, Sector-5, Gurugram (Har.)</w:t>
                </w:r>
              </w:p>
              <w:p>
                <w:pPr>
                  <w:pStyle w:val="BodyText"/>
                  <w:spacing w:before="14"/>
                  <w:ind w:right="18"/>
                  <w:jc w:val="right"/>
                </w:pPr>
                <w:r>
                  <w:rPr/>
                  <w:t>0124-2255025, 9953307025, </w:t>
                </w:r>
                <w:hyperlink r:id="rId2">
                  <w:r>
                    <w:rPr>
                      <w:color w:val="0462C1"/>
                      <w:u w:val="single" w:color="0462C1"/>
                    </w:rPr>
                    <w:t>lng.lalit@gmail.com</w:t>
                  </w:r>
                </w:hyperlink>
              </w:p>
            </w:txbxContent>
          </v:textbox>
          <w10:wrap type="none"/>
        </v:shape>
      </w:pict>
    </w:r>
    <w:r>
      <w:rPr/>
      <w:pict>
        <v:shape style="position:absolute;margin-left:71.024002pt;margin-top:56.499985pt;width:105pt;height:13.05pt;mso-position-horizontal-relative:page;mso-position-vertical-relative:page;z-index:-252309504" type="#_x0000_t202" filled="false" stroked="false">
          <v:textbox inset="0,0,0,0">
            <w:txbxContent>
              <w:p>
                <w:pPr>
                  <w:pStyle w:val="BodyText"/>
                  <w:spacing w:line="245" w:lineRule="exact"/>
                  <w:ind w:left="20"/>
                </w:pPr>
                <w:r>
                  <w:rPr>
                    <w:color w:val="00AF50"/>
                  </w:rPr>
                  <w:t>Chartered Accountants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0"/>
      <w:numFmt w:val="bullet"/>
      <w:lvlText w:val="-"/>
      <w:lvlJc w:val="left"/>
      <w:pPr>
        <w:ind w:left="1541" w:hanging="360"/>
      </w:pPr>
      <w:rPr>
        <w:rFonts w:hint="default"/>
        <w:w w:val="100"/>
        <w:lang w:val="en-US" w:eastAsia="en-US" w:bidi="en-US"/>
      </w:rPr>
    </w:lvl>
    <w:lvl w:ilvl="1">
      <w:start w:val="0"/>
      <w:numFmt w:val="bullet"/>
      <w:lvlText w:val="•"/>
      <w:lvlJc w:val="left"/>
      <w:pPr>
        <w:ind w:left="2376" w:hanging="360"/>
      </w:pPr>
      <w:rPr>
        <w:rFonts w:hint="default"/>
        <w:lang w:val="en-US" w:eastAsia="en-US" w:bidi="en-US"/>
      </w:rPr>
    </w:lvl>
    <w:lvl w:ilvl="2">
      <w:start w:val="0"/>
      <w:numFmt w:val="bullet"/>
      <w:lvlText w:val="•"/>
      <w:lvlJc w:val="left"/>
      <w:pPr>
        <w:ind w:left="3212" w:hanging="360"/>
      </w:pPr>
      <w:rPr>
        <w:rFonts w:hint="default"/>
        <w:lang w:val="en-US" w:eastAsia="en-US" w:bidi="en-US"/>
      </w:rPr>
    </w:lvl>
    <w:lvl w:ilvl="3">
      <w:start w:val="0"/>
      <w:numFmt w:val="bullet"/>
      <w:lvlText w:val="•"/>
      <w:lvlJc w:val="left"/>
      <w:pPr>
        <w:ind w:left="4049" w:hanging="360"/>
      </w:pPr>
      <w:rPr>
        <w:rFonts w:hint="default"/>
        <w:lang w:val="en-US" w:eastAsia="en-US" w:bidi="en-US"/>
      </w:rPr>
    </w:lvl>
    <w:lvl w:ilvl="4">
      <w:start w:val="0"/>
      <w:numFmt w:val="bullet"/>
      <w:lvlText w:val="•"/>
      <w:lvlJc w:val="left"/>
      <w:pPr>
        <w:ind w:left="4885" w:hanging="360"/>
      </w:pPr>
      <w:rPr>
        <w:rFonts w:hint="default"/>
        <w:lang w:val="en-US" w:eastAsia="en-US" w:bidi="en-US"/>
      </w:rPr>
    </w:lvl>
    <w:lvl w:ilvl="5">
      <w:start w:val="0"/>
      <w:numFmt w:val="bullet"/>
      <w:lvlText w:val="•"/>
      <w:lvlJc w:val="left"/>
      <w:pPr>
        <w:ind w:left="5722" w:hanging="360"/>
      </w:pPr>
      <w:rPr>
        <w:rFonts w:hint="default"/>
        <w:lang w:val="en-US" w:eastAsia="en-US" w:bidi="en-US"/>
      </w:rPr>
    </w:lvl>
    <w:lvl w:ilvl="6">
      <w:start w:val="0"/>
      <w:numFmt w:val="bullet"/>
      <w:lvlText w:val="•"/>
      <w:lvlJc w:val="left"/>
      <w:pPr>
        <w:ind w:left="6558" w:hanging="360"/>
      </w:pPr>
      <w:rPr>
        <w:rFonts w:hint="default"/>
        <w:lang w:val="en-US" w:eastAsia="en-US" w:bidi="en-US"/>
      </w:rPr>
    </w:lvl>
    <w:lvl w:ilvl="7">
      <w:start w:val="0"/>
      <w:numFmt w:val="bullet"/>
      <w:lvlText w:val="•"/>
      <w:lvlJc w:val="left"/>
      <w:pPr>
        <w:ind w:left="7394" w:hanging="360"/>
      </w:pPr>
      <w:rPr>
        <w:rFonts w:hint="default"/>
        <w:lang w:val="en-US" w:eastAsia="en-US" w:bidi="en-US"/>
      </w:rPr>
    </w:lvl>
    <w:lvl w:ilvl="8">
      <w:start w:val="0"/>
      <w:numFmt w:val="bullet"/>
      <w:lvlText w:val="•"/>
      <w:lvlJc w:val="left"/>
      <w:pPr>
        <w:ind w:left="8231" w:hanging="360"/>
      </w:pPr>
      <w:rPr>
        <w:rFonts w:hint="default"/>
        <w:lang w:val="en-US" w:eastAsia="en-US" w:bidi="en-US"/>
      </w:rPr>
    </w:lvl>
  </w:abstractNum>
  <w:abstractNum w:abstractNumId="19">
    <w:multiLevelType w:val="hybridMultilevel"/>
    <w:lvl w:ilvl="0">
      <w:start w:val="1"/>
      <w:numFmt w:val="decimal"/>
      <w:lvlText w:val="%1."/>
      <w:lvlJc w:val="left"/>
      <w:pPr>
        <w:ind w:left="821" w:hanging="361"/>
        <w:jc w:val="left"/>
      </w:pPr>
      <w:rPr>
        <w:rFonts w:hint="default" w:ascii="Calibri" w:hAnsi="Calibri" w:eastAsia="Calibri" w:cs="Calibri"/>
        <w:spacing w:val="-2"/>
        <w:w w:val="100"/>
        <w:sz w:val="22"/>
        <w:szCs w:val="22"/>
        <w:lang w:val="en-US" w:eastAsia="en-US" w:bidi="en-US"/>
      </w:rPr>
    </w:lvl>
    <w:lvl w:ilvl="1">
      <w:start w:val="1"/>
      <w:numFmt w:val="lowerLetter"/>
      <w:lvlText w:val="(%2)"/>
      <w:lvlJc w:val="left"/>
      <w:pPr>
        <w:ind w:left="1901" w:hanging="361"/>
        <w:jc w:val="left"/>
      </w:pPr>
      <w:rPr>
        <w:rFonts w:hint="default" w:ascii="Calibri" w:hAnsi="Calibri" w:eastAsia="Calibri" w:cs="Calibri"/>
        <w:spacing w:val="-1"/>
        <w:w w:val="100"/>
        <w:sz w:val="22"/>
        <w:szCs w:val="22"/>
        <w:lang w:val="en-US" w:eastAsia="en-US" w:bidi="en-US"/>
      </w:rPr>
    </w:lvl>
    <w:lvl w:ilvl="2">
      <w:start w:val="0"/>
      <w:numFmt w:val="bullet"/>
      <w:lvlText w:val="•"/>
      <w:lvlJc w:val="left"/>
      <w:pPr>
        <w:ind w:left="2260" w:hanging="361"/>
      </w:pPr>
      <w:rPr>
        <w:rFonts w:hint="default"/>
        <w:lang w:val="en-US" w:eastAsia="en-US" w:bidi="en-US"/>
      </w:rPr>
    </w:lvl>
    <w:lvl w:ilvl="3">
      <w:start w:val="0"/>
      <w:numFmt w:val="bullet"/>
      <w:lvlText w:val="•"/>
      <w:lvlJc w:val="left"/>
      <w:pPr>
        <w:ind w:left="3215" w:hanging="361"/>
      </w:pPr>
      <w:rPr>
        <w:rFonts w:hint="default"/>
        <w:lang w:val="en-US" w:eastAsia="en-US" w:bidi="en-US"/>
      </w:rPr>
    </w:lvl>
    <w:lvl w:ilvl="4">
      <w:start w:val="0"/>
      <w:numFmt w:val="bullet"/>
      <w:lvlText w:val="•"/>
      <w:lvlJc w:val="left"/>
      <w:pPr>
        <w:ind w:left="4171" w:hanging="361"/>
      </w:pPr>
      <w:rPr>
        <w:rFonts w:hint="default"/>
        <w:lang w:val="en-US" w:eastAsia="en-US" w:bidi="en-US"/>
      </w:rPr>
    </w:lvl>
    <w:lvl w:ilvl="5">
      <w:start w:val="0"/>
      <w:numFmt w:val="bullet"/>
      <w:lvlText w:val="•"/>
      <w:lvlJc w:val="left"/>
      <w:pPr>
        <w:ind w:left="5126" w:hanging="361"/>
      </w:pPr>
      <w:rPr>
        <w:rFonts w:hint="default"/>
        <w:lang w:val="en-US" w:eastAsia="en-US" w:bidi="en-US"/>
      </w:rPr>
    </w:lvl>
    <w:lvl w:ilvl="6">
      <w:start w:val="0"/>
      <w:numFmt w:val="bullet"/>
      <w:lvlText w:val="•"/>
      <w:lvlJc w:val="left"/>
      <w:pPr>
        <w:ind w:left="6082" w:hanging="361"/>
      </w:pPr>
      <w:rPr>
        <w:rFonts w:hint="default"/>
        <w:lang w:val="en-US" w:eastAsia="en-US" w:bidi="en-US"/>
      </w:rPr>
    </w:lvl>
    <w:lvl w:ilvl="7">
      <w:start w:val="0"/>
      <w:numFmt w:val="bullet"/>
      <w:lvlText w:val="•"/>
      <w:lvlJc w:val="left"/>
      <w:pPr>
        <w:ind w:left="7037" w:hanging="361"/>
      </w:pPr>
      <w:rPr>
        <w:rFonts w:hint="default"/>
        <w:lang w:val="en-US" w:eastAsia="en-US" w:bidi="en-US"/>
      </w:rPr>
    </w:lvl>
    <w:lvl w:ilvl="8">
      <w:start w:val="0"/>
      <w:numFmt w:val="bullet"/>
      <w:lvlText w:val="•"/>
      <w:lvlJc w:val="left"/>
      <w:pPr>
        <w:ind w:left="7993" w:hanging="361"/>
      </w:pPr>
      <w:rPr>
        <w:rFonts w:hint="default"/>
        <w:lang w:val="en-US" w:eastAsia="en-US" w:bidi="en-US"/>
      </w:rPr>
    </w:lvl>
  </w:abstractNum>
  <w:abstractNum w:abstractNumId="18">
    <w:multiLevelType w:val="hybridMultilevel"/>
    <w:lvl w:ilvl="0">
      <w:start w:val="1"/>
      <w:numFmt w:val="decimal"/>
      <w:lvlText w:val="%1."/>
      <w:lvlJc w:val="left"/>
      <w:pPr>
        <w:ind w:left="1181" w:hanging="360"/>
        <w:jc w:val="left"/>
      </w:pPr>
      <w:rPr>
        <w:rFonts w:hint="default" w:ascii="Calibri" w:hAnsi="Calibri" w:eastAsia="Calibri" w:cs="Calibri"/>
        <w:spacing w:val="-2"/>
        <w:w w:val="100"/>
        <w:sz w:val="22"/>
        <w:szCs w:val="22"/>
        <w:lang w:val="en-US" w:eastAsia="en-US" w:bidi="en-US"/>
      </w:rPr>
    </w:lvl>
    <w:lvl w:ilvl="1">
      <w:start w:val="0"/>
      <w:numFmt w:val="bullet"/>
      <w:lvlText w:val="-"/>
      <w:lvlJc w:val="left"/>
      <w:pPr>
        <w:ind w:left="1541" w:hanging="360"/>
      </w:pPr>
      <w:rPr>
        <w:rFonts w:hint="default" w:ascii="Calibri" w:hAnsi="Calibri" w:eastAsia="Calibri" w:cs="Calibri"/>
        <w:w w:val="100"/>
        <w:sz w:val="22"/>
        <w:szCs w:val="22"/>
        <w:lang w:val="en-US" w:eastAsia="en-US" w:bidi="en-US"/>
      </w:rPr>
    </w:lvl>
    <w:lvl w:ilvl="2">
      <w:start w:val="0"/>
      <w:numFmt w:val="bullet"/>
      <w:lvlText w:val="•"/>
      <w:lvlJc w:val="left"/>
      <w:pPr>
        <w:ind w:left="2469" w:hanging="360"/>
      </w:pPr>
      <w:rPr>
        <w:rFonts w:hint="default"/>
        <w:lang w:val="en-US" w:eastAsia="en-US" w:bidi="en-US"/>
      </w:rPr>
    </w:lvl>
    <w:lvl w:ilvl="3">
      <w:start w:val="0"/>
      <w:numFmt w:val="bullet"/>
      <w:lvlText w:val="•"/>
      <w:lvlJc w:val="left"/>
      <w:pPr>
        <w:ind w:left="3398" w:hanging="360"/>
      </w:pPr>
      <w:rPr>
        <w:rFonts w:hint="default"/>
        <w:lang w:val="en-US" w:eastAsia="en-US" w:bidi="en-US"/>
      </w:rPr>
    </w:lvl>
    <w:lvl w:ilvl="4">
      <w:start w:val="0"/>
      <w:numFmt w:val="bullet"/>
      <w:lvlText w:val="•"/>
      <w:lvlJc w:val="left"/>
      <w:pPr>
        <w:ind w:left="4328" w:hanging="360"/>
      </w:pPr>
      <w:rPr>
        <w:rFonts w:hint="default"/>
        <w:lang w:val="en-US" w:eastAsia="en-US" w:bidi="en-US"/>
      </w:rPr>
    </w:lvl>
    <w:lvl w:ilvl="5">
      <w:start w:val="0"/>
      <w:numFmt w:val="bullet"/>
      <w:lvlText w:val="•"/>
      <w:lvlJc w:val="left"/>
      <w:pPr>
        <w:ind w:left="5257" w:hanging="360"/>
      </w:pPr>
      <w:rPr>
        <w:rFonts w:hint="default"/>
        <w:lang w:val="en-US" w:eastAsia="en-US" w:bidi="en-US"/>
      </w:rPr>
    </w:lvl>
    <w:lvl w:ilvl="6">
      <w:start w:val="0"/>
      <w:numFmt w:val="bullet"/>
      <w:lvlText w:val="•"/>
      <w:lvlJc w:val="left"/>
      <w:pPr>
        <w:ind w:left="6186" w:hanging="360"/>
      </w:pPr>
      <w:rPr>
        <w:rFonts w:hint="default"/>
        <w:lang w:val="en-US" w:eastAsia="en-US" w:bidi="en-US"/>
      </w:rPr>
    </w:lvl>
    <w:lvl w:ilvl="7">
      <w:start w:val="0"/>
      <w:numFmt w:val="bullet"/>
      <w:lvlText w:val="•"/>
      <w:lvlJc w:val="left"/>
      <w:pPr>
        <w:ind w:left="7116" w:hanging="360"/>
      </w:pPr>
      <w:rPr>
        <w:rFonts w:hint="default"/>
        <w:lang w:val="en-US" w:eastAsia="en-US" w:bidi="en-US"/>
      </w:rPr>
    </w:lvl>
    <w:lvl w:ilvl="8">
      <w:start w:val="0"/>
      <w:numFmt w:val="bullet"/>
      <w:lvlText w:val="•"/>
      <w:lvlJc w:val="left"/>
      <w:pPr>
        <w:ind w:left="8045" w:hanging="360"/>
      </w:pPr>
      <w:rPr>
        <w:rFonts w:hint="default"/>
        <w:lang w:val="en-US" w:eastAsia="en-US" w:bidi="en-US"/>
      </w:rPr>
    </w:lvl>
  </w:abstractNum>
  <w:abstractNum w:abstractNumId="17">
    <w:multiLevelType w:val="hybridMultilevel"/>
    <w:lvl w:ilvl="0">
      <w:start w:val="1"/>
      <w:numFmt w:val="decimal"/>
      <w:lvlText w:val="(%1)"/>
      <w:lvlJc w:val="left"/>
      <w:pPr>
        <w:ind w:left="100" w:hanging="288"/>
        <w:jc w:val="left"/>
      </w:pPr>
      <w:rPr>
        <w:rFonts w:hint="default" w:ascii="Calibri" w:hAnsi="Calibri" w:eastAsia="Calibri" w:cs="Calibri"/>
        <w:spacing w:val="-2"/>
        <w:w w:val="100"/>
        <w:sz w:val="22"/>
        <w:szCs w:val="22"/>
        <w:lang w:val="en-US" w:eastAsia="en-US" w:bidi="en-US"/>
      </w:rPr>
    </w:lvl>
    <w:lvl w:ilvl="1">
      <w:start w:val="0"/>
      <w:numFmt w:val="bullet"/>
      <w:lvlText w:val="-"/>
      <w:lvlJc w:val="left"/>
      <w:pPr>
        <w:ind w:left="1541" w:hanging="720"/>
      </w:pPr>
      <w:rPr>
        <w:rFonts w:hint="default" w:ascii="Calibri" w:hAnsi="Calibri" w:eastAsia="Calibri" w:cs="Calibri"/>
        <w:w w:val="100"/>
        <w:sz w:val="22"/>
        <w:szCs w:val="22"/>
        <w:lang w:val="en-US" w:eastAsia="en-US" w:bidi="en-US"/>
      </w:rPr>
    </w:lvl>
    <w:lvl w:ilvl="2">
      <w:start w:val="0"/>
      <w:numFmt w:val="bullet"/>
      <w:lvlText w:val="•"/>
      <w:lvlJc w:val="left"/>
      <w:pPr>
        <w:ind w:left="2469" w:hanging="720"/>
      </w:pPr>
      <w:rPr>
        <w:rFonts w:hint="default"/>
        <w:lang w:val="en-US" w:eastAsia="en-US" w:bidi="en-US"/>
      </w:rPr>
    </w:lvl>
    <w:lvl w:ilvl="3">
      <w:start w:val="0"/>
      <w:numFmt w:val="bullet"/>
      <w:lvlText w:val="•"/>
      <w:lvlJc w:val="left"/>
      <w:pPr>
        <w:ind w:left="3398" w:hanging="720"/>
      </w:pPr>
      <w:rPr>
        <w:rFonts w:hint="default"/>
        <w:lang w:val="en-US" w:eastAsia="en-US" w:bidi="en-US"/>
      </w:rPr>
    </w:lvl>
    <w:lvl w:ilvl="4">
      <w:start w:val="0"/>
      <w:numFmt w:val="bullet"/>
      <w:lvlText w:val="•"/>
      <w:lvlJc w:val="left"/>
      <w:pPr>
        <w:ind w:left="4328" w:hanging="720"/>
      </w:pPr>
      <w:rPr>
        <w:rFonts w:hint="default"/>
        <w:lang w:val="en-US" w:eastAsia="en-US" w:bidi="en-US"/>
      </w:rPr>
    </w:lvl>
    <w:lvl w:ilvl="5">
      <w:start w:val="0"/>
      <w:numFmt w:val="bullet"/>
      <w:lvlText w:val="•"/>
      <w:lvlJc w:val="left"/>
      <w:pPr>
        <w:ind w:left="5257" w:hanging="720"/>
      </w:pPr>
      <w:rPr>
        <w:rFonts w:hint="default"/>
        <w:lang w:val="en-US" w:eastAsia="en-US" w:bidi="en-US"/>
      </w:rPr>
    </w:lvl>
    <w:lvl w:ilvl="6">
      <w:start w:val="0"/>
      <w:numFmt w:val="bullet"/>
      <w:lvlText w:val="•"/>
      <w:lvlJc w:val="left"/>
      <w:pPr>
        <w:ind w:left="6186" w:hanging="720"/>
      </w:pPr>
      <w:rPr>
        <w:rFonts w:hint="default"/>
        <w:lang w:val="en-US" w:eastAsia="en-US" w:bidi="en-US"/>
      </w:rPr>
    </w:lvl>
    <w:lvl w:ilvl="7">
      <w:start w:val="0"/>
      <w:numFmt w:val="bullet"/>
      <w:lvlText w:val="•"/>
      <w:lvlJc w:val="left"/>
      <w:pPr>
        <w:ind w:left="7116" w:hanging="720"/>
      </w:pPr>
      <w:rPr>
        <w:rFonts w:hint="default"/>
        <w:lang w:val="en-US" w:eastAsia="en-US" w:bidi="en-US"/>
      </w:rPr>
    </w:lvl>
    <w:lvl w:ilvl="8">
      <w:start w:val="0"/>
      <w:numFmt w:val="bullet"/>
      <w:lvlText w:val="•"/>
      <w:lvlJc w:val="left"/>
      <w:pPr>
        <w:ind w:left="8045" w:hanging="720"/>
      </w:pPr>
      <w:rPr>
        <w:rFonts w:hint="default"/>
        <w:lang w:val="en-US" w:eastAsia="en-US" w:bidi="en-US"/>
      </w:rPr>
    </w:lvl>
  </w:abstractNum>
  <w:abstractNum w:abstractNumId="16">
    <w:multiLevelType w:val="hybridMultilevel"/>
    <w:lvl w:ilvl="0">
      <w:start w:val="1"/>
      <w:numFmt w:val="decimal"/>
      <w:lvlText w:val="(%1)"/>
      <w:lvlJc w:val="left"/>
      <w:pPr>
        <w:ind w:left="1181" w:hanging="360"/>
        <w:jc w:val="left"/>
      </w:pPr>
      <w:rPr>
        <w:rFonts w:hint="default" w:ascii="Calibri" w:hAnsi="Calibri" w:eastAsia="Calibri" w:cs="Calibri"/>
        <w:color w:val="006FC0"/>
        <w:spacing w:val="-2"/>
        <w:w w:val="100"/>
        <w:sz w:val="22"/>
        <w:szCs w:val="22"/>
        <w:lang w:val="en-US" w:eastAsia="en-US" w:bidi="en-US"/>
      </w:rPr>
    </w:lvl>
    <w:lvl w:ilvl="1">
      <w:start w:val="1"/>
      <w:numFmt w:val="lowerLetter"/>
      <w:lvlText w:val="(%2)"/>
      <w:lvlJc w:val="left"/>
      <w:pPr>
        <w:ind w:left="1901" w:hanging="361"/>
        <w:jc w:val="left"/>
      </w:pPr>
      <w:rPr>
        <w:rFonts w:hint="default" w:ascii="Calibri" w:hAnsi="Calibri" w:eastAsia="Calibri" w:cs="Calibri"/>
        <w:color w:val="006FC0"/>
        <w:spacing w:val="-1"/>
        <w:w w:val="100"/>
        <w:sz w:val="22"/>
        <w:szCs w:val="22"/>
        <w:lang w:val="en-US" w:eastAsia="en-US" w:bidi="en-US"/>
      </w:rPr>
    </w:lvl>
    <w:lvl w:ilvl="2">
      <w:start w:val="1"/>
      <w:numFmt w:val="lowerLetter"/>
      <w:lvlText w:val="%3."/>
      <w:lvlJc w:val="left"/>
      <w:pPr>
        <w:ind w:left="3342" w:hanging="361"/>
        <w:jc w:val="left"/>
      </w:pPr>
      <w:rPr>
        <w:rFonts w:hint="default" w:ascii="Calibri" w:hAnsi="Calibri" w:eastAsia="Calibri" w:cs="Calibri"/>
        <w:color w:val="006FC0"/>
        <w:spacing w:val="-1"/>
        <w:w w:val="100"/>
        <w:sz w:val="22"/>
        <w:szCs w:val="22"/>
        <w:lang w:val="en-US" w:eastAsia="en-US" w:bidi="en-US"/>
      </w:rPr>
    </w:lvl>
    <w:lvl w:ilvl="3">
      <w:start w:val="0"/>
      <w:numFmt w:val="bullet"/>
      <w:lvlText w:val="•"/>
      <w:lvlJc w:val="left"/>
      <w:pPr>
        <w:ind w:left="4160" w:hanging="361"/>
      </w:pPr>
      <w:rPr>
        <w:rFonts w:hint="default"/>
        <w:lang w:val="en-US" w:eastAsia="en-US" w:bidi="en-US"/>
      </w:rPr>
    </w:lvl>
    <w:lvl w:ilvl="4">
      <w:start w:val="0"/>
      <w:numFmt w:val="bullet"/>
      <w:lvlText w:val="•"/>
      <w:lvlJc w:val="left"/>
      <w:pPr>
        <w:ind w:left="4981" w:hanging="361"/>
      </w:pPr>
      <w:rPr>
        <w:rFonts w:hint="default"/>
        <w:lang w:val="en-US" w:eastAsia="en-US" w:bidi="en-US"/>
      </w:rPr>
    </w:lvl>
    <w:lvl w:ilvl="5">
      <w:start w:val="0"/>
      <w:numFmt w:val="bullet"/>
      <w:lvlText w:val="•"/>
      <w:lvlJc w:val="left"/>
      <w:pPr>
        <w:ind w:left="5801" w:hanging="361"/>
      </w:pPr>
      <w:rPr>
        <w:rFonts w:hint="default"/>
        <w:lang w:val="en-US" w:eastAsia="en-US" w:bidi="en-US"/>
      </w:rPr>
    </w:lvl>
    <w:lvl w:ilvl="6">
      <w:start w:val="0"/>
      <w:numFmt w:val="bullet"/>
      <w:lvlText w:val="•"/>
      <w:lvlJc w:val="left"/>
      <w:pPr>
        <w:ind w:left="6622" w:hanging="361"/>
      </w:pPr>
      <w:rPr>
        <w:rFonts w:hint="default"/>
        <w:lang w:val="en-US" w:eastAsia="en-US" w:bidi="en-US"/>
      </w:rPr>
    </w:lvl>
    <w:lvl w:ilvl="7">
      <w:start w:val="0"/>
      <w:numFmt w:val="bullet"/>
      <w:lvlText w:val="•"/>
      <w:lvlJc w:val="left"/>
      <w:pPr>
        <w:ind w:left="7442" w:hanging="361"/>
      </w:pPr>
      <w:rPr>
        <w:rFonts w:hint="default"/>
        <w:lang w:val="en-US" w:eastAsia="en-US" w:bidi="en-US"/>
      </w:rPr>
    </w:lvl>
    <w:lvl w:ilvl="8">
      <w:start w:val="0"/>
      <w:numFmt w:val="bullet"/>
      <w:lvlText w:val="•"/>
      <w:lvlJc w:val="left"/>
      <w:pPr>
        <w:ind w:left="8263" w:hanging="361"/>
      </w:pPr>
      <w:rPr>
        <w:rFonts w:hint="default"/>
        <w:lang w:val="en-US" w:eastAsia="en-US" w:bidi="en-US"/>
      </w:rPr>
    </w:lvl>
  </w:abstractNum>
  <w:abstractNum w:abstractNumId="15">
    <w:multiLevelType w:val="hybridMultilevel"/>
    <w:lvl w:ilvl="0">
      <w:start w:val="1"/>
      <w:numFmt w:val="lowerLetter"/>
      <w:lvlText w:val="(%1)"/>
      <w:lvlJc w:val="left"/>
      <w:pPr>
        <w:ind w:left="1901" w:hanging="361"/>
        <w:jc w:val="left"/>
      </w:pPr>
      <w:rPr>
        <w:rFonts w:hint="default" w:ascii="Calibri" w:hAnsi="Calibri" w:eastAsia="Calibri" w:cs="Calibri"/>
        <w:color w:val="006FC0"/>
        <w:spacing w:val="-1"/>
        <w:w w:val="100"/>
        <w:sz w:val="22"/>
        <w:szCs w:val="22"/>
        <w:lang w:val="en-US" w:eastAsia="en-US" w:bidi="en-US"/>
      </w:rPr>
    </w:lvl>
    <w:lvl w:ilvl="1">
      <w:start w:val="0"/>
      <w:numFmt w:val="bullet"/>
      <w:lvlText w:val=""/>
      <w:lvlJc w:val="left"/>
      <w:pPr>
        <w:ind w:left="2981" w:hanging="360"/>
      </w:pPr>
      <w:rPr>
        <w:rFonts w:hint="default" w:ascii="Wingdings" w:hAnsi="Wingdings" w:eastAsia="Wingdings" w:cs="Wingdings"/>
        <w:color w:val="006FC0"/>
        <w:w w:val="100"/>
        <w:sz w:val="22"/>
        <w:szCs w:val="22"/>
        <w:lang w:val="en-US" w:eastAsia="en-US" w:bidi="en-US"/>
      </w:rPr>
    </w:lvl>
    <w:lvl w:ilvl="2">
      <w:start w:val="0"/>
      <w:numFmt w:val="bullet"/>
      <w:lvlText w:val="•"/>
      <w:lvlJc w:val="left"/>
      <w:pPr>
        <w:ind w:left="3749" w:hanging="360"/>
      </w:pPr>
      <w:rPr>
        <w:rFonts w:hint="default"/>
        <w:lang w:val="en-US" w:eastAsia="en-US" w:bidi="en-US"/>
      </w:rPr>
    </w:lvl>
    <w:lvl w:ilvl="3">
      <w:start w:val="0"/>
      <w:numFmt w:val="bullet"/>
      <w:lvlText w:val="•"/>
      <w:lvlJc w:val="left"/>
      <w:pPr>
        <w:ind w:left="4518" w:hanging="360"/>
      </w:pPr>
      <w:rPr>
        <w:rFonts w:hint="default"/>
        <w:lang w:val="en-US" w:eastAsia="en-US" w:bidi="en-US"/>
      </w:rPr>
    </w:lvl>
    <w:lvl w:ilvl="4">
      <w:start w:val="0"/>
      <w:numFmt w:val="bullet"/>
      <w:lvlText w:val="•"/>
      <w:lvlJc w:val="left"/>
      <w:pPr>
        <w:ind w:left="5288" w:hanging="360"/>
      </w:pPr>
      <w:rPr>
        <w:rFonts w:hint="default"/>
        <w:lang w:val="en-US" w:eastAsia="en-US" w:bidi="en-US"/>
      </w:rPr>
    </w:lvl>
    <w:lvl w:ilvl="5">
      <w:start w:val="0"/>
      <w:numFmt w:val="bullet"/>
      <w:lvlText w:val="•"/>
      <w:lvlJc w:val="left"/>
      <w:pPr>
        <w:ind w:left="6057" w:hanging="360"/>
      </w:pPr>
      <w:rPr>
        <w:rFonts w:hint="default"/>
        <w:lang w:val="en-US" w:eastAsia="en-US" w:bidi="en-US"/>
      </w:rPr>
    </w:lvl>
    <w:lvl w:ilvl="6">
      <w:start w:val="0"/>
      <w:numFmt w:val="bullet"/>
      <w:lvlText w:val="•"/>
      <w:lvlJc w:val="left"/>
      <w:pPr>
        <w:ind w:left="6826" w:hanging="360"/>
      </w:pPr>
      <w:rPr>
        <w:rFonts w:hint="default"/>
        <w:lang w:val="en-US" w:eastAsia="en-US" w:bidi="en-US"/>
      </w:rPr>
    </w:lvl>
    <w:lvl w:ilvl="7">
      <w:start w:val="0"/>
      <w:numFmt w:val="bullet"/>
      <w:lvlText w:val="•"/>
      <w:lvlJc w:val="left"/>
      <w:pPr>
        <w:ind w:left="7596" w:hanging="360"/>
      </w:pPr>
      <w:rPr>
        <w:rFonts w:hint="default"/>
        <w:lang w:val="en-US" w:eastAsia="en-US" w:bidi="en-US"/>
      </w:rPr>
    </w:lvl>
    <w:lvl w:ilvl="8">
      <w:start w:val="0"/>
      <w:numFmt w:val="bullet"/>
      <w:lvlText w:val="•"/>
      <w:lvlJc w:val="left"/>
      <w:pPr>
        <w:ind w:left="8365" w:hanging="360"/>
      </w:pPr>
      <w:rPr>
        <w:rFonts w:hint="default"/>
        <w:lang w:val="en-US" w:eastAsia="en-US" w:bidi="en-US"/>
      </w:rPr>
    </w:lvl>
  </w:abstractNum>
  <w:abstractNum w:abstractNumId="14">
    <w:multiLevelType w:val="hybridMultilevel"/>
    <w:lvl w:ilvl="0">
      <w:start w:val="1"/>
      <w:numFmt w:val="decimal"/>
      <w:lvlText w:val="(%1)"/>
      <w:lvlJc w:val="left"/>
      <w:pPr>
        <w:ind w:left="1181" w:hanging="360"/>
        <w:jc w:val="left"/>
      </w:pPr>
      <w:rPr>
        <w:rFonts w:hint="default" w:ascii="Calibri" w:hAnsi="Calibri" w:eastAsia="Calibri" w:cs="Calibri"/>
        <w:color w:val="006FC0"/>
        <w:spacing w:val="-2"/>
        <w:w w:val="100"/>
        <w:sz w:val="22"/>
        <w:szCs w:val="22"/>
        <w:lang w:val="en-US" w:eastAsia="en-US" w:bidi="en-US"/>
      </w:rPr>
    </w:lvl>
    <w:lvl w:ilvl="1">
      <w:start w:val="0"/>
      <w:numFmt w:val="bullet"/>
      <w:lvlText w:val="-"/>
      <w:lvlJc w:val="left"/>
      <w:pPr>
        <w:ind w:left="1541" w:hanging="360"/>
      </w:pPr>
      <w:rPr>
        <w:rFonts w:hint="default" w:ascii="Calibri" w:hAnsi="Calibri" w:eastAsia="Calibri" w:cs="Calibri"/>
        <w:color w:val="006FC0"/>
        <w:w w:val="100"/>
        <w:sz w:val="22"/>
        <w:szCs w:val="22"/>
        <w:lang w:val="en-US" w:eastAsia="en-US" w:bidi="en-US"/>
      </w:rPr>
    </w:lvl>
    <w:lvl w:ilvl="2">
      <w:start w:val="0"/>
      <w:numFmt w:val="bullet"/>
      <w:lvlText w:val="o"/>
      <w:lvlJc w:val="left"/>
      <w:pPr>
        <w:ind w:left="2261" w:hanging="360"/>
      </w:pPr>
      <w:rPr>
        <w:rFonts w:hint="default" w:ascii="Courier New" w:hAnsi="Courier New" w:eastAsia="Courier New" w:cs="Courier New"/>
        <w:color w:val="006FC0"/>
        <w:w w:val="100"/>
        <w:sz w:val="22"/>
        <w:szCs w:val="22"/>
        <w:lang w:val="en-US" w:eastAsia="en-US" w:bidi="en-US"/>
      </w:rPr>
    </w:lvl>
    <w:lvl w:ilvl="3">
      <w:start w:val="0"/>
      <w:numFmt w:val="bullet"/>
      <w:lvlText w:val="•"/>
      <w:lvlJc w:val="left"/>
      <w:pPr>
        <w:ind w:left="3215" w:hanging="360"/>
      </w:pPr>
      <w:rPr>
        <w:rFonts w:hint="default"/>
        <w:lang w:val="en-US" w:eastAsia="en-US" w:bidi="en-US"/>
      </w:rPr>
    </w:lvl>
    <w:lvl w:ilvl="4">
      <w:start w:val="0"/>
      <w:numFmt w:val="bullet"/>
      <w:lvlText w:val="•"/>
      <w:lvlJc w:val="left"/>
      <w:pPr>
        <w:ind w:left="4171" w:hanging="360"/>
      </w:pPr>
      <w:rPr>
        <w:rFonts w:hint="default"/>
        <w:lang w:val="en-US" w:eastAsia="en-US" w:bidi="en-US"/>
      </w:rPr>
    </w:lvl>
    <w:lvl w:ilvl="5">
      <w:start w:val="0"/>
      <w:numFmt w:val="bullet"/>
      <w:lvlText w:val="•"/>
      <w:lvlJc w:val="left"/>
      <w:pPr>
        <w:ind w:left="5126" w:hanging="360"/>
      </w:pPr>
      <w:rPr>
        <w:rFonts w:hint="default"/>
        <w:lang w:val="en-US" w:eastAsia="en-US" w:bidi="en-US"/>
      </w:rPr>
    </w:lvl>
    <w:lvl w:ilvl="6">
      <w:start w:val="0"/>
      <w:numFmt w:val="bullet"/>
      <w:lvlText w:val="•"/>
      <w:lvlJc w:val="left"/>
      <w:pPr>
        <w:ind w:left="6082" w:hanging="360"/>
      </w:pPr>
      <w:rPr>
        <w:rFonts w:hint="default"/>
        <w:lang w:val="en-US" w:eastAsia="en-US" w:bidi="en-US"/>
      </w:rPr>
    </w:lvl>
    <w:lvl w:ilvl="7">
      <w:start w:val="0"/>
      <w:numFmt w:val="bullet"/>
      <w:lvlText w:val="•"/>
      <w:lvlJc w:val="left"/>
      <w:pPr>
        <w:ind w:left="7037" w:hanging="360"/>
      </w:pPr>
      <w:rPr>
        <w:rFonts w:hint="default"/>
        <w:lang w:val="en-US" w:eastAsia="en-US" w:bidi="en-US"/>
      </w:rPr>
    </w:lvl>
    <w:lvl w:ilvl="8">
      <w:start w:val="0"/>
      <w:numFmt w:val="bullet"/>
      <w:lvlText w:val="•"/>
      <w:lvlJc w:val="left"/>
      <w:pPr>
        <w:ind w:left="7993" w:hanging="360"/>
      </w:pPr>
      <w:rPr>
        <w:rFonts w:hint="default"/>
        <w:lang w:val="en-US" w:eastAsia="en-US" w:bidi="en-US"/>
      </w:rPr>
    </w:lvl>
  </w:abstractNum>
  <w:abstractNum w:abstractNumId="13">
    <w:multiLevelType w:val="hybridMultilevel"/>
    <w:lvl w:ilvl="0">
      <w:start w:val="1"/>
      <w:numFmt w:val="decimal"/>
      <w:lvlText w:val="(%1)"/>
      <w:lvlJc w:val="left"/>
      <w:pPr>
        <w:ind w:left="1181" w:hanging="360"/>
        <w:jc w:val="left"/>
      </w:pPr>
      <w:rPr>
        <w:rFonts w:hint="default" w:ascii="Calibri" w:hAnsi="Calibri" w:eastAsia="Calibri" w:cs="Calibri"/>
        <w:color w:val="006FC0"/>
        <w:spacing w:val="-2"/>
        <w:w w:val="100"/>
        <w:sz w:val="22"/>
        <w:szCs w:val="22"/>
        <w:lang w:val="en-US" w:eastAsia="en-US" w:bidi="en-US"/>
      </w:rPr>
    </w:lvl>
    <w:lvl w:ilvl="1">
      <w:start w:val="0"/>
      <w:numFmt w:val="bullet"/>
      <w:lvlText w:val="-"/>
      <w:lvlJc w:val="left"/>
      <w:pPr>
        <w:ind w:left="1541" w:hanging="360"/>
      </w:pPr>
      <w:rPr>
        <w:rFonts w:hint="default" w:ascii="Calibri" w:hAnsi="Calibri" w:eastAsia="Calibri" w:cs="Calibri"/>
        <w:color w:val="006FC0"/>
        <w:w w:val="100"/>
        <w:sz w:val="22"/>
        <w:szCs w:val="22"/>
        <w:lang w:val="en-US" w:eastAsia="en-US" w:bidi="en-US"/>
      </w:rPr>
    </w:lvl>
    <w:lvl w:ilvl="2">
      <w:start w:val="0"/>
      <w:numFmt w:val="bullet"/>
      <w:lvlText w:val="•"/>
      <w:lvlJc w:val="left"/>
      <w:pPr>
        <w:ind w:left="2469" w:hanging="360"/>
      </w:pPr>
      <w:rPr>
        <w:rFonts w:hint="default"/>
        <w:lang w:val="en-US" w:eastAsia="en-US" w:bidi="en-US"/>
      </w:rPr>
    </w:lvl>
    <w:lvl w:ilvl="3">
      <w:start w:val="0"/>
      <w:numFmt w:val="bullet"/>
      <w:lvlText w:val="•"/>
      <w:lvlJc w:val="left"/>
      <w:pPr>
        <w:ind w:left="3398" w:hanging="360"/>
      </w:pPr>
      <w:rPr>
        <w:rFonts w:hint="default"/>
        <w:lang w:val="en-US" w:eastAsia="en-US" w:bidi="en-US"/>
      </w:rPr>
    </w:lvl>
    <w:lvl w:ilvl="4">
      <w:start w:val="0"/>
      <w:numFmt w:val="bullet"/>
      <w:lvlText w:val="•"/>
      <w:lvlJc w:val="left"/>
      <w:pPr>
        <w:ind w:left="4328" w:hanging="360"/>
      </w:pPr>
      <w:rPr>
        <w:rFonts w:hint="default"/>
        <w:lang w:val="en-US" w:eastAsia="en-US" w:bidi="en-US"/>
      </w:rPr>
    </w:lvl>
    <w:lvl w:ilvl="5">
      <w:start w:val="0"/>
      <w:numFmt w:val="bullet"/>
      <w:lvlText w:val="•"/>
      <w:lvlJc w:val="left"/>
      <w:pPr>
        <w:ind w:left="5257" w:hanging="360"/>
      </w:pPr>
      <w:rPr>
        <w:rFonts w:hint="default"/>
        <w:lang w:val="en-US" w:eastAsia="en-US" w:bidi="en-US"/>
      </w:rPr>
    </w:lvl>
    <w:lvl w:ilvl="6">
      <w:start w:val="0"/>
      <w:numFmt w:val="bullet"/>
      <w:lvlText w:val="•"/>
      <w:lvlJc w:val="left"/>
      <w:pPr>
        <w:ind w:left="6186" w:hanging="360"/>
      </w:pPr>
      <w:rPr>
        <w:rFonts w:hint="default"/>
        <w:lang w:val="en-US" w:eastAsia="en-US" w:bidi="en-US"/>
      </w:rPr>
    </w:lvl>
    <w:lvl w:ilvl="7">
      <w:start w:val="0"/>
      <w:numFmt w:val="bullet"/>
      <w:lvlText w:val="•"/>
      <w:lvlJc w:val="left"/>
      <w:pPr>
        <w:ind w:left="7116" w:hanging="360"/>
      </w:pPr>
      <w:rPr>
        <w:rFonts w:hint="default"/>
        <w:lang w:val="en-US" w:eastAsia="en-US" w:bidi="en-US"/>
      </w:rPr>
    </w:lvl>
    <w:lvl w:ilvl="8">
      <w:start w:val="0"/>
      <w:numFmt w:val="bullet"/>
      <w:lvlText w:val="•"/>
      <w:lvlJc w:val="left"/>
      <w:pPr>
        <w:ind w:left="8045" w:hanging="360"/>
      </w:pPr>
      <w:rPr>
        <w:rFonts w:hint="default"/>
        <w:lang w:val="en-US" w:eastAsia="en-US" w:bidi="en-US"/>
      </w:rPr>
    </w:lvl>
  </w:abstractNum>
  <w:abstractNum w:abstractNumId="12">
    <w:multiLevelType w:val="hybridMultilevel"/>
    <w:lvl w:ilvl="0">
      <w:start w:val="1"/>
      <w:numFmt w:val="decimal"/>
      <w:lvlText w:val="(%1)"/>
      <w:lvlJc w:val="left"/>
      <w:pPr>
        <w:ind w:left="1181" w:hanging="360"/>
        <w:jc w:val="left"/>
      </w:pPr>
      <w:rPr>
        <w:rFonts w:hint="default"/>
        <w:i/>
        <w:spacing w:val="-2"/>
        <w:w w:val="100"/>
        <w:lang w:val="en-US" w:eastAsia="en-US" w:bidi="en-US"/>
      </w:rPr>
    </w:lvl>
    <w:lvl w:ilvl="1">
      <w:start w:val="0"/>
      <w:numFmt w:val="bullet"/>
      <w:lvlText w:val="•"/>
      <w:lvlJc w:val="left"/>
      <w:pPr>
        <w:ind w:left="2052" w:hanging="360"/>
      </w:pPr>
      <w:rPr>
        <w:rFonts w:hint="default"/>
        <w:lang w:val="en-US" w:eastAsia="en-US" w:bidi="en-US"/>
      </w:rPr>
    </w:lvl>
    <w:lvl w:ilvl="2">
      <w:start w:val="0"/>
      <w:numFmt w:val="bullet"/>
      <w:lvlText w:val="•"/>
      <w:lvlJc w:val="left"/>
      <w:pPr>
        <w:ind w:left="2924" w:hanging="360"/>
      </w:pPr>
      <w:rPr>
        <w:rFonts w:hint="default"/>
        <w:lang w:val="en-US" w:eastAsia="en-US" w:bidi="en-US"/>
      </w:rPr>
    </w:lvl>
    <w:lvl w:ilvl="3">
      <w:start w:val="0"/>
      <w:numFmt w:val="bullet"/>
      <w:lvlText w:val="•"/>
      <w:lvlJc w:val="left"/>
      <w:pPr>
        <w:ind w:left="3797" w:hanging="360"/>
      </w:pPr>
      <w:rPr>
        <w:rFonts w:hint="default"/>
        <w:lang w:val="en-US" w:eastAsia="en-US" w:bidi="en-US"/>
      </w:rPr>
    </w:lvl>
    <w:lvl w:ilvl="4">
      <w:start w:val="0"/>
      <w:numFmt w:val="bullet"/>
      <w:lvlText w:val="•"/>
      <w:lvlJc w:val="left"/>
      <w:pPr>
        <w:ind w:left="4669" w:hanging="360"/>
      </w:pPr>
      <w:rPr>
        <w:rFonts w:hint="default"/>
        <w:lang w:val="en-US" w:eastAsia="en-US" w:bidi="en-US"/>
      </w:rPr>
    </w:lvl>
    <w:lvl w:ilvl="5">
      <w:start w:val="0"/>
      <w:numFmt w:val="bullet"/>
      <w:lvlText w:val="•"/>
      <w:lvlJc w:val="left"/>
      <w:pPr>
        <w:ind w:left="5542" w:hanging="360"/>
      </w:pPr>
      <w:rPr>
        <w:rFonts w:hint="default"/>
        <w:lang w:val="en-US" w:eastAsia="en-US" w:bidi="en-US"/>
      </w:rPr>
    </w:lvl>
    <w:lvl w:ilvl="6">
      <w:start w:val="0"/>
      <w:numFmt w:val="bullet"/>
      <w:lvlText w:val="•"/>
      <w:lvlJc w:val="left"/>
      <w:pPr>
        <w:ind w:left="6414" w:hanging="360"/>
      </w:pPr>
      <w:rPr>
        <w:rFonts w:hint="default"/>
        <w:lang w:val="en-US" w:eastAsia="en-US" w:bidi="en-US"/>
      </w:rPr>
    </w:lvl>
    <w:lvl w:ilvl="7">
      <w:start w:val="0"/>
      <w:numFmt w:val="bullet"/>
      <w:lvlText w:val="•"/>
      <w:lvlJc w:val="left"/>
      <w:pPr>
        <w:ind w:left="7286" w:hanging="360"/>
      </w:pPr>
      <w:rPr>
        <w:rFonts w:hint="default"/>
        <w:lang w:val="en-US" w:eastAsia="en-US" w:bidi="en-US"/>
      </w:rPr>
    </w:lvl>
    <w:lvl w:ilvl="8">
      <w:start w:val="0"/>
      <w:numFmt w:val="bullet"/>
      <w:lvlText w:val="•"/>
      <w:lvlJc w:val="left"/>
      <w:pPr>
        <w:ind w:left="8159" w:hanging="360"/>
      </w:pPr>
      <w:rPr>
        <w:rFonts w:hint="default"/>
        <w:lang w:val="en-US" w:eastAsia="en-US" w:bidi="en-US"/>
      </w:rPr>
    </w:lvl>
  </w:abstractNum>
  <w:abstractNum w:abstractNumId="11">
    <w:multiLevelType w:val="hybridMultilevel"/>
    <w:lvl w:ilvl="0">
      <w:start w:val="0"/>
      <w:numFmt w:val="bullet"/>
      <w:lvlText w:val="o"/>
      <w:lvlJc w:val="left"/>
      <w:pPr>
        <w:ind w:left="2261" w:hanging="360"/>
      </w:pPr>
      <w:rPr>
        <w:rFonts w:hint="default" w:ascii="Courier New" w:hAnsi="Courier New" w:eastAsia="Courier New" w:cs="Courier New"/>
        <w:w w:val="100"/>
        <w:sz w:val="20"/>
        <w:szCs w:val="20"/>
        <w:lang w:val="en-US" w:eastAsia="en-US" w:bidi="en-US"/>
      </w:rPr>
    </w:lvl>
    <w:lvl w:ilvl="1">
      <w:start w:val="0"/>
      <w:numFmt w:val="bullet"/>
      <w:lvlText w:val="•"/>
      <w:lvlJc w:val="left"/>
      <w:pPr>
        <w:ind w:left="3024" w:hanging="360"/>
      </w:pPr>
      <w:rPr>
        <w:rFonts w:hint="default"/>
        <w:lang w:val="en-US" w:eastAsia="en-US" w:bidi="en-US"/>
      </w:rPr>
    </w:lvl>
    <w:lvl w:ilvl="2">
      <w:start w:val="0"/>
      <w:numFmt w:val="bullet"/>
      <w:lvlText w:val="•"/>
      <w:lvlJc w:val="left"/>
      <w:pPr>
        <w:ind w:left="3788" w:hanging="360"/>
      </w:pPr>
      <w:rPr>
        <w:rFonts w:hint="default"/>
        <w:lang w:val="en-US" w:eastAsia="en-US" w:bidi="en-US"/>
      </w:rPr>
    </w:lvl>
    <w:lvl w:ilvl="3">
      <w:start w:val="0"/>
      <w:numFmt w:val="bullet"/>
      <w:lvlText w:val="•"/>
      <w:lvlJc w:val="left"/>
      <w:pPr>
        <w:ind w:left="4553" w:hanging="360"/>
      </w:pPr>
      <w:rPr>
        <w:rFonts w:hint="default"/>
        <w:lang w:val="en-US" w:eastAsia="en-US" w:bidi="en-US"/>
      </w:rPr>
    </w:lvl>
    <w:lvl w:ilvl="4">
      <w:start w:val="0"/>
      <w:numFmt w:val="bullet"/>
      <w:lvlText w:val="•"/>
      <w:lvlJc w:val="left"/>
      <w:pPr>
        <w:ind w:left="5317" w:hanging="360"/>
      </w:pPr>
      <w:rPr>
        <w:rFonts w:hint="default"/>
        <w:lang w:val="en-US" w:eastAsia="en-US" w:bidi="en-US"/>
      </w:rPr>
    </w:lvl>
    <w:lvl w:ilvl="5">
      <w:start w:val="0"/>
      <w:numFmt w:val="bullet"/>
      <w:lvlText w:val="•"/>
      <w:lvlJc w:val="left"/>
      <w:pPr>
        <w:ind w:left="6082" w:hanging="360"/>
      </w:pPr>
      <w:rPr>
        <w:rFonts w:hint="default"/>
        <w:lang w:val="en-US" w:eastAsia="en-US" w:bidi="en-US"/>
      </w:rPr>
    </w:lvl>
    <w:lvl w:ilvl="6">
      <w:start w:val="0"/>
      <w:numFmt w:val="bullet"/>
      <w:lvlText w:val="•"/>
      <w:lvlJc w:val="left"/>
      <w:pPr>
        <w:ind w:left="6846" w:hanging="360"/>
      </w:pPr>
      <w:rPr>
        <w:rFonts w:hint="default"/>
        <w:lang w:val="en-US" w:eastAsia="en-US" w:bidi="en-US"/>
      </w:rPr>
    </w:lvl>
    <w:lvl w:ilvl="7">
      <w:start w:val="0"/>
      <w:numFmt w:val="bullet"/>
      <w:lvlText w:val="•"/>
      <w:lvlJc w:val="left"/>
      <w:pPr>
        <w:ind w:left="7610" w:hanging="360"/>
      </w:pPr>
      <w:rPr>
        <w:rFonts w:hint="default"/>
        <w:lang w:val="en-US" w:eastAsia="en-US" w:bidi="en-US"/>
      </w:rPr>
    </w:lvl>
    <w:lvl w:ilvl="8">
      <w:start w:val="0"/>
      <w:numFmt w:val="bullet"/>
      <w:lvlText w:val="•"/>
      <w:lvlJc w:val="left"/>
      <w:pPr>
        <w:ind w:left="8375" w:hanging="360"/>
      </w:pPr>
      <w:rPr>
        <w:rFonts w:hint="default"/>
        <w:lang w:val="en-US" w:eastAsia="en-US" w:bidi="en-US"/>
      </w:rPr>
    </w:lvl>
  </w:abstractNum>
  <w:abstractNum w:abstractNumId="10">
    <w:multiLevelType w:val="hybridMultilevel"/>
    <w:lvl w:ilvl="0">
      <w:start w:val="0"/>
      <w:numFmt w:val="bullet"/>
      <w:lvlText w:val="-"/>
      <w:lvlJc w:val="left"/>
      <w:pPr>
        <w:ind w:left="1546" w:hanging="361"/>
      </w:pPr>
      <w:rPr>
        <w:rFonts w:hint="default"/>
        <w:w w:val="100"/>
        <w:lang w:val="en-US" w:eastAsia="en-US" w:bidi="en-US"/>
      </w:rPr>
    </w:lvl>
    <w:lvl w:ilvl="1">
      <w:start w:val="0"/>
      <w:numFmt w:val="bullet"/>
      <w:lvlText w:val="•"/>
      <w:lvlJc w:val="left"/>
      <w:pPr>
        <w:ind w:left="2146" w:hanging="361"/>
      </w:pPr>
      <w:rPr>
        <w:rFonts w:hint="default"/>
        <w:lang w:val="en-US" w:eastAsia="en-US" w:bidi="en-US"/>
      </w:rPr>
    </w:lvl>
    <w:lvl w:ilvl="2">
      <w:start w:val="0"/>
      <w:numFmt w:val="bullet"/>
      <w:lvlText w:val="•"/>
      <w:lvlJc w:val="left"/>
      <w:pPr>
        <w:ind w:left="2753" w:hanging="361"/>
      </w:pPr>
      <w:rPr>
        <w:rFonts w:hint="default"/>
        <w:lang w:val="en-US" w:eastAsia="en-US" w:bidi="en-US"/>
      </w:rPr>
    </w:lvl>
    <w:lvl w:ilvl="3">
      <w:start w:val="0"/>
      <w:numFmt w:val="bullet"/>
      <w:lvlText w:val="•"/>
      <w:lvlJc w:val="left"/>
      <w:pPr>
        <w:ind w:left="3359" w:hanging="361"/>
      </w:pPr>
      <w:rPr>
        <w:rFonts w:hint="default"/>
        <w:lang w:val="en-US" w:eastAsia="en-US" w:bidi="en-US"/>
      </w:rPr>
    </w:lvl>
    <w:lvl w:ilvl="4">
      <w:start w:val="0"/>
      <w:numFmt w:val="bullet"/>
      <w:lvlText w:val="•"/>
      <w:lvlJc w:val="left"/>
      <w:pPr>
        <w:ind w:left="3966" w:hanging="361"/>
      </w:pPr>
      <w:rPr>
        <w:rFonts w:hint="default"/>
        <w:lang w:val="en-US" w:eastAsia="en-US" w:bidi="en-US"/>
      </w:rPr>
    </w:lvl>
    <w:lvl w:ilvl="5">
      <w:start w:val="0"/>
      <w:numFmt w:val="bullet"/>
      <w:lvlText w:val="•"/>
      <w:lvlJc w:val="left"/>
      <w:pPr>
        <w:ind w:left="4573" w:hanging="361"/>
      </w:pPr>
      <w:rPr>
        <w:rFonts w:hint="default"/>
        <w:lang w:val="en-US" w:eastAsia="en-US" w:bidi="en-US"/>
      </w:rPr>
    </w:lvl>
    <w:lvl w:ilvl="6">
      <w:start w:val="0"/>
      <w:numFmt w:val="bullet"/>
      <w:lvlText w:val="•"/>
      <w:lvlJc w:val="left"/>
      <w:pPr>
        <w:ind w:left="5179" w:hanging="361"/>
      </w:pPr>
      <w:rPr>
        <w:rFonts w:hint="default"/>
        <w:lang w:val="en-US" w:eastAsia="en-US" w:bidi="en-US"/>
      </w:rPr>
    </w:lvl>
    <w:lvl w:ilvl="7">
      <w:start w:val="0"/>
      <w:numFmt w:val="bullet"/>
      <w:lvlText w:val="•"/>
      <w:lvlJc w:val="left"/>
      <w:pPr>
        <w:ind w:left="5786" w:hanging="361"/>
      </w:pPr>
      <w:rPr>
        <w:rFonts w:hint="default"/>
        <w:lang w:val="en-US" w:eastAsia="en-US" w:bidi="en-US"/>
      </w:rPr>
    </w:lvl>
    <w:lvl w:ilvl="8">
      <w:start w:val="0"/>
      <w:numFmt w:val="bullet"/>
      <w:lvlText w:val="•"/>
      <w:lvlJc w:val="left"/>
      <w:pPr>
        <w:ind w:left="6392" w:hanging="361"/>
      </w:pPr>
      <w:rPr>
        <w:rFonts w:hint="default"/>
        <w:lang w:val="en-US" w:eastAsia="en-US" w:bidi="en-US"/>
      </w:rPr>
    </w:lvl>
  </w:abstractNum>
  <w:abstractNum w:abstractNumId="9">
    <w:multiLevelType w:val="hybridMultilevel"/>
    <w:lvl w:ilvl="0">
      <w:start w:val="0"/>
      <w:numFmt w:val="bullet"/>
      <w:lvlText w:val="o"/>
      <w:lvlJc w:val="left"/>
      <w:pPr>
        <w:ind w:left="2261" w:hanging="360"/>
      </w:pPr>
      <w:rPr>
        <w:rFonts w:hint="default" w:ascii="Courier New" w:hAnsi="Courier New" w:eastAsia="Courier New" w:cs="Courier New"/>
        <w:color w:val="006FC0"/>
        <w:w w:val="100"/>
        <w:sz w:val="22"/>
        <w:szCs w:val="22"/>
        <w:lang w:val="en-US" w:eastAsia="en-US" w:bidi="en-US"/>
      </w:rPr>
    </w:lvl>
    <w:lvl w:ilvl="1">
      <w:start w:val="0"/>
      <w:numFmt w:val="bullet"/>
      <w:lvlText w:val="•"/>
      <w:lvlJc w:val="left"/>
      <w:pPr>
        <w:ind w:left="3024" w:hanging="360"/>
      </w:pPr>
      <w:rPr>
        <w:rFonts w:hint="default"/>
        <w:lang w:val="en-US" w:eastAsia="en-US" w:bidi="en-US"/>
      </w:rPr>
    </w:lvl>
    <w:lvl w:ilvl="2">
      <w:start w:val="0"/>
      <w:numFmt w:val="bullet"/>
      <w:lvlText w:val="•"/>
      <w:lvlJc w:val="left"/>
      <w:pPr>
        <w:ind w:left="3788" w:hanging="360"/>
      </w:pPr>
      <w:rPr>
        <w:rFonts w:hint="default"/>
        <w:lang w:val="en-US" w:eastAsia="en-US" w:bidi="en-US"/>
      </w:rPr>
    </w:lvl>
    <w:lvl w:ilvl="3">
      <w:start w:val="0"/>
      <w:numFmt w:val="bullet"/>
      <w:lvlText w:val="•"/>
      <w:lvlJc w:val="left"/>
      <w:pPr>
        <w:ind w:left="4553" w:hanging="360"/>
      </w:pPr>
      <w:rPr>
        <w:rFonts w:hint="default"/>
        <w:lang w:val="en-US" w:eastAsia="en-US" w:bidi="en-US"/>
      </w:rPr>
    </w:lvl>
    <w:lvl w:ilvl="4">
      <w:start w:val="0"/>
      <w:numFmt w:val="bullet"/>
      <w:lvlText w:val="•"/>
      <w:lvlJc w:val="left"/>
      <w:pPr>
        <w:ind w:left="5317" w:hanging="360"/>
      </w:pPr>
      <w:rPr>
        <w:rFonts w:hint="default"/>
        <w:lang w:val="en-US" w:eastAsia="en-US" w:bidi="en-US"/>
      </w:rPr>
    </w:lvl>
    <w:lvl w:ilvl="5">
      <w:start w:val="0"/>
      <w:numFmt w:val="bullet"/>
      <w:lvlText w:val="•"/>
      <w:lvlJc w:val="left"/>
      <w:pPr>
        <w:ind w:left="6082" w:hanging="360"/>
      </w:pPr>
      <w:rPr>
        <w:rFonts w:hint="default"/>
        <w:lang w:val="en-US" w:eastAsia="en-US" w:bidi="en-US"/>
      </w:rPr>
    </w:lvl>
    <w:lvl w:ilvl="6">
      <w:start w:val="0"/>
      <w:numFmt w:val="bullet"/>
      <w:lvlText w:val="•"/>
      <w:lvlJc w:val="left"/>
      <w:pPr>
        <w:ind w:left="6846" w:hanging="360"/>
      </w:pPr>
      <w:rPr>
        <w:rFonts w:hint="default"/>
        <w:lang w:val="en-US" w:eastAsia="en-US" w:bidi="en-US"/>
      </w:rPr>
    </w:lvl>
    <w:lvl w:ilvl="7">
      <w:start w:val="0"/>
      <w:numFmt w:val="bullet"/>
      <w:lvlText w:val="•"/>
      <w:lvlJc w:val="left"/>
      <w:pPr>
        <w:ind w:left="7610" w:hanging="360"/>
      </w:pPr>
      <w:rPr>
        <w:rFonts w:hint="default"/>
        <w:lang w:val="en-US" w:eastAsia="en-US" w:bidi="en-US"/>
      </w:rPr>
    </w:lvl>
    <w:lvl w:ilvl="8">
      <w:start w:val="0"/>
      <w:numFmt w:val="bullet"/>
      <w:lvlText w:val="•"/>
      <w:lvlJc w:val="left"/>
      <w:pPr>
        <w:ind w:left="8375" w:hanging="360"/>
      </w:pPr>
      <w:rPr>
        <w:rFonts w:hint="default"/>
        <w:lang w:val="en-US" w:eastAsia="en-US" w:bidi="en-US"/>
      </w:rPr>
    </w:lvl>
  </w:abstractNum>
  <w:abstractNum w:abstractNumId="8">
    <w:multiLevelType w:val="hybridMultilevel"/>
    <w:lvl w:ilvl="0">
      <w:start w:val="1"/>
      <w:numFmt w:val="decimal"/>
      <w:lvlText w:val="(%1)"/>
      <w:lvlJc w:val="left"/>
      <w:pPr>
        <w:ind w:left="1181" w:hanging="360"/>
        <w:jc w:val="right"/>
      </w:pPr>
      <w:rPr>
        <w:rFonts w:hint="default" w:ascii="Calibri" w:hAnsi="Calibri" w:eastAsia="Calibri" w:cs="Calibri"/>
        <w:color w:val="006FC0"/>
        <w:spacing w:val="-2"/>
        <w:w w:val="100"/>
        <w:sz w:val="22"/>
        <w:szCs w:val="22"/>
        <w:lang w:val="en-US" w:eastAsia="en-US" w:bidi="en-US"/>
      </w:rPr>
    </w:lvl>
    <w:lvl w:ilvl="1">
      <w:start w:val="1"/>
      <w:numFmt w:val="lowerLetter"/>
      <w:lvlText w:val="(%2)"/>
      <w:lvlJc w:val="left"/>
      <w:pPr>
        <w:ind w:left="1541" w:hanging="360"/>
        <w:jc w:val="left"/>
      </w:pPr>
      <w:rPr>
        <w:rFonts w:hint="default" w:ascii="Calibri" w:hAnsi="Calibri" w:eastAsia="Calibri" w:cs="Calibri"/>
        <w:color w:val="006FC0"/>
        <w:spacing w:val="-1"/>
        <w:w w:val="100"/>
        <w:sz w:val="22"/>
        <w:szCs w:val="22"/>
        <w:lang w:val="en-US" w:eastAsia="en-US" w:bidi="en-US"/>
      </w:rPr>
    </w:lvl>
    <w:lvl w:ilvl="2">
      <w:start w:val="1"/>
      <w:numFmt w:val="lowerRoman"/>
      <w:lvlText w:val="(%3)"/>
      <w:lvlJc w:val="left"/>
      <w:pPr>
        <w:ind w:left="2621" w:hanging="360"/>
        <w:jc w:val="left"/>
      </w:pPr>
      <w:rPr>
        <w:rFonts w:hint="default" w:ascii="Calibri" w:hAnsi="Calibri" w:eastAsia="Calibri" w:cs="Calibri"/>
        <w:spacing w:val="0"/>
        <w:w w:val="100"/>
        <w:sz w:val="20"/>
        <w:szCs w:val="20"/>
        <w:lang w:val="en-US" w:eastAsia="en-US" w:bidi="en-US"/>
      </w:rPr>
    </w:lvl>
    <w:lvl w:ilvl="3">
      <w:start w:val="0"/>
      <w:numFmt w:val="bullet"/>
      <w:lvlText w:val="•"/>
      <w:lvlJc w:val="left"/>
      <w:pPr>
        <w:ind w:left="3530" w:hanging="360"/>
      </w:pPr>
      <w:rPr>
        <w:rFonts w:hint="default"/>
        <w:lang w:val="en-US" w:eastAsia="en-US" w:bidi="en-US"/>
      </w:rPr>
    </w:lvl>
    <w:lvl w:ilvl="4">
      <w:start w:val="0"/>
      <w:numFmt w:val="bullet"/>
      <w:lvlText w:val="•"/>
      <w:lvlJc w:val="left"/>
      <w:pPr>
        <w:ind w:left="4441" w:hanging="360"/>
      </w:pPr>
      <w:rPr>
        <w:rFonts w:hint="default"/>
        <w:lang w:val="en-US" w:eastAsia="en-US" w:bidi="en-US"/>
      </w:rPr>
    </w:lvl>
    <w:lvl w:ilvl="5">
      <w:start w:val="0"/>
      <w:numFmt w:val="bullet"/>
      <w:lvlText w:val="•"/>
      <w:lvlJc w:val="left"/>
      <w:pPr>
        <w:ind w:left="5351" w:hanging="360"/>
      </w:pPr>
      <w:rPr>
        <w:rFonts w:hint="default"/>
        <w:lang w:val="en-US" w:eastAsia="en-US" w:bidi="en-US"/>
      </w:rPr>
    </w:lvl>
    <w:lvl w:ilvl="6">
      <w:start w:val="0"/>
      <w:numFmt w:val="bullet"/>
      <w:lvlText w:val="•"/>
      <w:lvlJc w:val="left"/>
      <w:pPr>
        <w:ind w:left="6262" w:hanging="360"/>
      </w:pPr>
      <w:rPr>
        <w:rFonts w:hint="default"/>
        <w:lang w:val="en-US" w:eastAsia="en-US" w:bidi="en-US"/>
      </w:rPr>
    </w:lvl>
    <w:lvl w:ilvl="7">
      <w:start w:val="0"/>
      <w:numFmt w:val="bullet"/>
      <w:lvlText w:val="•"/>
      <w:lvlJc w:val="left"/>
      <w:pPr>
        <w:ind w:left="7172" w:hanging="360"/>
      </w:pPr>
      <w:rPr>
        <w:rFonts w:hint="default"/>
        <w:lang w:val="en-US" w:eastAsia="en-US" w:bidi="en-US"/>
      </w:rPr>
    </w:lvl>
    <w:lvl w:ilvl="8">
      <w:start w:val="0"/>
      <w:numFmt w:val="bullet"/>
      <w:lvlText w:val="•"/>
      <w:lvlJc w:val="left"/>
      <w:pPr>
        <w:ind w:left="8083" w:hanging="360"/>
      </w:pPr>
      <w:rPr>
        <w:rFonts w:hint="default"/>
        <w:lang w:val="en-US" w:eastAsia="en-US" w:bidi="en-US"/>
      </w:rPr>
    </w:lvl>
  </w:abstractNum>
  <w:abstractNum w:abstractNumId="7">
    <w:multiLevelType w:val="hybridMultilevel"/>
    <w:lvl w:ilvl="0">
      <w:start w:val="0"/>
      <w:numFmt w:val="bullet"/>
      <w:lvlText w:val="o"/>
      <w:lvlJc w:val="left"/>
      <w:pPr>
        <w:ind w:left="2261" w:hanging="360"/>
      </w:pPr>
      <w:rPr>
        <w:rFonts w:hint="default" w:ascii="Courier New" w:hAnsi="Courier New" w:eastAsia="Courier New" w:cs="Courier New"/>
        <w:color w:val="006FC0"/>
        <w:w w:val="100"/>
        <w:sz w:val="22"/>
        <w:szCs w:val="22"/>
        <w:lang w:val="en-US" w:eastAsia="en-US" w:bidi="en-US"/>
      </w:rPr>
    </w:lvl>
    <w:lvl w:ilvl="1">
      <w:start w:val="0"/>
      <w:numFmt w:val="bullet"/>
      <w:lvlText w:val="•"/>
      <w:lvlJc w:val="left"/>
      <w:pPr>
        <w:ind w:left="3024" w:hanging="360"/>
      </w:pPr>
      <w:rPr>
        <w:rFonts w:hint="default"/>
        <w:lang w:val="en-US" w:eastAsia="en-US" w:bidi="en-US"/>
      </w:rPr>
    </w:lvl>
    <w:lvl w:ilvl="2">
      <w:start w:val="0"/>
      <w:numFmt w:val="bullet"/>
      <w:lvlText w:val="•"/>
      <w:lvlJc w:val="left"/>
      <w:pPr>
        <w:ind w:left="3788" w:hanging="360"/>
      </w:pPr>
      <w:rPr>
        <w:rFonts w:hint="default"/>
        <w:lang w:val="en-US" w:eastAsia="en-US" w:bidi="en-US"/>
      </w:rPr>
    </w:lvl>
    <w:lvl w:ilvl="3">
      <w:start w:val="0"/>
      <w:numFmt w:val="bullet"/>
      <w:lvlText w:val="•"/>
      <w:lvlJc w:val="left"/>
      <w:pPr>
        <w:ind w:left="4553" w:hanging="360"/>
      </w:pPr>
      <w:rPr>
        <w:rFonts w:hint="default"/>
        <w:lang w:val="en-US" w:eastAsia="en-US" w:bidi="en-US"/>
      </w:rPr>
    </w:lvl>
    <w:lvl w:ilvl="4">
      <w:start w:val="0"/>
      <w:numFmt w:val="bullet"/>
      <w:lvlText w:val="•"/>
      <w:lvlJc w:val="left"/>
      <w:pPr>
        <w:ind w:left="5317" w:hanging="360"/>
      </w:pPr>
      <w:rPr>
        <w:rFonts w:hint="default"/>
        <w:lang w:val="en-US" w:eastAsia="en-US" w:bidi="en-US"/>
      </w:rPr>
    </w:lvl>
    <w:lvl w:ilvl="5">
      <w:start w:val="0"/>
      <w:numFmt w:val="bullet"/>
      <w:lvlText w:val="•"/>
      <w:lvlJc w:val="left"/>
      <w:pPr>
        <w:ind w:left="6082" w:hanging="360"/>
      </w:pPr>
      <w:rPr>
        <w:rFonts w:hint="default"/>
        <w:lang w:val="en-US" w:eastAsia="en-US" w:bidi="en-US"/>
      </w:rPr>
    </w:lvl>
    <w:lvl w:ilvl="6">
      <w:start w:val="0"/>
      <w:numFmt w:val="bullet"/>
      <w:lvlText w:val="•"/>
      <w:lvlJc w:val="left"/>
      <w:pPr>
        <w:ind w:left="6846" w:hanging="360"/>
      </w:pPr>
      <w:rPr>
        <w:rFonts w:hint="default"/>
        <w:lang w:val="en-US" w:eastAsia="en-US" w:bidi="en-US"/>
      </w:rPr>
    </w:lvl>
    <w:lvl w:ilvl="7">
      <w:start w:val="0"/>
      <w:numFmt w:val="bullet"/>
      <w:lvlText w:val="•"/>
      <w:lvlJc w:val="left"/>
      <w:pPr>
        <w:ind w:left="7610" w:hanging="360"/>
      </w:pPr>
      <w:rPr>
        <w:rFonts w:hint="default"/>
        <w:lang w:val="en-US" w:eastAsia="en-US" w:bidi="en-US"/>
      </w:rPr>
    </w:lvl>
    <w:lvl w:ilvl="8">
      <w:start w:val="0"/>
      <w:numFmt w:val="bullet"/>
      <w:lvlText w:val="•"/>
      <w:lvlJc w:val="left"/>
      <w:pPr>
        <w:ind w:left="8375" w:hanging="360"/>
      </w:pPr>
      <w:rPr>
        <w:rFonts w:hint="default"/>
        <w:lang w:val="en-US" w:eastAsia="en-US" w:bidi="en-US"/>
      </w:rPr>
    </w:lvl>
  </w:abstractNum>
  <w:abstractNum w:abstractNumId="6">
    <w:multiLevelType w:val="hybridMultilevel"/>
    <w:lvl w:ilvl="0">
      <w:start w:val="3"/>
      <w:numFmt w:val="upperLetter"/>
      <w:lvlText w:val="(%1)"/>
      <w:lvlJc w:val="left"/>
      <w:pPr>
        <w:ind w:left="1181" w:hanging="408"/>
        <w:jc w:val="left"/>
      </w:pPr>
      <w:rPr>
        <w:rFonts w:hint="default" w:ascii="Calibri" w:hAnsi="Calibri" w:eastAsia="Calibri" w:cs="Calibri"/>
        <w:color w:val="006FC0"/>
        <w:w w:val="100"/>
        <w:sz w:val="22"/>
        <w:szCs w:val="22"/>
        <w:lang w:val="en-US" w:eastAsia="en-US" w:bidi="en-US"/>
      </w:rPr>
    </w:lvl>
    <w:lvl w:ilvl="1">
      <w:start w:val="1"/>
      <w:numFmt w:val="lowerLetter"/>
      <w:lvlText w:val="(%2)"/>
      <w:lvlJc w:val="left"/>
      <w:pPr>
        <w:ind w:left="1901" w:hanging="361"/>
        <w:jc w:val="right"/>
      </w:pPr>
      <w:rPr>
        <w:rFonts w:hint="default"/>
        <w:b/>
        <w:bCs/>
        <w:spacing w:val="-2"/>
        <w:w w:val="100"/>
        <w:lang w:val="en-US" w:eastAsia="en-US" w:bidi="en-US"/>
      </w:rPr>
    </w:lvl>
    <w:lvl w:ilvl="2">
      <w:start w:val="1"/>
      <w:numFmt w:val="lowerRoman"/>
      <w:lvlText w:val="(%3)"/>
      <w:lvlJc w:val="left"/>
      <w:pPr>
        <w:ind w:left="2981" w:hanging="720"/>
        <w:jc w:val="left"/>
      </w:pPr>
      <w:rPr>
        <w:rFonts w:hint="default"/>
        <w:spacing w:val="-1"/>
        <w:w w:val="100"/>
        <w:lang w:val="en-US" w:eastAsia="en-US" w:bidi="en-US"/>
      </w:rPr>
    </w:lvl>
    <w:lvl w:ilvl="3">
      <w:start w:val="0"/>
      <w:numFmt w:val="bullet"/>
      <w:lvlText w:val=""/>
      <w:lvlJc w:val="left"/>
      <w:pPr>
        <w:ind w:left="3342" w:hanging="720"/>
      </w:pPr>
      <w:rPr>
        <w:rFonts w:hint="default" w:ascii="Wingdings" w:hAnsi="Wingdings" w:eastAsia="Wingdings" w:cs="Wingdings"/>
        <w:color w:val="C45811"/>
        <w:w w:val="100"/>
        <w:sz w:val="22"/>
        <w:szCs w:val="22"/>
        <w:lang w:val="en-US" w:eastAsia="en-US" w:bidi="en-US"/>
      </w:rPr>
    </w:lvl>
    <w:lvl w:ilvl="4">
      <w:start w:val="0"/>
      <w:numFmt w:val="bullet"/>
      <w:lvlText w:val="•"/>
      <w:lvlJc w:val="left"/>
      <w:pPr>
        <w:ind w:left="4277" w:hanging="720"/>
      </w:pPr>
      <w:rPr>
        <w:rFonts w:hint="default"/>
        <w:lang w:val="en-US" w:eastAsia="en-US" w:bidi="en-US"/>
      </w:rPr>
    </w:lvl>
    <w:lvl w:ilvl="5">
      <w:start w:val="0"/>
      <w:numFmt w:val="bullet"/>
      <w:lvlText w:val="•"/>
      <w:lvlJc w:val="left"/>
      <w:pPr>
        <w:ind w:left="5215" w:hanging="720"/>
      </w:pPr>
      <w:rPr>
        <w:rFonts w:hint="default"/>
        <w:lang w:val="en-US" w:eastAsia="en-US" w:bidi="en-US"/>
      </w:rPr>
    </w:lvl>
    <w:lvl w:ilvl="6">
      <w:start w:val="0"/>
      <w:numFmt w:val="bullet"/>
      <w:lvlText w:val="•"/>
      <w:lvlJc w:val="left"/>
      <w:pPr>
        <w:ind w:left="6153" w:hanging="720"/>
      </w:pPr>
      <w:rPr>
        <w:rFonts w:hint="default"/>
        <w:lang w:val="en-US" w:eastAsia="en-US" w:bidi="en-US"/>
      </w:rPr>
    </w:lvl>
    <w:lvl w:ilvl="7">
      <w:start w:val="0"/>
      <w:numFmt w:val="bullet"/>
      <w:lvlText w:val="•"/>
      <w:lvlJc w:val="left"/>
      <w:pPr>
        <w:ind w:left="7090" w:hanging="720"/>
      </w:pPr>
      <w:rPr>
        <w:rFonts w:hint="default"/>
        <w:lang w:val="en-US" w:eastAsia="en-US" w:bidi="en-US"/>
      </w:rPr>
    </w:lvl>
    <w:lvl w:ilvl="8">
      <w:start w:val="0"/>
      <w:numFmt w:val="bullet"/>
      <w:lvlText w:val="•"/>
      <w:lvlJc w:val="left"/>
      <w:pPr>
        <w:ind w:left="8028" w:hanging="720"/>
      </w:pPr>
      <w:rPr>
        <w:rFonts w:hint="default"/>
        <w:lang w:val="en-US" w:eastAsia="en-US" w:bidi="en-US"/>
      </w:rPr>
    </w:lvl>
  </w:abstractNum>
  <w:abstractNum w:abstractNumId="5">
    <w:multiLevelType w:val="hybridMultilevel"/>
    <w:lvl w:ilvl="0">
      <w:start w:val="2"/>
      <w:numFmt w:val="lowerRoman"/>
      <w:lvlText w:val="(%1)"/>
      <w:lvlJc w:val="left"/>
      <w:pPr>
        <w:ind w:left="1541" w:hanging="360"/>
        <w:jc w:val="right"/>
      </w:pPr>
      <w:rPr>
        <w:rFonts w:hint="default"/>
        <w:spacing w:val="-1"/>
        <w:w w:val="100"/>
        <w:lang w:val="en-US" w:eastAsia="en-US" w:bidi="en-US"/>
      </w:rPr>
    </w:lvl>
    <w:lvl w:ilvl="1">
      <w:start w:val="1"/>
      <w:numFmt w:val="lowerLetter"/>
      <w:lvlText w:val="%2."/>
      <w:lvlJc w:val="left"/>
      <w:pPr>
        <w:ind w:left="3390" w:hanging="409"/>
        <w:jc w:val="left"/>
      </w:pPr>
      <w:rPr>
        <w:rFonts w:hint="default" w:ascii="Calibri" w:hAnsi="Calibri" w:eastAsia="Calibri" w:cs="Calibri"/>
        <w:spacing w:val="-1"/>
        <w:w w:val="100"/>
        <w:sz w:val="22"/>
        <w:szCs w:val="22"/>
        <w:lang w:val="en-US" w:eastAsia="en-US" w:bidi="en-US"/>
      </w:rPr>
    </w:lvl>
    <w:lvl w:ilvl="2">
      <w:start w:val="0"/>
      <w:numFmt w:val="bullet"/>
      <w:lvlText w:val="•"/>
      <w:lvlJc w:val="left"/>
      <w:pPr>
        <w:ind w:left="3400" w:hanging="409"/>
      </w:pPr>
      <w:rPr>
        <w:rFonts w:hint="default"/>
        <w:lang w:val="en-US" w:eastAsia="en-US" w:bidi="en-US"/>
      </w:rPr>
    </w:lvl>
    <w:lvl w:ilvl="3">
      <w:start w:val="0"/>
      <w:numFmt w:val="bullet"/>
      <w:lvlText w:val="•"/>
      <w:lvlJc w:val="left"/>
      <w:pPr>
        <w:ind w:left="4213" w:hanging="409"/>
      </w:pPr>
      <w:rPr>
        <w:rFonts w:hint="default"/>
        <w:lang w:val="en-US" w:eastAsia="en-US" w:bidi="en-US"/>
      </w:rPr>
    </w:lvl>
    <w:lvl w:ilvl="4">
      <w:start w:val="0"/>
      <w:numFmt w:val="bullet"/>
      <w:lvlText w:val="•"/>
      <w:lvlJc w:val="left"/>
      <w:pPr>
        <w:ind w:left="5026" w:hanging="409"/>
      </w:pPr>
      <w:rPr>
        <w:rFonts w:hint="default"/>
        <w:lang w:val="en-US" w:eastAsia="en-US" w:bidi="en-US"/>
      </w:rPr>
    </w:lvl>
    <w:lvl w:ilvl="5">
      <w:start w:val="0"/>
      <w:numFmt w:val="bullet"/>
      <w:lvlText w:val="•"/>
      <w:lvlJc w:val="left"/>
      <w:pPr>
        <w:ind w:left="5839" w:hanging="409"/>
      </w:pPr>
      <w:rPr>
        <w:rFonts w:hint="default"/>
        <w:lang w:val="en-US" w:eastAsia="en-US" w:bidi="en-US"/>
      </w:rPr>
    </w:lvl>
    <w:lvl w:ilvl="6">
      <w:start w:val="0"/>
      <w:numFmt w:val="bullet"/>
      <w:lvlText w:val="•"/>
      <w:lvlJc w:val="left"/>
      <w:pPr>
        <w:ind w:left="6652" w:hanging="409"/>
      </w:pPr>
      <w:rPr>
        <w:rFonts w:hint="default"/>
        <w:lang w:val="en-US" w:eastAsia="en-US" w:bidi="en-US"/>
      </w:rPr>
    </w:lvl>
    <w:lvl w:ilvl="7">
      <w:start w:val="0"/>
      <w:numFmt w:val="bullet"/>
      <w:lvlText w:val="•"/>
      <w:lvlJc w:val="left"/>
      <w:pPr>
        <w:ind w:left="7465" w:hanging="409"/>
      </w:pPr>
      <w:rPr>
        <w:rFonts w:hint="default"/>
        <w:lang w:val="en-US" w:eastAsia="en-US" w:bidi="en-US"/>
      </w:rPr>
    </w:lvl>
    <w:lvl w:ilvl="8">
      <w:start w:val="0"/>
      <w:numFmt w:val="bullet"/>
      <w:lvlText w:val="•"/>
      <w:lvlJc w:val="left"/>
      <w:pPr>
        <w:ind w:left="8278" w:hanging="409"/>
      </w:pPr>
      <w:rPr>
        <w:rFonts w:hint="default"/>
        <w:lang w:val="en-US" w:eastAsia="en-US" w:bidi="en-US"/>
      </w:rPr>
    </w:lvl>
  </w:abstractNum>
  <w:abstractNum w:abstractNumId="4">
    <w:multiLevelType w:val="hybridMultilevel"/>
    <w:lvl w:ilvl="0">
      <w:start w:val="1"/>
      <w:numFmt w:val="lowerLetter"/>
      <w:lvlText w:val="(%1)"/>
      <w:lvlJc w:val="left"/>
      <w:pPr>
        <w:ind w:left="1181" w:hanging="408"/>
        <w:jc w:val="left"/>
      </w:pPr>
      <w:rPr>
        <w:rFonts w:hint="default" w:ascii="Calibri" w:hAnsi="Calibri" w:eastAsia="Calibri" w:cs="Calibri"/>
        <w:color w:val="006FC0"/>
        <w:spacing w:val="-1"/>
        <w:w w:val="100"/>
        <w:sz w:val="22"/>
        <w:szCs w:val="22"/>
        <w:lang w:val="en-US" w:eastAsia="en-US" w:bidi="en-US"/>
      </w:rPr>
    </w:lvl>
    <w:lvl w:ilvl="1">
      <w:start w:val="0"/>
      <w:numFmt w:val="bullet"/>
      <w:lvlText w:val="•"/>
      <w:lvlJc w:val="left"/>
      <w:pPr>
        <w:ind w:left="2052" w:hanging="408"/>
      </w:pPr>
      <w:rPr>
        <w:rFonts w:hint="default"/>
        <w:lang w:val="en-US" w:eastAsia="en-US" w:bidi="en-US"/>
      </w:rPr>
    </w:lvl>
    <w:lvl w:ilvl="2">
      <w:start w:val="0"/>
      <w:numFmt w:val="bullet"/>
      <w:lvlText w:val="•"/>
      <w:lvlJc w:val="left"/>
      <w:pPr>
        <w:ind w:left="2924" w:hanging="408"/>
      </w:pPr>
      <w:rPr>
        <w:rFonts w:hint="default"/>
        <w:lang w:val="en-US" w:eastAsia="en-US" w:bidi="en-US"/>
      </w:rPr>
    </w:lvl>
    <w:lvl w:ilvl="3">
      <w:start w:val="0"/>
      <w:numFmt w:val="bullet"/>
      <w:lvlText w:val="•"/>
      <w:lvlJc w:val="left"/>
      <w:pPr>
        <w:ind w:left="3797" w:hanging="408"/>
      </w:pPr>
      <w:rPr>
        <w:rFonts w:hint="default"/>
        <w:lang w:val="en-US" w:eastAsia="en-US" w:bidi="en-US"/>
      </w:rPr>
    </w:lvl>
    <w:lvl w:ilvl="4">
      <w:start w:val="0"/>
      <w:numFmt w:val="bullet"/>
      <w:lvlText w:val="•"/>
      <w:lvlJc w:val="left"/>
      <w:pPr>
        <w:ind w:left="4669" w:hanging="408"/>
      </w:pPr>
      <w:rPr>
        <w:rFonts w:hint="default"/>
        <w:lang w:val="en-US" w:eastAsia="en-US" w:bidi="en-US"/>
      </w:rPr>
    </w:lvl>
    <w:lvl w:ilvl="5">
      <w:start w:val="0"/>
      <w:numFmt w:val="bullet"/>
      <w:lvlText w:val="•"/>
      <w:lvlJc w:val="left"/>
      <w:pPr>
        <w:ind w:left="5542" w:hanging="408"/>
      </w:pPr>
      <w:rPr>
        <w:rFonts w:hint="default"/>
        <w:lang w:val="en-US" w:eastAsia="en-US" w:bidi="en-US"/>
      </w:rPr>
    </w:lvl>
    <w:lvl w:ilvl="6">
      <w:start w:val="0"/>
      <w:numFmt w:val="bullet"/>
      <w:lvlText w:val="•"/>
      <w:lvlJc w:val="left"/>
      <w:pPr>
        <w:ind w:left="6414" w:hanging="408"/>
      </w:pPr>
      <w:rPr>
        <w:rFonts w:hint="default"/>
        <w:lang w:val="en-US" w:eastAsia="en-US" w:bidi="en-US"/>
      </w:rPr>
    </w:lvl>
    <w:lvl w:ilvl="7">
      <w:start w:val="0"/>
      <w:numFmt w:val="bullet"/>
      <w:lvlText w:val="•"/>
      <w:lvlJc w:val="left"/>
      <w:pPr>
        <w:ind w:left="7286" w:hanging="408"/>
      </w:pPr>
      <w:rPr>
        <w:rFonts w:hint="default"/>
        <w:lang w:val="en-US" w:eastAsia="en-US" w:bidi="en-US"/>
      </w:rPr>
    </w:lvl>
    <w:lvl w:ilvl="8">
      <w:start w:val="0"/>
      <w:numFmt w:val="bullet"/>
      <w:lvlText w:val="•"/>
      <w:lvlJc w:val="left"/>
      <w:pPr>
        <w:ind w:left="8159" w:hanging="408"/>
      </w:pPr>
      <w:rPr>
        <w:rFonts w:hint="default"/>
        <w:lang w:val="en-US" w:eastAsia="en-US" w:bidi="en-US"/>
      </w:rPr>
    </w:lvl>
  </w:abstractNum>
  <w:abstractNum w:abstractNumId="3">
    <w:multiLevelType w:val="hybridMultilevel"/>
    <w:lvl w:ilvl="0">
      <w:start w:val="2"/>
      <w:numFmt w:val="lowerLetter"/>
      <w:lvlText w:val="(%1)"/>
      <w:lvlJc w:val="left"/>
      <w:pPr>
        <w:ind w:left="1181" w:hanging="360"/>
        <w:jc w:val="right"/>
      </w:pPr>
      <w:rPr>
        <w:rFonts w:hint="default" w:ascii="Calibri" w:hAnsi="Calibri" w:eastAsia="Calibri" w:cs="Calibri"/>
        <w:color w:val="006FC0"/>
        <w:spacing w:val="-1"/>
        <w:w w:val="100"/>
        <w:sz w:val="22"/>
        <w:szCs w:val="22"/>
        <w:lang w:val="en-US" w:eastAsia="en-US" w:bidi="en-US"/>
      </w:rPr>
    </w:lvl>
    <w:lvl w:ilvl="1">
      <w:start w:val="1"/>
      <w:numFmt w:val="lowerRoman"/>
      <w:lvlText w:val="%2."/>
      <w:lvlJc w:val="left"/>
      <w:pPr>
        <w:ind w:left="2621" w:hanging="288"/>
        <w:jc w:val="right"/>
      </w:pPr>
      <w:rPr>
        <w:rFonts w:hint="default"/>
        <w:spacing w:val="0"/>
        <w:w w:val="100"/>
        <w:lang w:val="en-US" w:eastAsia="en-US" w:bidi="en-US"/>
      </w:rPr>
    </w:lvl>
    <w:lvl w:ilvl="2">
      <w:start w:val="0"/>
      <w:numFmt w:val="bullet"/>
      <w:lvlText w:val="•"/>
      <w:lvlJc w:val="left"/>
      <w:pPr>
        <w:ind w:left="3429" w:hanging="288"/>
      </w:pPr>
      <w:rPr>
        <w:rFonts w:hint="default"/>
        <w:lang w:val="en-US" w:eastAsia="en-US" w:bidi="en-US"/>
      </w:rPr>
    </w:lvl>
    <w:lvl w:ilvl="3">
      <w:start w:val="0"/>
      <w:numFmt w:val="bullet"/>
      <w:lvlText w:val="•"/>
      <w:lvlJc w:val="left"/>
      <w:pPr>
        <w:ind w:left="4238" w:hanging="288"/>
      </w:pPr>
      <w:rPr>
        <w:rFonts w:hint="default"/>
        <w:lang w:val="en-US" w:eastAsia="en-US" w:bidi="en-US"/>
      </w:rPr>
    </w:lvl>
    <w:lvl w:ilvl="4">
      <w:start w:val="0"/>
      <w:numFmt w:val="bullet"/>
      <w:lvlText w:val="•"/>
      <w:lvlJc w:val="left"/>
      <w:pPr>
        <w:ind w:left="5048" w:hanging="288"/>
      </w:pPr>
      <w:rPr>
        <w:rFonts w:hint="default"/>
        <w:lang w:val="en-US" w:eastAsia="en-US" w:bidi="en-US"/>
      </w:rPr>
    </w:lvl>
    <w:lvl w:ilvl="5">
      <w:start w:val="0"/>
      <w:numFmt w:val="bullet"/>
      <w:lvlText w:val="•"/>
      <w:lvlJc w:val="left"/>
      <w:pPr>
        <w:ind w:left="5857" w:hanging="288"/>
      </w:pPr>
      <w:rPr>
        <w:rFonts w:hint="default"/>
        <w:lang w:val="en-US" w:eastAsia="en-US" w:bidi="en-US"/>
      </w:rPr>
    </w:lvl>
    <w:lvl w:ilvl="6">
      <w:start w:val="0"/>
      <w:numFmt w:val="bullet"/>
      <w:lvlText w:val="•"/>
      <w:lvlJc w:val="left"/>
      <w:pPr>
        <w:ind w:left="6666" w:hanging="288"/>
      </w:pPr>
      <w:rPr>
        <w:rFonts w:hint="default"/>
        <w:lang w:val="en-US" w:eastAsia="en-US" w:bidi="en-US"/>
      </w:rPr>
    </w:lvl>
    <w:lvl w:ilvl="7">
      <w:start w:val="0"/>
      <w:numFmt w:val="bullet"/>
      <w:lvlText w:val="•"/>
      <w:lvlJc w:val="left"/>
      <w:pPr>
        <w:ind w:left="7476" w:hanging="288"/>
      </w:pPr>
      <w:rPr>
        <w:rFonts w:hint="default"/>
        <w:lang w:val="en-US" w:eastAsia="en-US" w:bidi="en-US"/>
      </w:rPr>
    </w:lvl>
    <w:lvl w:ilvl="8">
      <w:start w:val="0"/>
      <w:numFmt w:val="bullet"/>
      <w:lvlText w:val="•"/>
      <w:lvlJc w:val="left"/>
      <w:pPr>
        <w:ind w:left="8285" w:hanging="288"/>
      </w:pPr>
      <w:rPr>
        <w:rFonts w:hint="default"/>
        <w:lang w:val="en-US" w:eastAsia="en-US" w:bidi="en-US"/>
      </w:rPr>
    </w:lvl>
  </w:abstractNum>
  <w:abstractNum w:abstractNumId="2">
    <w:multiLevelType w:val="hybridMultilevel"/>
    <w:lvl w:ilvl="0">
      <w:start w:val="1"/>
      <w:numFmt w:val="lowerRoman"/>
      <w:lvlText w:val="(%1)"/>
      <w:lvlJc w:val="left"/>
      <w:pPr>
        <w:ind w:left="2261" w:hanging="721"/>
        <w:jc w:val="left"/>
      </w:pPr>
      <w:rPr>
        <w:rFonts w:hint="default" w:ascii="Calibri" w:hAnsi="Calibri" w:eastAsia="Calibri" w:cs="Calibri"/>
        <w:color w:val="006FC0"/>
        <w:spacing w:val="-1"/>
        <w:w w:val="100"/>
        <w:sz w:val="22"/>
        <w:szCs w:val="22"/>
        <w:lang w:val="en-US" w:eastAsia="en-US" w:bidi="en-US"/>
      </w:rPr>
    </w:lvl>
    <w:lvl w:ilvl="1">
      <w:start w:val="0"/>
      <w:numFmt w:val="bullet"/>
      <w:lvlText w:val="•"/>
      <w:lvlJc w:val="left"/>
      <w:pPr>
        <w:ind w:left="3024" w:hanging="721"/>
      </w:pPr>
      <w:rPr>
        <w:rFonts w:hint="default"/>
        <w:lang w:val="en-US" w:eastAsia="en-US" w:bidi="en-US"/>
      </w:rPr>
    </w:lvl>
    <w:lvl w:ilvl="2">
      <w:start w:val="0"/>
      <w:numFmt w:val="bullet"/>
      <w:lvlText w:val="•"/>
      <w:lvlJc w:val="left"/>
      <w:pPr>
        <w:ind w:left="3788" w:hanging="721"/>
      </w:pPr>
      <w:rPr>
        <w:rFonts w:hint="default"/>
        <w:lang w:val="en-US" w:eastAsia="en-US" w:bidi="en-US"/>
      </w:rPr>
    </w:lvl>
    <w:lvl w:ilvl="3">
      <w:start w:val="0"/>
      <w:numFmt w:val="bullet"/>
      <w:lvlText w:val="•"/>
      <w:lvlJc w:val="left"/>
      <w:pPr>
        <w:ind w:left="4553" w:hanging="721"/>
      </w:pPr>
      <w:rPr>
        <w:rFonts w:hint="default"/>
        <w:lang w:val="en-US" w:eastAsia="en-US" w:bidi="en-US"/>
      </w:rPr>
    </w:lvl>
    <w:lvl w:ilvl="4">
      <w:start w:val="0"/>
      <w:numFmt w:val="bullet"/>
      <w:lvlText w:val="•"/>
      <w:lvlJc w:val="left"/>
      <w:pPr>
        <w:ind w:left="5317" w:hanging="721"/>
      </w:pPr>
      <w:rPr>
        <w:rFonts w:hint="default"/>
        <w:lang w:val="en-US" w:eastAsia="en-US" w:bidi="en-US"/>
      </w:rPr>
    </w:lvl>
    <w:lvl w:ilvl="5">
      <w:start w:val="0"/>
      <w:numFmt w:val="bullet"/>
      <w:lvlText w:val="•"/>
      <w:lvlJc w:val="left"/>
      <w:pPr>
        <w:ind w:left="6082" w:hanging="721"/>
      </w:pPr>
      <w:rPr>
        <w:rFonts w:hint="default"/>
        <w:lang w:val="en-US" w:eastAsia="en-US" w:bidi="en-US"/>
      </w:rPr>
    </w:lvl>
    <w:lvl w:ilvl="6">
      <w:start w:val="0"/>
      <w:numFmt w:val="bullet"/>
      <w:lvlText w:val="•"/>
      <w:lvlJc w:val="left"/>
      <w:pPr>
        <w:ind w:left="6846" w:hanging="721"/>
      </w:pPr>
      <w:rPr>
        <w:rFonts w:hint="default"/>
        <w:lang w:val="en-US" w:eastAsia="en-US" w:bidi="en-US"/>
      </w:rPr>
    </w:lvl>
    <w:lvl w:ilvl="7">
      <w:start w:val="0"/>
      <w:numFmt w:val="bullet"/>
      <w:lvlText w:val="•"/>
      <w:lvlJc w:val="left"/>
      <w:pPr>
        <w:ind w:left="7610" w:hanging="721"/>
      </w:pPr>
      <w:rPr>
        <w:rFonts w:hint="default"/>
        <w:lang w:val="en-US" w:eastAsia="en-US" w:bidi="en-US"/>
      </w:rPr>
    </w:lvl>
    <w:lvl w:ilvl="8">
      <w:start w:val="0"/>
      <w:numFmt w:val="bullet"/>
      <w:lvlText w:val="•"/>
      <w:lvlJc w:val="left"/>
      <w:pPr>
        <w:ind w:left="8375" w:hanging="721"/>
      </w:pPr>
      <w:rPr>
        <w:rFonts w:hint="default"/>
        <w:lang w:val="en-US" w:eastAsia="en-US" w:bidi="en-US"/>
      </w:rPr>
    </w:lvl>
  </w:abstractNum>
  <w:abstractNum w:abstractNumId="1">
    <w:multiLevelType w:val="hybridMultilevel"/>
    <w:lvl w:ilvl="0">
      <w:start w:val="1"/>
      <w:numFmt w:val="lowerRoman"/>
      <w:lvlText w:val="(%1)"/>
      <w:lvlJc w:val="left"/>
      <w:pPr>
        <w:ind w:left="1901" w:hanging="361"/>
        <w:jc w:val="left"/>
      </w:pPr>
      <w:rPr>
        <w:rFonts w:hint="default" w:ascii="Calibri" w:hAnsi="Calibri" w:eastAsia="Calibri" w:cs="Calibri"/>
        <w:color w:val="00AFEF"/>
        <w:spacing w:val="-1"/>
        <w:w w:val="100"/>
        <w:sz w:val="22"/>
        <w:szCs w:val="22"/>
        <w:lang w:val="en-US" w:eastAsia="en-US" w:bidi="en-US"/>
      </w:rPr>
    </w:lvl>
    <w:lvl w:ilvl="1">
      <w:start w:val="0"/>
      <w:numFmt w:val="bullet"/>
      <w:lvlText w:val="o"/>
      <w:lvlJc w:val="left"/>
      <w:pPr>
        <w:ind w:left="2621" w:hanging="360"/>
      </w:pPr>
      <w:rPr>
        <w:rFonts w:hint="default"/>
        <w:w w:val="100"/>
        <w:lang w:val="en-US" w:eastAsia="en-US" w:bidi="en-US"/>
      </w:rPr>
    </w:lvl>
    <w:lvl w:ilvl="2">
      <w:start w:val="0"/>
      <w:numFmt w:val="bullet"/>
      <w:lvlText w:val=""/>
      <w:lvlJc w:val="left"/>
      <w:pPr>
        <w:ind w:left="3342" w:hanging="360"/>
      </w:pPr>
      <w:rPr>
        <w:rFonts w:hint="default"/>
        <w:w w:val="100"/>
        <w:lang w:val="en-US" w:eastAsia="en-US" w:bidi="en-US"/>
      </w:rPr>
    </w:lvl>
    <w:lvl w:ilvl="3">
      <w:start w:val="0"/>
      <w:numFmt w:val="bullet"/>
      <w:lvlText w:val="•"/>
      <w:lvlJc w:val="left"/>
      <w:pPr>
        <w:ind w:left="4160" w:hanging="360"/>
      </w:pPr>
      <w:rPr>
        <w:rFonts w:hint="default"/>
        <w:lang w:val="en-US" w:eastAsia="en-US" w:bidi="en-US"/>
      </w:rPr>
    </w:lvl>
    <w:lvl w:ilvl="4">
      <w:start w:val="0"/>
      <w:numFmt w:val="bullet"/>
      <w:lvlText w:val="•"/>
      <w:lvlJc w:val="left"/>
      <w:pPr>
        <w:ind w:left="4981" w:hanging="360"/>
      </w:pPr>
      <w:rPr>
        <w:rFonts w:hint="default"/>
        <w:lang w:val="en-US" w:eastAsia="en-US" w:bidi="en-US"/>
      </w:rPr>
    </w:lvl>
    <w:lvl w:ilvl="5">
      <w:start w:val="0"/>
      <w:numFmt w:val="bullet"/>
      <w:lvlText w:val="•"/>
      <w:lvlJc w:val="left"/>
      <w:pPr>
        <w:ind w:left="5801" w:hanging="360"/>
      </w:pPr>
      <w:rPr>
        <w:rFonts w:hint="default"/>
        <w:lang w:val="en-US" w:eastAsia="en-US" w:bidi="en-US"/>
      </w:rPr>
    </w:lvl>
    <w:lvl w:ilvl="6">
      <w:start w:val="0"/>
      <w:numFmt w:val="bullet"/>
      <w:lvlText w:val="•"/>
      <w:lvlJc w:val="left"/>
      <w:pPr>
        <w:ind w:left="6622" w:hanging="360"/>
      </w:pPr>
      <w:rPr>
        <w:rFonts w:hint="default"/>
        <w:lang w:val="en-US" w:eastAsia="en-US" w:bidi="en-US"/>
      </w:rPr>
    </w:lvl>
    <w:lvl w:ilvl="7">
      <w:start w:val="0"/>
      <w:numFmt w:val="bullet"/>
      <w:lvlText w:val="•"/>
      <w:lvlJc w:val="left"/>
      <w:pPr>
        <w:ind w:left="7442" w:hanging="360"/>
      </w:pPr>
      <w:rPr>
        <w:rFonts w:hint="default"/>
        <w:lang w:val="en-US" w:eastAsia="en-US" w:bidi="en-US"/>
      </w:rPr>
    </w:lvl>
    <w:lvl w:ilvl="8">
      <w:start w:val="0"/>
      <w:numFmt w:val="bullet"/>
      <w:lvlText w:val="•"/>
      <w:lvlJc w:val="left"/>
      <w:pPr>
        <w:ind w:left="8263" w:hanging="360"/>
      </w:pPr>
      <w:rPr>
        <w:rFonts w:hint="default"/>
        <w:lang w:val="en-US" w:eastAsia="en-US" w:bidi="en-US"/>
      </w:rPr>
    </w:lvl>
  </w:abstractNum>
  <w:abstractNum w:abstractNumId="0">
    <w:multiLevelType w:val="hybridMultilevel"/>
    <w:lvl w:ilvl="0">
      <w:start w:val="1"/>
      <w:numFmt w:val="lowerLetter"/>
      <w:lvlText w:val="(%1)"/>
      <w:lvlJc w:val="left"/>
      <w:pPr>
        <w:ind w:left="1181" w:hanging="360"/>
        <w:jc w:val="left"/>
      </w:pPr>
      <w:rPr>
        <w:rFonts w:hint="default"/>
        <w:spacing w:val="-1"/>
        <w:w w:val="100"/>
        <w:lang w:val="en-US" w:eastAsia="en-US" w:bidi="en-US"/>
      </w:rPr>
    </w:lvl>
    <w:lvl w:ilvl="1">
      <w:start w:val="1"/>
      <w:numFmt w:val="lowerRoman"/>
      <w:lvlText w:val="%2."/>
      <w:lvlJc w:val="left"/>
      <w:pPr>
        <w:ind w:left="1901" w:hanging="361"/>
        <w:jc w:val="left"/>
      </w:pPr>
      <w:rPr>
        <w:rFonts w:hint="default"/>
        <w:spacing w:val="0"/>
        <w:w w:val="100"/>
        <w:lang w:val="en-US" w:eastAsia="en-US" w:bidi="en-US"/>
      </w:rPr>
    </w:lvl>
    <w:lvl w:ilvl="2">
      <w:start w:val="0"/>
      <w:numFmt w:val="bullet"/>
      <w:lvlText w:val="•"/>
      <w:lvlJc w:val="left"/>
      <w:pPr>
        <w:ind w:left="2789" w:hanging="361"/>
      </w:pPr>
      <w:rPr>
        <w:rFonts w:hint="default"/>
        <w:lang w:val="en-US" w:eastAsia="en-US" w:bidi="en-US"/>
      </w:rPr>
    </w:lvl>
    <w:lvl w:ilvl="3">
      <w:start w:val="0"/>
      <w:numFmt w:val="bullet"/>
      <w:lvlText w:val="•"/>
      <w:lvlJc w:val="left"/>
      <w:pPr>
        <w:ind w:left="3678" w:hanging="361"/>
      </w:pPr>
      <w:rPr>
        <w:rFonts w:hint="default"/>
        <w:lang w:val="en-US" w:eastAsia="en-US" w:bidi="en-US"/>
      </w:rPr>
    </w:lvl>
    <w:lvl w:ilvl="4">
      <w:start w:val="0"/>
      <w:numFmt w:val="bullet"/>
      <w:lvlText w:val="•"/>
      <w:lvlJc w:val="left"/>
      <w:pPr>
        <w:ind w:left="4568" w:hanging="361"/>
      </w:pPr>
      <w:rPr>
        <w:rFonts w:hint="default"/>
        <w:lang w:val="en-US" w:eastAsia="en-US" w:bidi="en-US"/>
      </w:rPr>
    </w:lvl>
    <w:lvl w:ilvl="5">
      <w:start w:val="0"/>
      <w:numFmt w:val="bullet"/>
      <w:lvlText w:val="•"/>
      <w:lvlJc w:val="left"/>
      <w:pPr>
        <w:ind w:left="5457" w:hanging="361"/>
      </w:pPr>
      <w:rPr>
        <w:rFonts w:hint="default"/>
        <w:lang w:val="en-US" w:eastAsia="en-US" w:bidi="en-US"/>
      </w:rPr>
    </w:lvl>
    <w:lvl w:ilvl="6">
      <w:start w:val="0"/>
      <w:numFmt w:val="bullet"/>
      <w:lvlText w:val="•"/>
      <w:lvlJc w:val="left"/>
      <w:pPr>
        <w:ind w:left="6346" w:hanging="361"/>
      </w:pPr>
      <w:rPr>
        <w:rFonts w:hint="default"/>
        <w:lang w:val="en-US" w:eastAsia="en-US" w:bidi="en-US"/>
      </w:rPr>
    </w:lvl>
    <w:lvl w:ilvl="7">
      <w:start w:val="0"/>
      <w:numFmt w:val="bullet"/>
      <w:lvlText w:val="•"/>
      <w:lvlJc w:val="left"/>
      <w:pPr>
        <w:ind w:left="7236" w:hanging="361"/>
      </w:pPr>
      <w:rPr>
        <w:rFonts w:hint="default"/>
        <w:lang w:val="en-US" w:eastAsia="en-US" w:bidi="en-US"/>
      </w:rPr>
    </w:lvl>
    <w:lvl w:ilvl="8">
      <w:start w:val="0"/>
      <w:numFmt w:val="bullet"/>
      <w:lvlText w:val="•"/>
      <w:lvlJc w:val="left"/>
      <w:pPr>
        <w:ind w:left="8125" w:hanging="361"/>
      </w:pPr>
      <w:rPr>
        <w:rFonts w:hint="default"/>
        <w:lang w:val="en-US" w:eastAsia="en-US" w:bidi="en-US"/>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Calibri" w:hAnsi="Calibri" w:eastAsia="Calibri" w:cs="Calibri"/>
      <w:sz w:val="22"/>
      <w:szCs w:val="22"/>
      <w:lang w:val="en-US" w:eastAsia="en-US" w:bidi="en-US"/>
    </w:rPr>
  </w:style>
  <w:style w:styleId="Heading1" w:type="paragraph">
    <w:name w:val="Heading 1"/>
    <w:basedOn w:val="Normal"/>
    <w:uiPriority w:val="1"/>
    <w:qFormat/>
    <w:pPr>
      <w:ind w:left="118" w:right="799" w:hanging="1998"/>
      <w:jc w:val="center"/>
      <w:outlineLvl w:val="1"/>
    </w:pPr>
    <w:rPr>
      <w:rFonts w:ascii="Arial Black" w:hAnsi="Arial Black" w:eastAsia="Arial Black" w:cs="Arial Black"/>
      <w:sz w:val="42"/>
      <w:szCs w:val="42"/>
      <w:lang w:val="en-US" w:eastAsia="en-US" w:bidi="en-US"/>
    </w:rPr>
  </w:style>
  <w:style w:styleId="Heading2" w:type="paragraph">
    <w:name w:val="Heading 2"/>
    <w:basedOn w:val="Normal"/>
    <w:uiPriority w:val="1"/>
    <w:qFormat/>
    <w:pPr>
      <w:ind w:left="100" w:right="774"/>
      <w:jc w:val="both"/>
      <w:outlineLvl w:val="2"/>
    </w:pPr>
    <w:rPr>
      <w:rFonts w:ascii="Times New Roman" w:hAnsi="Times New Roman" w:eastAsia="Times New Roman" w:cs="Times New Roman"/>
      <w:sz w:val="24"/>
      <w:szCs w:val="24"/>
      <w:lang w:val="en-US" w:eastAsia="en-US" w:bidi="en-US"/>
    </w:rPr>
  </w:style>
  <w:style w:styleId="Heading3" w:type="paragraph">
    <w:name w:val="Heading 3"/>
    <w:basedOn w:val="Normal"/>
    <w:uiPriority w:val="1"/>
    <w:qFormat/>
    <w:pPr>
      <w:spacing w:before="10"/>
      <w:ind w:left="100"/>
      <w:outlineLvl w:val="3"/>
    </w:pPr>
    <w:rPr>
      <w:rFonts w:ascii="Calibri" w:hAnsi="Calibri" w:eastAsia="Calibri" w:cs="Calibri"/>
      <w:b/>
      <w:bCs/>
      <w:sz w:val="22"/>
      <w:szCs w:val="22"/>
      <w:lang w:val="en-US" w:eastAsia="en-US" w:bidi="en-US"/>
    </w:rPr>
  </w:style>
  <w:style w:styleId="ListParagraph" w:type="paragraph">
    <w:name w:val="List Paragraph"/>
    <w:basedOn w:val="Normal"/>
    <w:uiPriority w:val="1"/>
    <w:qFormat/>
    <w:pPr>
      <w:ind w:left="1181" w:hanging="360"/>
    </w:pPr>
    <w:rPr>
      <w:rFonts w:ascii="Calibri" w:hAnsi="Calibri" w:eastAsia="Calibri" w:cs="Calibri"/>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lng.lalit@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lng.lali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terms:created xsi:type="dcterms:W3CDTF">2019-11-21T04:30:05Z</dcterms:created>
  <dcterms:modified xsi:type="dcterms:W3CDTF">2019-11-21T04:30:05Z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2019-11-20T00:00:00Z</vt:filetime>
  </property>
  <property fmtid="{D5CDD505-2E9C-101B-9397-08002B2CF9AE}" pid="3" name="Creator">
    <vt:lpwstr>Microsoft® Word 2016</vt:lpwstr>
  </property>
  <property fmtid="{D5CDD505-2E9C-101B-9397-08002B2CF9AE}" pid="4" name="LastSaved">
    <vt:filetime>2019-11-21T00:00:00Z</vt:filetime>
  </property>
</Properties>
</file>