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The Ministry of Corporate Affairs has recently notified that it would be conducting KYC (Know Your Customer) verification for Directors of all companies through a new </w:t>
      </w:r>
      <w:proofErr w:type="spellStart"/>
      <w:r>
        <w:rPr>
          <w:rFonts w:ascii="Arial" w:hAnsi="Arial" w:cs="Arial"/>
          <w:sz w:val="21"/>
          <w:szCs w:val="21"/>
        </w:rPr>
        <w:t>eForm</w:t>
      </w:r>
      <w:proofErr w:type="spellEnd"/>
      <w:r>
        <w:rPr>
          <w:rFonts w:ascii="Arial" w:hAnsi="Arial" w:cs="Arial"/>
          <w:sz w:val="21"/>
          <w:szCs w:val="21"/>
        </w:rPr>
        <w:t xml:space="preserve"> DIR-3 KYC. By filing DIR-3 </w:t>
      </w:r>
      <w:proofErr w:type="spellStart"/>
      <w:r>
        <w:rPr>
          <w:rFonts w:ascii="Arial" w:hAnsi="Arial" w:cs="Arial"/>
          <w:sz w:val="21"/>
          <w:szCs w:val="21"/>
        </w:rPr>
        <w:t>eKYC</w:t>
      </w:r>
      <w:proofErr w:type="spellEnd"/>
      <w:r>
        <w:rPr>
          <w:rFonts w:ascii="Arial" w:hAnsi="Arial" w:cs="Arial"/>
          <w:sz w:val="21"/>
          <w:szCs w:val="21"/>
        </w:rPr>
        <w:t xml:space="preserve"> form the Director would have to provide a unique personal mobile number and personal email address which would both be verified with an OTP code.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21"/>
          <w:szCs w:val="21"/>
        </w:rPr>
        <w:t>Who have to File DIR-3 KYC?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As per MCAs recent announcement, any director who was allotted a DIN by or on 31st of March 2018 and whose DIN is in approved </w:t>
      </w:r>
      <w:proofErr w:type="gramStart"/>
      <w:r>
        <w:rPr>
          <w:rFonts w:ascii="Arial" w:hAnsi="Arial" w:cs="Arial"/>
          <w:sz w:val="21"/>
          <w:szCs w:val="21"/>
        </w:rPr>
        <w:t>status,</w:t>
      </w:r>
      <w:proofErr w:type="gramEnd"/>
      <w:r>
        <w:rPr>
          <w:rFonts w:ascii="Arial" w:hAnsi="Arial" w:cs="Arial"/>
          <w:sz w:val="21"/>
          <w:szCs w:val="21"/>
        </w:rPr>
        <w:t xml:space="preserve"> will have to submit his KYC details to the MCA by the 31st day of August. Further, this procedure is mandatory for Disqualified directors too.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21"/>
          <w:szCs w:val="21"/>
        </w:rPr>
        <w:t xml:space="preserve">What are the checkpoints involved in filing the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eForm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DIR-3 KYC?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Unique Personal Mobile Number &amp; Email Id for OTP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Director should have own DSC or Digital Signature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1"/>
          <w:szCs w:val="21"/>
        </w:rPr>
        <w:t>Eform</w:t>
      </w:r>
      <w:proofErr w:type="spellEnd"/>
      <w:r>
        <w:rPr>
          <w:rFonts w:ascii="Arial" w:hAnsi="Arial" w:cs="Arial"/>
          <w:sz w:val="21"/>
          <w:szCs w:val="21"/>
        </w:rPr>
        <w:t xml:space="preserve"> should be Certified by practicing professional (CA/CS/CMA)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21"/>
          <w:szCs w:val="21"/>
        </w:rPr>
        <w:t xml:space="preserve">What happens if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eForm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DIR-3 KYC is not filed within the due date specified?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MCA21 system will mark all approved DINs </w:t>
      </w:r>
      <w:r>
        <w:rPr>
          <w:rStyle w:val="Strong"/>
          <w:rFonts w:ascii="Arial" w:hAnsi="Arial" w:cs="Arial"/>
          <w:sz w:val="21"/>
          <w:szCs w:val="21"/>
        </w:rPr>
        <w:t>(allotted on or before 31st March 2018)</w:t>
      </w:r>
      <w:r>
        <w:rPr>
          <w:rFonts w:ascii="Arial" w:hAnsi="Arial" w:cs="Arial"/>
          <w:sz w:val="21"/>
          <w:szCs w:val="21"/>
        </w:rPr>
        <w:t xml:space="preserve"> against which DIR-3 KYC form has not been filed as </w:t>
      </w:r>
      <w:r>
        <w:rPr>
          <w:rStyle w:val="Strong"/>
          <w:rFonts w:ascii="Arial" w:hAnsi="Arial" w:cs="Arial"/>
          <w:sz w:val="21"/>
          <w:szCs w:val="21"/>
        </w:rPr>
        <w:t>‘Deactivated’</w:t>
      </w:r>
      <w:r>
        <w:rPr>
          <w:rFonts w:ascii="Arial" w:hAnsi="Arial" w:cs="Arial"/>
          <w:sz w:val="21"/>
          <w:szCs w:val="21"/>
        </w:rPr>
        <w:t xml:space="preserve"> with reason as </w:t>
      </w:r>
      <w:r>
        <w:rPr>
          <w:rStyle w:val="Strong"/>
          <w:rFonts w:ascii="Arial" w:hAnsi="Arial" w:cs="Arial"/>
          <w:sz w:val="21"/>
          <w:szCs w:val="21"/>
        </w:rPr>
        <w:t>‘Non-filing of DIR-3 KYC’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After the due date filing of </w:t>
      </w:r>
      <w:r>
        <w:rPr>
          <w:rStyle w:val="Strong"/>
          <w:rFonts w:ascii="Arial" w:hAnsi="Arial" w:cs="Arial"/>
          <w:sz w:val="21"/>
          <w:szCs w:val="21"/>
        </w:rPr>
        <w:t>DIR-3 KYC</w:t>
      </w:r>
      <w:r>
        <w:rPr>
          <w:rFonts w:ascii="Arial" w:hAnsi="Arial" w:cs="Arial"/>
          <w:sz w:val="21"/>
          <w:szCs w:val="21"/>
        </w:rPr>
        <w:t xml:space="preserve"> in respect of such </w:t>
      </w:r>
      <w:r>
        <w:rPr>
          <w:rStyle w:val="Strong"/>
          <w:rFonts w:ascii="Arial" w:hAnsi="Arial" w:cs="Arial"/>
          <w:sz w:val="21"/>
          <w:szCs w:val="21"/>
        </w:rPr>
        <w:t>deactivated DINs</w:t>
      </w:r>
      <w:r>
        <w:rPr>
          <w:rFonts w:ascii="Arial" w:hAnsi="Arial" w:cs="Arial"/>
          <w:sz w:val="21"/>
          <w:szCs w:val="21"/>
        </w:rPr>
        <w:t xml:space="preserve"> shall be allowed upon payment of a specified fee of Rs. 5,000/- only, without prejudice to any other action that may be taken.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21"/>
          <w:szCs w:val="21"/>
        </w:rPr>
        <w:t>Important Points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Filing of DIR-3 KYC would be mandatory for Disqualified Directors also.</w:t>
      </w:r>
    </w:p>
    <w:p w:rsidR="000B1C3B" w:rsidRDefault="000B1C3B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Due date of filing of DIR-3KYC is on or before 3st August, 2018</w:t>
      </w:r>
    </w:p>
    <w:p w:rsidR="00FA3B1A" w:rsidRPr="000B1C3B" w:rsidRDefault="00FA3B1A" w:rsidP="000B1C3B">
      <w:pPr>
        <w:pStyle w:val="NormalWeb"/>
        <w:spacing w:before="0" w:beforeAutospacing="0" w:after="150" w:afterAutospacing="0" w:line="360" w:lineRule="auto"/>
        <w:rPr>
          <w:rFonts w:ascii="Arial" w:hAnsi="Arial" w:cs="Arial"/>
          <w:sz w:val="20"/>
          <w:szCs w:val="20"/>
        </w:rPr>
      </w:pPr>
    </w:p>
    <w:sectPr w:rsidR="00FA3B1A" w:rsidRPr="000B1C3B" w:rsidSect="00FA3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0B1C3B"/>
    <w:rsid w:val="000B1C3B"/>
    <w:rsid w:val="00FA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C3B"/>
    <w:pPr>
      <w:spacing w:after="0" w:line="240" w:lineRule="auto"/>
    </w:pPr>
    <w:rPr>
      <w:rFonts w:ascii="Calibri" w:hAnsi="Calibri" w:cs="Calibri"/>
      <w:lang w:eastAsia="en-IN"/>
    </w:rPr>
  </w:style>
  <w:style w:type="paragraph" w:styleId="Heading6">
    <w:name w:val="heading 6"/>
    <w:basedOn w:val="Normal"/>
    <w:link w:val="Heading6Char"/>
    <w:uiPriority w:val="9"/>
    <w:unhideWhenUsed/>
    <w:qFormat/>
    <w:rsid w:val="000B1C3B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0B1C3B"/>
    <w:rPr>
      <w:rFonts w:ascii="Calibri" w:hAnsi="Calibri" w:cs="Calibri"/>
      <w:b/>
      <w:bCs/>
      <w:sz w:val="15"/>
      <w:szCs w:val="15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0B1C3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B1C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1C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Trapti</dc:creator>
  <cp:lastModifiedBy>Trapti</cp:lastModifiedBy>
  <cp:revision>1</cp:revision>
  <dcterms:created xsi:type="dcterms:W3CDTF">2018-07-09T05:26:00Z</dcterms:created>
  <dcterms:modified xsi:type="dcterms:W3CDTF">2018-07-09T05:27:00Z</dcterms:modified>
</cp:coreProperties>
</file>