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85C" w:rsidRPr="00210BA0" w:rsidRDefault="001E585C" w:rsidP="001E585C">
      <w:pPr>
        <w:rPr>
          <w:b/>
        </w:rPr>
      </w:pPr>
      <w:r>
        <w:rPr>
          <w:b/>
        </w:rPr>
        <w:t>Other important topics</w:t>
      </w:r>
      <w:r>
        <w:t xml:space="preserve"> </w:t>
      </w:r>
    </w:p>
    <w:p w:rsidR="001E585C" w:rsidRDefault="001E585C" w:rsidP="001E585C">
      <w:pPr>
        <w:pStyle w:val="ListParagraph"/>
        <w:numPr>
          <w:ilvl w:val="0"/>
          <w:numId w:val="1"/>
        </w:numPr>
      </w:pPr>
      <w:r>
        <w:t xml:space="preserve">Section 248 striking off </w:t>
      </w:r>
    </w:p>
    <w:p w:rsidR="001E585C" w:rsidRDefault="001E585C" w:rsidP="001E585C">
      <w:pPr>
        <w:pStyle w:val="ListParagraph"/>
      </w:pPr>
      <w:r>
        <w:t xml:space="preserve">Section 248 of Companies Act, 2013 deals with Power of Registrar to remove name of company from register of companies. Removal of name from register of companies may </w:t>
      </w:r>
      <w:proofErr w:type="gramStart"/>
      <w:r>
        <w:t>be :</w:t>
      </w:r>
      <w:proofErr w:type="gramEnd"/>
      <w:r>
        <w:t xml:space="preserve"> </w:t>
      </w:r>
    </w:p>
    <w:p w:rsidR="001E585C" w:rsidRDefault="001E585C" w:rsidP="001E585C">
      <w:pPr>
        <w:pStyle w:val="ListParagraph"/>
      </w:pPr>
      <w:r>
        <w:t xml:space="preserve">(1) By Registrar </w:t>
      </w:r>
    </w:p>
    <w:p w:rsidR="001E585C" w:rsidRDefault="001E585C" w:rsidP="001E585C">
      <w:pPr>
        <w:pStyle w:val="ListParagraph"/>
      </w:pPr>
      <w:r>
        <w:t xml:space="preserve">(2) By the Company own its own Removal of name from Register of Companies by Registrar Section 248 provides that in case the Registrar has reasonable cause to believe that – </w:t>
      </w:r>
    </w:p>
    <w:p w:rsidR="001E585C" w:rsidRDefault="001E585C" w:rsidP="001E585C">
      <w:pPr>
        <w:pStyle w:val="ListParagraph"/>
      </w:pPr>
      <w:r>
        <w:t xml:space="preserve">(a) </w:t>
      </w:r>
      <w:proofErr w:type="gramStart"/>
      <w:r>
        <w:t>a</w:t>
      </w:r>
      <w:proofErr w:type="gramEnd"/>
      <w:r>
        <w:t xml:space="preserve"> company has failed to commence its business within one year of its incorporation; or </w:t>
      </w:r>
    </w:p>
    <w:p w:rsidR="001E585C" w:rsidRDefault="001E585C" w:rsidP="001E585C">
      <w:pPr>
        <w:pStyle w:val="ListParagraph"/>
      </w:pPr>
      <w:r>
        <w:t xml:space="preserve">(b) </w:t>
      </w:r>
      <w:proofErr w:type="gramStart"/>
      <w:r>
        <w:t>a</w:t>
      </w:r>
      <w:proofErr w:type="gramEnd"/>
      <w:r>
        <w:t xml:space="preserve"> company is not carrying on any business or operation for a period of two immediately preceding financial years and has not made any application within such period for obtaining the status of a dormant company under section 455</w:t>
      </w:r>
    </w:p>
    <w:p w:rsidR="001E585C" w:rsidRDefault="001E585C" w:rsidP="001E585C">
      <w:pPr>
        <w:pStyle w:val="ListParagraph"/>
      </w:pPr>
    </w:p>
    <w:p w:rsidR="001E585C" w:rsidRDefault="001E585C" w:rsidP="001E585C">
      <w:pPr>
        <w:pStyle w:val="ListParagraph"/>
      </w:pPr>
      <w:r>
        <w:t xml:space="preserve">Removal of name from Register of companies by the company on its own: </w:t>
      </w:r>
    </w:p>
    <w:p w:rsidR="001E585C" w:rsidRDefault="001E585C" w:rsidP="001E585C">
      <w:pPr>
        <w:pStyle w:val="ListParagraph"/>
      </w:pPr>
      <w:r>
        <w:t>As per provision of Section 248(2</w:t>
      </w:r>
      <w:proofErr w:type="gramStart"/>
      <w:r>
        <w:t>) ,</w:t>
      </w:r>
      <w:proofErr w:type="gramEnd"/>
      <w:r>
        <w:t xml:space="preserve"> a company may apply for removal of name from register of company to registrar subject to the following conditions: 1. company needs to extinguish all its liabilities </w:t>
      </w:r>
    </w:p>
    <w:p w:rsidR="001E585C" w:rsidRDefault="001E585C" w:rsidP="001E585C">
      <w:pPr>
        <w:pStyle w:val="ListParagraph"/>
      </w:pPr>
      <w:r>
        <w:t xml:space="preserve">2. by passing a special resolution or consent of seventy-five per cent. </w:t>
      </w:r>
      <w:proofErr w:type="gramStart"/>
      <w:r>
        <w:t>members</w:t>
      </w:r>
      <w:proofErr w:type="gramEnd"/>
      <w:r>
        <w:t xml:space="preserve"> in terms of paid-up share capital, Once the conditions are fulfilled, the company is required to file an application in the prescribed manner to the Registrar for removing the name of the company from the register of companies </w:t>
      </w:r>
    </w:p>
    <w:p w:rsidR="001E585C" w:rsidRDefault="001E585C" w:rsidP="001E585C">
      <w:pPr>
        <w:pStyle w:val="ListParagraph"/>
      </w:pPr>
    </w:p>
    <w:p w:rsidR="001E585C" w:rsidRDefault="001E585C" w:rsidP="001E585C">
      <w:pPr>
        <w:pStyle w:val="ListParagraph"/>
      </w:pPr>
      <w:r>
        <w:t>The Company may file the application, on the following grounds</w:t>
      </w:r>
      <w:proofErr w:type="gramStart"/>
      <w:r>
        <w:t>:-</w:t>
      </w:r>
      <w:proofErr w:type="gramEnd"/>
      <w:r>
        <w:t xml:space="preserve"> (a) a company has failed to commence its business within one year of its incorporation; or (b) a company is not carrying on any business or operation for a period of two immediately preceding financial years and has not made any application within such period for obtaining the status of a dormant company under section 455,</w:t>
      </w:r>
    </w:p>
    <w:p w:rsidR="001E585C" w:rsidRDefault="001E585C" w:rsidP="001E585C">
      <w:pPr>
        <w:pStyle w:val="ListParagraph"/>
      </w:pPr>
    </w:p>
    <w:p w:rsidR="001E585C" w:rsidRDefault="001E585C" w:rsidP="001E585C">
      <w:pPr>
        <w:pStyle w:val="ListParagraph"/>
      </w:pPr>
      <w:r>
        <w:t xml:space="preserve">Companies that cannot be removed from the Register of Companies Following categories of companies shall not be removed from the register of companies under Rule 3 &amp; 4 of the Companies (Removal of Names of Companies from the Register of Companies) Rules, 2016. </w:t>
      </w:r>
    </w:p>
    <w:p w:rsidR="001E585C" w:rsidRDefault="001E585C" w:rsidP="001E585C">
      <w:pPr>
        <w:pStyle w:val="ListParagraph"/>
      </w:pPr>
      <w:r>
        <w:t xml:space="preserve">a) </w:t>
      </w:r>
      <w:proofErr w:type="gramStart"/>
      <w:r>
        <w:t>listed</w:t>
      </w:r>
      <w:proofErr w:type="gramEnd"/>
      <w:r>
        <w:t xml:space="preserve"> companies; </w:t>
      </w:r>
    </w:p>
    <w:p w:rsidR="001E585C" w:rsidRDefault="001E585C" w:rsidP="001E585C">
      <w:pPr>
        <w:pStyle w:val="ListParagraph"/>
      </w:pPr>
      <w:r>
        <w:t xml:space="preserve">b) </w:t>
      </w:r>
      <w:proofErr w:type="gramStart"/>
      <w:r>
        <w:t>companies</w:t>
      </w:r>
      <w:proofErr w:type="gramEnd"/>
      <w:r>
        <w:t xml:space="preserve"> delisted due to non-compliance of listing regulations or listing agreement or any other statutory laws; </w:t>
      </w:r>
    </w:p>
    <w:p w:rsidR="001E585C" w:rsidRDefault="001E585C" w:rsidP="001E585C">
      <w:pPr>
        <w:pStyle w:val="ListParagraph"/>
      </w:pPr>
      <w:r>
        <w:t xml:space="preserve">c) </w:t>
      </w:r>
      <w:proofErr w:type="gramStart"/>
      <w:r>
        <w:t>vanishing</w:t>
      </w:r>
      <w:proofErr w:type="gramEnd"/>
      <w:r>
        <w:t xml:space="preserve"> companies; </w:t>
      </w:r>
    </w:p>
    <w:p w:rsidR="001E585C" w:rsidRDefault="001E585C" w:rsidP="001E585C">
      <w:pPr>
        <w:pStyle w:val="ListParagraph"/>
      </w:pPr>
      <w:proofErr w:type="gramStart"/>
      <w:r>
        <w:t>d</w:t>
      </w:r>
      <w:proofErr w:type="gramEnd"/>
      <w:r>
        <w:t xml:space="preserve">) companies where inspection or investigation is ordered and being carried out or actions still pending or were completed but prosecutions are still pending in the Court; </w:t>
      </w:r>
    </w:p>
    <w:p w:rsidR="001E585C" w:rsidRDefault="001E585C" w:rsidP="001E585C">
      <w:pPr>
        <w:pStyle w:val="ListParagraph"/>
      </w:pPr>
      <w:r>
        <w:t xml:space="preserve">e) companies where notices under section 234 of the Companies Act, 1956 or section 206 or section 207 of the Act been issued by the Registrar or Inspector and reply thereto is pending or report under section 208 has not been submitted or follow up of instructions on report is pending or where any prosecution arising out of such inquiry or scrutiny, if any, is pending with the Court; </w:t>
      </w:r>
    </w:p>
    <w:p w:rsidR="001E585C" w:rsidRDefault="001E585C" w:rsidP="001E585C">
      <w:pPr>
        <w:pStyle w:val="ListParagraph"/>
      </w:pPr>
      <w:r>
        <w:t>f) companies against which any prosecution for an offence is pending in any court; g) companies whose application for compounding is pending before the competent authority for offences committed by the company or any of its officers in default;</w:t>
      </w:r>
    </w:p>
    <w:p w:rsidR="001E585C" w:rsidRDefault="001E585C" w:rsidP="001E585C">
      <w:pPr>
        <w:pStyle w:val="ListParagraph"/>
        <w:numPr>
          <w:ilvl w:val="0"/>
          <w:numId w:val="1"/>
        </w:numPr>
      </w:pPr>
      <w:r>
        <w:t>Even Do dormant company 455</w:t>
      </w:r>
    </w:p>
    <w:p w:rsidR="001E585C" w:rsidRDefault="001E585C" w:rsidP="001E585C">
      <w:pPr>
        <w:pStyle w:val="ListParagraph"/>
        <w:numPr>
          <w:ilvl w:val="0"/>
          <w:numId w:val="1"/>
        </w:numPr>
      </w:pPr>
      <w:r w:rsidRPr="00547395">
        <w:rPr>
          <w:b/>
        </w:rPr>
        <w:t>Companies (Filing of Documents and Forms in Extensible Business Reporting Language) Rules, 2015</w:t>
      </w:r>
      <w:r>
        <w:t xml:space="preserve"> Rule 3 of the Companies (Filing of Documents and Forms in Extensible Business Reporting Language) Rules, 2015 provides that the following class of companies shall file their financial statement and other documents under section 137 of the Act, with the Registrar in e-form AOC-4 XBRL and the consolidated financial statements, if any, with form AOC-4 CFS. The following class of companies are: </w:t>
      </w:r>
    </w:p>
    <w:p w:rsidR="001E585C" w:rsidRDefault="001E585C" w:rsidP="001E585C">
      <w:pPr>
        <w:pStyle w:val="ListParagraph"/>
      </w:pPr>
      <w:r>
        <w:t>(</w:t>
      </w:r>
      <w:proofErr w:type="spellStart"/>
      <w:r>
        <w:t>i</w:t>
      </w:r>
      <w:proofErr w:type="spellEnd"/>
      <w:r>
        <w:t xml:space="preserve">) </w:t>
      </w:r>
      <w:proofErr w:type="gramStart"/>
      <w:r>
        <w:t>all</w:t>
      </w:r>
      <w:proofErr w:type="gramEnd"/>
      <w:r>
        <w:t xml:space="preserve"> companies listed with any Stock Exchange(s) in India and their Indian subsidiaries; or </w:t>
      </w:r>
    </w:p>
    <w:p w:rsidR="001E585C" w:rsidRDefault="001E585C" w:rsidP="001E585C">
      <w:pPr>
        <w:pStyle w:val="ListParagraph"/>
      </w:pPr>
      <w:r>
        <w:t xml:space="preserve">(ii) </w:t>
      </w:r>
      <w:proofErr w:type="gramStart"/>
      <w:r>
        <w:t>all</w:t>
      </w:r>
      <w:proofErr w:type="gramEnd"/>
      <w:r>
        <w:t xml:space="preserve"> companies having paid up capital of rupees five </w:t>
      </w:r>
      <w:proofErr w:type="spellStart"/>
      <w:r>
        <w:t>crore</w:t>
      </w:r>
      <w:proofErr w:type="spellEnd"/>
      <w:r>
        <w:t xml:space="preserve"> or above; </w:t>
      </w:r>
    </w:p>
    <w:p w:rsidR="001E585C" w:rsidRDefault="001E585C" w:rsidP="001E585C">
      <w:pPr>
        <w:pStyle w:val="ListParagraph"/>
      </w:pPr>
      <w:r>
        <w:t xml:space="preserve">(iii) </w:t>
      </w:r>
      <w:proofErr w:type="gramStart"/>
      <w:r>
        <w:t>all</w:t>
      </w:r>
      <w:proofErr w:type="gramEnd"/>
      <w:r>
        <w:t xml:space="preserve"> companies having turnover of rupees hundred </w:t>
      </w:r>
      <w:proofErr w:type="spellStart"/>
      <w:r>
        <w:t>crore</w:t>
      </w:r>
      <w:proofErr w:type="spellEnd"/>
      <w:r>
        <w:t xml:space="preserve"> or above; or </w:t>
      </w:r>
    </w:p>
    <w:p w:rsidR="001E585C" w:rsidRDefault="001E585C" w:rsidP="001E585C">
      <w:pPr>
        <w:pStyle w:val="ListParagraph"/>
      </w:pPr>
      <w:r>
        <w:t xml:space="preserve">(iv) </w:t>
      </w:r>
      <w:proofErr w:type="gramStart"/>
      <w:r>
        <w:t>all</w:t>
      </w:r>
      <w:proofErr w:type="gramEnd"/>
      <w:r>
        <w:t xml:space="preserve"> companies which were hitherto covered under the Companies (Filing of Documents and Forms in Extensible Business Reporting Language) Rules, 2011: </w:t>
      </w:r>
    </w:p>
    <w:p w:rsidR="001E585C" w:rsidRDefault="001E585C" w:rsidP="001E585C">
      <w:pPr>
        <w:pStyle w:val="ListParagraph"/>
      </w:pPr>
    </w:p>
    <w:p w:rsidR="001E585C" w:rsidRDefault="001E585C" w:rsidP="001E585C">
      <w:pPr>
        <w:pStyle w:val="ListParagraph"/>
      </w:pPr>
      <w:r>
        <w:t xml:space="preserve">Provided that the companies in banking, insurance, power sector, non-banking financial companies and housing finance companies need not file financial statements under this rule. Rule 4 of the Companies (Filing of Documents and Forms in Extensible Business Reporting Language) Rules, 2015 provides that a </w:t>
      </w:r>
      <w:r>
        <w:lastRenderedPageBreak/>
        <w:t>company required to furnish cost audit report and other documents to the Central Government under sub-section (6) of section 148 of the Act and rules made there under, shall file such report and other documents using the XBRL taxonomy given in Annexure-III for the financial years commencing on or after 1st April, 2014 in e-Form CRA-4 specified under the Companies (Cost Records and Audit) Rules, 2014.</w:t>
      </w:r>
    </w:p>
    <w:p w:rsidR="001E585C" w:rsidRDefault="001E585C" w:rsidP="001E585C">
      <w:pPr>
        <w:pStyle w:val="ListParagraph"/>
        <w:numPr>
          <w:ilvl w:val="0"/>
          <w:numId w:val="1"/>
        </w:numPr>
      </w:pPr>
      <w:r>
        <w:t>Do offences and penalties Section 441 to 454</w:t>
      </w:r>
    </w:p>
    <w:p w:rsidR="001E585C" w:rsidRPr="00547395" w:rsidRDefault="001E585C" w:rsidP="001E585C">
      <w:pPr>
        <w:pStyle w:val="ListParagraph"/>
        <w:numPr>
          <w:ilvl w:val="0"/>
          <w:numId w:val="1"/>
        </w:numPr>
        <w:rPr>
          <w:b/>
        </w:rPr>
      </w:pPr>
      <w:r w:rsidRPr="00547395">
        <w:rPr>
          <w:b/>
        </w:rPr>
        <w:t>LLP</w:t>
      </w:r>
    </w:p>
    <w:p w:rsidR="001E585C" w:rsidRDefault="001E585C" w:rsidP="001E585C">
      <w:pPr>
        <w:pStyle w:val="ListParagraph"/>
      </w:pPr>
      <w:r w:rsidRPr="00547395">
        <w:rPr>
          <w:b/>
        </w:rPr>
        <w:t xml:space="preserve">FOREIGN DIRECT INVESTMENT (FDI) IN LIMITED LIABILITY PARTNERSHIPS (LLPs) </w:t>
      </w:r>
      <w:r>
        <w:t xml:space="preserve">FDI is allowed in LLPs. The Department of Industrial Policy and Promotion vide its press note dated May 20 2011, amending Consolidated FDI Policy allows LLPs to have FDI. Salient Features </w:t>
      </w:r>
    </w:p>
    <w:p w:rsidR="001E585C" w:rsidRDefault="001E585C" w:rsidP="001E585C">
      <w:pPr>
        <w:pStyle w:val="ListParagraph"/>
      </w:pPr>
      <w:r>
        <w:t xml:space="preserve">• FDI in LLPs is allowed through the government route only for LLPs operating in sectors/activities where 100% FDI is allowed through automatic route. There are no FDI linked performance related conditions (Such as ‘Non-Banking Finance Companies’ or ‘Development of townships, housing, built-up infrastructure and Construction-development projects’ etc.). </w:t>
      </w:r>
    </w:p>
    <w:p w:rsidR="001E585C" w:rsidRDefault="001E585C" w:rsidP="001E585C">
      <w:pPr>
        <w:pStyle w:val="ListParagraph"/>
      </w:pPr>
      <w:r>
        <w:t xml:space="preserve">• FDI in LLP is not allowed at all even through government route in those sectors where 100% FDI is not allowed under automatic route. • LLPs with FDI is not eligible to make any downstream investments. </w:t>
      </w:r>
    </w:p>
    <w:p w:rsidR="001E585C" w:rsidRDefault="001E585C" w:rsidP="001E585C">
      <w:pPr>
        <w:pStyle w:val="ListParagraph"/>
      </w:pPr>
      <w:r>
        <w:t xml:space="preserve">• An Indian Company having FDI is permitted to make downstream investment in an LLP only if both the company as well as LLP are operating in sectors where 100% FDI is allowed through the automatic route and there are no FDI linked performance related conditions. </w:t>
      </w:r>
    </w:p>
    <w:p w:rsidR="001E585C" w:rsidRDefault="001E585C" w:rsidP="001E585C">
      <w:pPr>
        <w:pStyle w:val="ListParagraph"/>
      </w:pPr>
      <w:r>
        <w:t>• LLP with FDI is not allowed to operate in agricultural/plantation activity, print media or real estate business.</w:t>
      </w:r>
    </w:p>
    <w:p w:rsidR="001E585C" w:rsidRDefault="001E585C" w:rsidP="001E585C">
      <w:pPr>
        <w:pStyle w:val="ListParagraph"/>
      </w:pPr>
      <w:r>
        <w:t xml:space="preserve"> • LLPs cannot avail External Commercial Borrowings. </w:t>
      </w:r>
    </w:p>
    <w:p w:rsidR="001E585C" w:rsidRDefault="001E585C" w:rsidP="001E585C">
      <w:pPr>
        <w:pStyle w:val="ListParagraph"/>
      </w:pPr>
      <w:r>
        <w:t>• Foreign Capital participation in the capital structure of LLPs is allowed only by way of cash consideration, received by inward remittance, through normal banking channels or by debit to NRE/FCNR account of the person concerned, maintained with an authorized dealer/authorized bank.</w:t>
      </w:r>
    </w:p>
    <w:p w:rsidR="001E585C" w:rsidRDefault="001E585C" w:rsidP="001E585C">
      <w:pPr>
        <w:pStyle w:val="ListParagraph"/>
        <w:numPr>
          <w:ilvl w:val="0"/>
          <w:numId w:val="1"/>
        </w:numPr>
      </w:pPr>
      <w:r w:rsidRPr="00547395">
        <w:rPr>
          <w:b/>
        </w:rPr>
        <w:t xml:space="preserve">FILING OF ANNUAL RETURN (RULE 25 OF LLP RULES) As per Section 35(1), </w:t>
      </w:r>
      <w:r>
        <w:t xml:space="preserve">every limited liability partnership shall file an annual return with the Registrar in Form 11. The annual return of an LLP having </w:t>
      </w:r>
      <w:r w:rsidRPr="00547395">
        <w:rPr>
          <w:b/>
        </w:rPr>
        <w:t xml:space="preserve">turnover </w:t>
      </w:r>
      <w:proofErr w:type="spellStart"/>
      <w:r w:rsidRPr="00547395">
        <w:rPr>
          <w:b/>
        </w:rPr>
        <w:t>upto</w:t>
      </w:r>
      <w:proofErr w:type="spellEnd"/>
      <w:r w:rsidRPr="00547395">
        <w:rPr>
          <w:b/>
        </w:rPr>
        <w:t xml:space="preserve"> five </w:t>
      </w:r>
      <w:proofErr w:type="spellStart"/>
      <w:r w:rsidRPr="00547395">
        <w:rPr>
          <w:b/>
        </w:rPr>
        <w:t>crore</w:t>
      </w:r>
      <w:proofErr w:type="spellEnd"/>
      <w:r w:rsidRPr="00547395">
        <w:rPr>
          <w:b/>
        </w:rPr>
        <w:t xml:space="preserve"> rupees during the corresponding financial year or contribution </w:t>
      </w:r>
      <w:proofErr w:type="spellStart"/>
      <w:r w:rsidRPr="00547395">
        <w:rPr>
          <w:b/>
        </w:rPr>
        <w:t>upto</w:t>
      </w:r>
      <w:proofErr w:type="spellEnd"/>
      <w:r w:rsidRPr="00547395">
        <w:rPr>
          <w:b/>
        </w:rPr>
        <w:t xml:space="preserve"> fifty lakh rupees </w:t>
      </w:r>
      <w:r>
        <w:t>shall be accompanied with a certificate from a designated partner,</w:t>
      </w:r>
      <w:r w:rsidRPr="00547395">
        <w:t xml:space="preserve"> </w:t>
      </w:r>
      <w:r>
        <w:t>other than the signatory to the annual return, to the effect that annual return contains true and correct information. In all other cases, the annual return shall be accompanied with a certificate from a Company Secretary in practice to the effect that he has verified the particulars from the books and records of the limited liability partnership and found them to be true and correct.</w:t>
      </w:r>
    </w:p>
    <w:p w:rsidR="001E585C" w:rsidRDefault="001E585C" w:rsidP="001E585C">
      <w:pPr>
        <w:pStyle w:val="ListParagraph"/>
        <w:numPr>
          <w:ilvl w:val="0"/>
          <w:numId w:val="1"/>
        </w:numPr>
      </w:pPr>
      <w:r w:rsidRPr="00547395">
        <w:rPr>
          <w:b/>
        </w:rPr>
        <w:t>AUDIT OF LIMITED LIABILITY PARTNERSHIP ACCOUNTS (RULE 24 OF LLP RULES)</w:t>
      </w:r>
      <w:r>
        <w:t xml:space="preserve"> The accounts of every limited liability partnership shall be audited in accordance with these rules: A limited liability partnership whose turnover does not exceed, in any financial year, forty lakh rupees or whose contribution does not exceed twenty-five lakh rupees is not required to get its accounts audited. The Accounts of LLP should be audited as per LLP Rules, 2009. Where the partners of LLP do not decide for audit of the accounts of the LLP, such LLP shall include in the Statement of Account and Solvency a statement by the partners to the effect that the partners acknowledge their responsibilities for complying with the requirements of the Act and the Rules with respect to preparation of books of account and a certificate in the form specified in Form 8. [Rule 24(8)]. The audit of LLP may be done by a Chartered Accountant in Practice only. An auditor or auditors of a limited liability partnership shall be appointed for each financial year of the LLP for auditing its accounts. [Rule 24(10)]</w:t>
      </w:r>
    </w:p>
    <w:p w:rsidR="001E585C" w:rsidRPr="00547395" w:rsidRDefault="001E585C" w:rsidP="001E585C">
      <w:pPr>
        <w:pStyle w:val="ListParagraph"/>
        <w:numPr>
          <w:ilvl w:val="0"/>
          <w:numId w:val="1"/>
        </w:numPr>
      </w:pPr>
      <w:r>
        <w:rPr>
          <w:b/>
        </w:rPr>
        <w:t xml:space="preserve">Do salient features of LLP </w:t>
      </w:r>
    </w:p>
    <w:p w:rsidR="001E585C" w:rsidRDefault="001E585C" w:rsidP="001E585C">
      <w:pPr>
        <w:pStyle w:val="ListParagraph"/>
        <w:numPr>
          <w:ilvl w:val="0"/>
          <w:numId w:val="1"/>
        </w:numPr>
      </w:pPr>
      <w:r>
        <w:t xml:space="preserve">STP Forms (Rule 10) STP stands for “Straight </w:t>
      </w:r>
      <w:proofErr w:type="gramStart"/>
      <w:r>
        <w:t>Through</w:t>
      </w:r>
      <w:proofErr w:type="gramEnd"/>
      <w:r>
        <w:t xml:space="preserve"> Process”. Some e-forms are identified as informatory in nature. These forms are filed under Straight through process may be examined by the Registrar at any time on </w:t>
      </w:r>
      <w:proofErr w:type="spellStart"/>
      <w:r>
        <w:t>suo</w:t>
      </w:r>
      <w:proofErr w:type="spellEnd"/>
      <w:r>
        <w:t xml:space="preserve">- </w:t>
      </w:r>
      <w:proofErr w:type="spellStart"/>
      <w:r>
        <w:t>moto</w:t>
      </w:r>
      <w:proofErr w:type="spellEnd"/>
      <w:r>
        <w:t xml:space="preserve"> or on receipt of any information or complaint from any source at any time after its filing . It means the information given in the e-forms is being taken on file maintained by the Registrar of Companies through electronic mode on the basis of statement of correctness given by the filing Company and further verification by the practicing professionals</w:t>
      </w:r>
    </w:p>
    <w:p w:rsidR="001E585C" w:rsidRDefault="001E585C" w:rsidP="001E585C">
      <w:pPr>
        <w:pStyle w:val="ListParagraph"/>
        <w:numPr>
          <w:ilvl w:val="0"/>
          <w:numId w:val="1"/>
        </w:numPr>
      </w:pPr>
      <w:r>
        <w:t xml:space="preserve">Introduction of e-stamping facility by MCA and dispensation of physical submission thereof For the purpose of making all transactions faster, improving service delivery and making office of the Registrar paperless, the process of physical submission of documents has been dispensed with. The Central Government shall initially collect the stamp duty on behalf of State Governments and Union Territories for specific purpose of e-filing of documents under the provisions of the Companies Act, 2013 and to remit </w:t>
      </w:r>
      <w:r>
        <w:lastRenderedPageBreak/>
        <w:t>the same directly to their accounts in accordance with the approved payment and accounting procedures. At present, e-Forms to which e -Stamping is applicable are – (</w:t>
      </w:r>
      <w:proofErr w:type="spellStart"/>
      <w:r>
        <w:t>i</w:t>
      </w:r>
      <w:proofErr w:type="spellEnd"/>
      <w:r>
        <w:t xml:space="preserve">) Form INC-7 (ii) Form SH-7 (iii) Form FC-1 (iv) Form GNL-4 </w:t>
      </w:r>
    </w:p>
    <w:p w:rsidR="001E585C" w:rsidRDefault="001E585C" w:rsidP="001E585C">
      <w:pPr>
        <w:pStyle w:val="ListParagraph"/>
        <w:numPr>
          <w:ilvl w:val="0"/>
          <w:numId w:val="1"/>
        </w:numPr>
      </w:pPr>
      <w:r w:rsidRPr="00E07D89">
        <w:rPr>
          <w:b/>
        </w:rPr>
        <w:t xml:space="preserve">INTRODUCTION OF INTEGRATED PROCESS OF NAME RESERVATION, COMPANY INCORPORATION, DIN ALLOTMENT AND ISSUANCE OF PAN &amp; TAN THROUGH </w:t>
      </w:r>
      <w:proofErr w:type="spellStart"/>
      <w:r w:rsidRPr="00E07D89">
        <w:rPr>
          <w:b/>
        </w:rPr>
        <w:t>SPICe</w:t>
      </w:r>
      <w:proofErr w:type="spellEnd"/>
      <w:r w:rsidRPr="00E07D89">
        <w:rPr>
          <w:b/>
        </w:rPr>
        <w:t xml:space="preserve"> (FORM INC-32) BY MCA-21 </w:t>
      </w:r>
      <w:proofErr w:type="spellStart"/>
      <w:r w:rsidRPr="00E07D89">
        <w:rPr>
          <w:b/>
        </w:rPr>
        <w:t>MCA-21</w:t>
      </w:r>
      <w:proofErr w:type="spellEnd"/>
      <w:r>
        <w:t xml:space="preserve"> has introduced an integrated process through which reservation of name, incorporation of a new company, application for allotment of DIN and/or application for PAN and TAN can be applied simultaneously through a single application e-Form i.e. Form INC-32 (</w:t>
      </w:r>
      <w:proofErr w:type="spellStart"/>
      <w:r>
        <w:t>SPICe</w:t>
      </w:r>
      <w:proofErr w:type="spellEnd"/>
      <w:r>
        <w:t xml:space="preserve">). After filing the </w:t>
      </w:r>
      <w:proofErr w:type="spellStart"/>
      <w:r>
        <w:t>SPICe</w:t>
      </w:r>
      <w:proofErr w:type="spellEnd"/>
      <w:r>
        <w:t xml:space="preserve"> Form and making payment the user is required to visit the MCA portal and access the service ‘Submit application for PAN and TAN’. He has to download Form 49A (PAN) and 49B (TAN) and upload them on the same screen after attaching his DSC. He has to upload these forms (PAN&amp;TAN) within 2 days of filing the </w:t>
      </w:r>
      <w:proofErr w:type="spellStart"/>
      <w:r>
        <w:t>SPICe</w:t>
      </w:r>
      <w:proofErr w:type="spellEnd"/>
      <w:r>
        <w:t xml:space="preserve"> form failing which the entire </w:t>
      </w:r>
      <w:proofErr w:type="spellStart"/>
      <w:r>
        <w:t>SPICe</w:t>
      </w:r>
      <w:proofErr w:type="spellEnd"/>
      <w:r>
        <w:t xml:space="preserve"> form would be marked as ‘Invalid and Not to be taken on record’. Once the e-Form is processed and found complete, company would be registered and CIN would be allocated. DIN gets issued to the proposed Directors who do not have a valid DIN. Maximum three proposed Directors are allowed using this integrated form for filing application of allotment of DIN while incorporating a company. Also PAN and TAN would get issued to the Company</w:t>
      </w:r>
    </w:p>
    <w:p w:rsidR="001E585C" w:rsidRDefault="001E585C" w:rsidP="001E585C">
      <w:pPr>
        <w:pStyle w:val="ListParagraph"/>
        <w:numPr>
          <w:ilvl w:val="0"/>
          <w:numId w:val="1"/>
        </w:numPr>
      </w:pPr>
      <w:r>
        <w:t xml:space="preserve">Corporate Identity Number (CIN) / Foreign Company Registration Number (FCRN) Every company has been allocated a Corporate Identity Number (CIN). CIN can be found from the MCA-21 portal through search based on: – ROC Registration No. – Existing Company Name – Old Name of Company (in case of change of name, user is required to enter old name and the system displays corresponding current name). – Inactive CIN [In case of change of CIN, the user is required to enter previous (inactive) CIN Number]. Each Indian company (Listed or Unlisted) has a unique 21 Digit CIN. This is required to be quoted on all e-forms. Once this number is filled, company details are automatically filled in E-Forms issued by MCA by using pre-fill function. As stated above, CIN is a 21 digit number assigned to every company incorporated on or after November 1, 2000. The Corporate Identity Number allotted to a company indicates listing status, economic activity (industry), </w:t>
      </w:r>
      <w:proofErr w:type="gramStart"/>
      <w:r>
        <w:t>state</w:t>
      </w:r>
      <w:proofErr w:type="gramEnd"/>
      <w:r>
        <w:t>, year of incorporation, ownership and sequential number assigned by ROC (Registration Number).</w:t>
      </w:r>
    </w:p>
    <w:p w:rsidR="001E585C" w:rsidRDefault="001E585C" w:rsidP="001E585C">
      <w:pPr>
        <w:pStyle w:val="ListParagraph"/>
        <w:numPr>
          <w:ilvl w:val="0"/>
          <w:numId w:val="1"/>
        </w:numPr>
      </w:pPr>
      <w:r>
        <w:t xml:space="preserve">Digital Signature Certificate (DSC) </w:t>
      </w:r>
      <w:proofErr w:type="gramStart"/>
      <w:r>
        <w:t>The</w:t>
      </w:r>
      <w:proofErr w:type="gramEnd"/>
      <w:r>
        <w:t xml:space="preserve"> e-forms are required to be authenticated by the authorized signatories using digital signatures as defined under the Information Technology Act, 2000. A digital signature is the electronic signature duly issued by a certifying authority that shows the authority of the person signing the same. It is an electronic equivalent of a written signature. Every user who is required to sign an e-form for submission with MCA is required to obtain a Digital Signature Certificate. For MCA-21, the following four types of users are identified as users of Digital Signatures and are required to obtain digital signature certificate:</w:t>
      </w:r>
    </w:p>
    <w:p w:rsidR="001E585C" w:rsidRDefault="001E585C" w:rsidP="001E585C">
      <w:pPr>
        <w:pStyle w:val="ListParagraph"/>
        <w:numPr>
          <w:ilvl w:val="0"/>
          <w:numId w:val="1"/>
        </w:numPr>
      </w:pPr>
      <w:r w:rsidRPr="00BB0BAB">
        <w:rPr>
          <w:b/>
        </w:rPr>
        <w:t xml:space="preserve">B. Management Discussion and Analysis: </w:t>
      </w:r>
      <w:r>
        <w:t xml:space="preserve">1. </w:t>
      </w:r>
      <w:proofErr w:type="gramStart"/>
      <w:r>
        <w:t>This</w:t>
      </w:r>
      <w:proofErr w:type="gramEnd"/>
      <w:r>
        <w:t xml:space="preserve"> section shall include discussion on the following matters within the limits set by the listed entity’s competitive position: (a) Industry structure and developments. (b) Opportunities and Threats. (</w:t>
      </w:r>
      <w:proofErr w:type="gramStart"/>
      <w:r>
        <w:t>c</w:t>
      </w:r>
      <w:proofErr w:type="gramEnd"/>
      <w:r>
        <w:t>) Segment–wise or product-wise performance. (d) Outlook (e) Risks and concerns. (f) Internal control systems and their adequacy. (g) Discussion on financial performance with respect to operational performance. (h) Material developments in Human Resources / Industrial Relations front, including number of people employed.</w:t>
      </w:r>
    </w:p>
    <w:p w:rsidR="001E585C" w:rsidRDefault="001E585C" w:rsidP="001E585C">
      <w:pPr>
        <w:pStyle w:val="ListParagraph"/>
        <w:numPr>
          <w:ilvl w:val="0"/>
          <w:numId w:val="1"/>
        </w:numPr>
      </w:pPr>
      <w:r w:rsidRPr="00BB0BAB">
        <w:rPr>
          <w:b/>
        </w:rPr>
        <w:t>Corporate Governance Report:</w:t>
      </w:r>
      <w:r>
        <w:t xml:space="preserve"> The following disclosures shall be made in the section on the corporate governance of the annual report. (1) A brief statement on listed entity’s philosophy on code of governance. (2) Board of directors: (a) composition and category of directors (e.g. promoter, executive, non-executive, independent nonexecutive, nominee director - institution represented and whether as lender or as equity investor); (b) attendance of each director at the meeting of the board of directors and the last annual general meeting; (c) number of other board of directors or committees in which a directors is a member or chairperson; (d) number of meetings of the board of directors held and dates on which held; (e) disclosure of relationships between directors inter-se; (f) number of shares and convertible instruments held by nonexecutive directors; (g) web link where details of </w:t>
      </w:r>
      <w:proofErr w:type="spellStart"/>
      <w:r>
        <w:t>familiarisation</w:t>
      </w:r>
      <w:proofErr w:type="spellEnd"/>
      <w:r>
        <w:t xml:space="preserve"> </w:t>
      </w:r>
      <w:proofErr w:type="spellStart"/>
      <w:r>
        <w:t>programmes</w:t>
      </w:r>
      <w:proofErr w:type="spellEnd"/>
      <w:r>
        <w:t xml:space="preserve"> imparted to independent directors is disclosed. (3) Audit committee: (a) brief description of terms of reference; (b) composition, name of members and chairperson; (c) meetings and attendance during the year. (4) Nomination and Remuneration Committee: (a) brief description of terms of reference; (b) composition, name of members and chairperson; (c) meeting and attendance during the year; (d) performance evaluation criteria for independent directors.</w:t>
      </w:r>
    </w:p>
    <w:p w:rsidR="001E585C" w:rsidRDefault="001E585C" w:rsidP="001E585C">
      <w:pPr>
        <w:pStyle w:val="ListParagraph"/>
      </w:pPr>
    </w:p>
    <w:p w:rsidR="001E585C" w:rsidRDefault="001E585C" w:rsidP="001E585C">
      <w:pPr>
        <w:pStyle w:val="ListParagraph"/>
        <w:numPr>
          <w:ilvl w:val="0"/>
          <w:numId w:val="1"/>
        </w:numPr>
      </w:pPr>
      <w:r w:rsidRPr="00BB0BAB">
        <w:rPr>
          <w:b/>
        </w:rPr>
        <w:lastRenderedPageBreak/>
        <w:t>Directors’ Responsibility Statement:</w:t>
      </w:r>
      <w:r>
        <w:t xml:space="preserve"> In terms of section 134[3</w:t>
      </w:r>
      <w:proofErr w:type="gramStart"/>
      <w:r>
        <w:t>][</w:t>
      </w:r>
      <w:proofErr w:type="gramEnd"/>
      <w:r>
        <w:t xml:space="preserve">c] of the Act, your Directors state that: </w:t>
      </w:r>
      <w:proofErr w:type="spellStart"/>
      <w:r>
        <w:t>i</w:t>
      </w:r>
      <w:proofErr w:type="spellEnd"/>
      <w:r>
        <w:t xml:space="preserve">. in the preparation of the annual financial statements for the year ended on 31st March, 2016, applicable accounting standards read with requirements set out under schedule III of the Act, have been followed along with proper explanation relating to material departures, if any, ii. such accounting policies have been selected and applied consistently and </w:t>
      </w:r>
      <w:proofErr w:type="spellStart"/>
      <w:r>
        <w:t>ludqments</w:t>
      </w:r>
      <w:proofErr w:type="spellEnd"/>
      <w:r>
        <w:t xml:space="preserve"> and estimates made that are reasonable and prudent so as to give a true and fair view of the state of affairs of the company as at 31st March, 2016 and of the profit of the company for the year ended on that date iv. </w:t>
      </w:r>
      <w:proofErr w:type="gramStart"/>
      <w:r>
        <w:t>the</w:t>
      </w:r>
      <w:proofErr w:type="gramEnd"/>
      <w:r>
        <w:t xml:space="preserve"> annual financial statements are prepared on a going concern basis, v. proper internal financial control are in place and that the financial controls are adequate and are operating vi. the systems to ensure compliance with the provisions of all applicable laws are in place and are adequate and operating effectively</w:t>
      </w:r>
    </w:p>
    <w:p w:rsidR="001E585C" w:rsidRDefault="001E585C" w:rsidP="001E585C">
      <w:pPr>
        <w:pStyle w:val="ListParagraph"/>
      </w:pPr>
    </w:p>
    <w:p w:rsidR="001E585C" w:rsidRPr="001E585C" w:rsidRDefault="001E585C" w:rsidP="001E585C">
      <w:pPr>
        <w:pStyle w:val="ListParagraph"/>
        <w:numPr>
          <w:ilvl w:val="0"/>
          <w:numId w:val="1"/>
        </w:numPr>
        <w:rPr>
          <w:b/>
        </w:rPr>
      </w:pPr>
      <w:r w:rsidRPr="001E585C">
        <w:rPr>
          <w:b/>
        </w:rPr>
        <w:t xml:space="preserve">SPECIMEN OF THE CHAIRMAN’S SPEECH XYZ MOTORS LIMITED </w:t>
      </w:r>
    </w:p>
    <w:p w:rsidR="001E585C" w:rsidRPr="001E585C" w:rsidRDefault="001E585C" w:rsidP="001E585C">
      <w:pPr>
        <w:pStyle w:val="ListParagraph"/>
        <w:rPr>
          <w:b/>
        </w:rPr>
      </w:pPr>
    </w:p>
    <w:p w:rsidR="001E585C" w:rsidRPr="001E585C" w:rsidRDefault="001E585C" w:rsidP="001E585C">
      <w:pPr>
        <w:pStyle w:val="ListParagraph"/>
        <w:rPr>
          <w:b/>
        </w:rPr>
      </w:pPr>
      <w:r w:rsidRPr="001E585C">
        <w:rPr>
          <w:b/>
        </w:rPr>
        <w:t xml:space="preserve">CHAIRMAN’S SPEECH </w:t>
      </w:r>
    </w:p>
    <w:p w:rsidR="001E585C" w:rsidRDefault="001E585C" w:rsidP="001E585C">
      <w:pPr>
        <w:pStyle w:val="ListParagraph"/>
      </w:pPr>
      <w:r>
        <w:t xml:space="preserve">33rd Annual General Meeting on March 20, 2015 </w:t>
      </w:r>
    </w:p>
    <w:p w:rsidR="001E585C" w:rsidRDefault="001E585C" w:rsidP="001E585C">
      <w:pPr>
        <w:pStyle w:val="ListParagraph"/>
      </w:pPr>
      <w:r>
        <w:t xml:space="preserve">Good Morning Everyone, </w:t>
      </w:r>
    </w:p>
    <w:p w:rsidR="001E585C" w:rsidRDefault="001E585C" w:rsidP="001E585C">
      <w:pPr>
        <w:pStyle w:val="ListParagraph"/>
      </w:pPr>
      <w:r>
        <w:t xml:space="preserve">On behalf of the Board of Directors, I would like to welcome you all to the 33rdAnnual General Meeting of the Company. To begin with let me give you a brief overview of the Indian economy. As you all know, after going through a rough period of economic slowdown over 36 months, the industry is finally seeing early signs of recovery. In the year 2014, the motorcycle industry recorded a growth of 8% over 2013, even as the domestic commercial vehicles industry (5 </w:t>
      </w:r>
      <w:proofErr w:type="spellStart"/>
      <w:r>
        <w:t>tonne</w:t>
      </w:r>
      <w:proofErr w:type="spellEnd"/>
      <w:r>
        <w:t xml:space="preserve"> and above) grew at only 0.7% in 2014 over 2013. Weak consumer spending due to higher inflation and interest rates had an adverse impact on demand for these vehicles.</w:t>
      </w:r>
    </w:p>
    <w:p w:rsidR="001E585C" w:rsidRDefault="001E585C" w:rsidP="001E585C">
      <w:pPr>
        <w:pStyle w:val="ListParagraph"/>
      </w:pPr>
      <w:r>
        <w:t>BUSINESS PEFORMANCE</w:t>
      </w:r>
    </w:p>
    <w:p w:rsidR="001E585C" w:rsidRDefault="001E585C" w:rsidP="001E585C">
      <w:pPr>
        <w:pStyle w:val="ListParagraph"/>
      </w:pPr>
      <w:r>
        <w:t>Dividend</w:t>
      </w:r>
    </w:p>
    <w:p w:rsidR="001E585C" w:rsidRDefault="001E585C" w:rsidP="001E585C">
      <w:pPr>
        <w:pStyle w:val="ListParagraph"/>
      </w:pPr>
      <w:r>
        <w:t>MARKET &amp; FUTURE PROSPECTS</w:t>
      </w:r>
    </w:p>
    <w:p w:rsidR="001E585C" w:rsidRDefault="001E585C" w:rsidP="001E585C">
      <w:pPr>
        <w:pStyle w:val="ListParagraph"/>
      </w:pPr>
    </w:p>
    <w:p w:rsidR="001E585C" w:rsidRDefault="001E585C" w:rsidP="001E585C">
      <w:pPr>
        <w:pStyle w:val="ListParagraph"/>
      </w:pPr>
      <w:r>
        <w:t>CONCLUSION To conclude, I wish to convey my thanks and acknowledgement for the co-operation and assistance extended by the Central Government, State Government, Financial Institutions, the Company’s Bankers, dealers, customers and suppliers. I would also like to congratulate each and every member of the XYZ Family for their sincere and committed contribution in this sound financial performance for the year 2014. I look forward to their continued support and encouragement as we embark on another exciting year. My best wishes to all of you. I thank all the members present for participating in today’s meeting. March 20, 2015 New Delhi Chairman</w:t>
      </w:r>
    </w:p>
    <w:p w:rsidR="001E585C" w:rsidRDefault="001E585C" w:rsidP="001E585C">
      <w:pPr>
        <w:pStyle w:val="ListParagraph"/>
      </w:pPr>
    </w:p>
    <w:p w:rsidR="001E585C" w:rsidRPr="001E585C" w:rsidRDefault="001E585C" w:rsidP="001E585C">
      <w:pPr>
        <w:pStyle w:val="ListParagraph"/>
        <w:numPr>
          <w:ilvl w:val="0"/>
          <w:numId w:val="1"/>
        </w:numPr>
        <w:rPr>
          <w:b/>
        </w:rPr>
      </w:pPr>
      <w:r w:rsidRPr="001E585C">
        <w:rPr>
          <w:b/>
        </w:rPr>
        <w:t xml:space="preserve">COMPLIANCE CERTIFICATE </w:t>
      </w:r>
    </w:p>
    <w:p w:rsidR="001E585C" w:rsidRDefault="001E585C" w:rsidP="001E585C">
      <w:pPr>
        <w:pStyle w:val="ListParagraph"/>
      </w:pPr>
      <w:r>
        <w:t xml:space="preserve">Regulation 17(8) The following compliance certificate shall be furnished by chief executive officer and chief financial officer: A. They have reviewed financial statements and the cash flow statement for the year and that to the best of their knowledge and belief: 1. these statements do not contain any materially untrue statement or omit any material fact or contain statements that might be misleading; 2. these statements together present a true and fair view of the listed entity’s affairs and are in compliance with existing accounting standards, applicable laws and regulations. B. There are, to the best of their knowledge and belief, no transactions entered into by the listed entity during the year which are fraudulent, illegal or </w:t>
      </w:r>
      <w:proofErr w:type="spellStart"/>
      <w:r>
        <w:t>violative</w:t>
      </w:r>
      <w:proofErr w:type="spellEnd"/>
      <w:r>
        <w:t xml:space="preserve"> of the listed entity’s code of conduct. C. They accept responsibility for establishing and maintaining internal controls for financial reporting and that they have evaluated the effectiveness of internal control systems of the listed entity pertaining to financial reporting and they have disclosed to the auditors and the audit committee, deficiencies in the design or operation of such internal controls, if any, of which they are aware and the steps they have taken or propose to take to rectify these deficiencies. D. They have indicated to the auditors and the Audit committee (1) significant changes in internal control over financial reporting during the year; (2) significant changes in accounting policies during the year and that the same have been disclosed in the notes to the financial statements; and (3) instances of significant fraud of which they have become aware and the involvement therein, if any, of the management or an employee having a significant role in the listed entity’s internal control system over financial reporting.</w:t>
      </w:r>
    </w:p>
    <w:p w:rsidR="001E585C" w:rsidRDefault="001E585C" w:rsidP="001E585C">
      <w:pPr>
        <w:pStyle w:val="ListParagraph"/>
      </w:pPr>
    </w:p>
    <w:p w:rsidR="001E585C" w:rsidRDefault="001E585C" w:rsidP="001E585C">
      <w:pPr>
        <w:pStyle w:val="ListParagraph"/>
        <w:numPr>
          <w:ilvl w:val="0"/>
          <w:numId w:val="1"/>
        </w:numPr>
      </w:pPr>
      <w:r w:rsidRPr="001E585C">
        <w:rPr>
          <w:b/>
        </w:rPr>
        <w:lastRenderedPageBreak/>
        <w:t>General pointers for preparing a speech for the Chairperson</w:t>
      </w:r>
      <w:r>
        <w:t xml:space="preserve"> In addition to the matters relating to the working results of the company for the previous year and current year covered by the Directors’ Report, the speech should mention about the following points </w:t>
      </w:r>
      <w:proofErr w:type="spellStart"/>
      <w:r>
        <w:t>vis</w:t>
      </w:r>
      <w:proofErr w:type="spellEnd"/>
      <w:r>
        <w:t>-a-</w:t>
      </w:r>
      <w:proofErr w:type="spellStart"/>
      <w:r>
        <w:t>vis</w:t>
      </w:r>
      <w:proofErr w:type="spellEnd"/>
      <w:r>
        <w:t xml:space="preserve"> nature of the business of the company engaged in: (a) general political position in the country; (b) general economic position in the country; (c) status of the industry in which the company is engaged; (d) government policy relating to the industry in which the company is engaged; import and export; fiscal, banking and financial location, etc. (e) financial position of the company and arrangements with institutions/Banks; (f) relations with the employees and workers of the company; (g) company’s position for and against competitors and its strategy to face the challenges; (h) company’s research and development activities; (</w:t>
      </w:r>
      <w:proofErr w:type="spellStart"/>
      <w:r>
        <w:t>i</w:t>
      </w:r>
      <w:proofErr w:type="spellEnd"/>
      <w:r>
        <w:t>) company’s action towards its commitments to the community/society in which it is operating and the steps taken thereof;</w:t>
      </w:r>
    </w:p>
    <w:p w:rsidR="001E585C" w:rsidRDefault="001E585C" w:rsidP="001E585C">
      <w:pPr>
        <w:pStyle w:val="ListParagraph"/>
        <w:numPr>
          <w:ilvl w:val="0"/>
          <w:numId w:val="1"/>
        </w:numPr>
      </w:pPr>
      <w:r w:rsidRPr="001E585C">
        <w:rPr>
          <w:b/>
        </w:rPr>
        <w:t>Compliance certificate and quarterly compliance report on corporate governance under SEBI listing Regulations, 2015 As per Regulation 17(8), the chief executive officer and the chief</w:t>
      </w:r>
      <w:r>
        <w:t xml:space="preserve"> financial officer shall provide the compliance certificate to the board of directors as specified in Part B of Schedule II. (Annexure V) As per Regulation 27(2) with regard to other Corporate Governance of Listing Obligation, 2015 I. The listed entity shall submit a quarterly compliance report on corporate governance in the format as specified by the Board from time to time to the </w:t>
      </w:r>
      <w:proofErr w:type="spellStart"/>
      <w:r>
        <w:t>recognised</w:t>
      </w:r>
      <w:proofErr w:type="spellEnd"/>
      <w:r>
        <w:t xml:space="preserve"> stock exchange(s) within fifteen days from close of the quarter. Vide Circular CIR/CFD/CMD/5/2015 dated 24th September, 2015 SEBI has specified three formats as </w:t>
      </w:r>
      <w:proofErr w:type="gramStart"/>
      <w:r>
        <w:t>under :</w:t>
      </w:r>
      <w:proofErr w:type="gramEnd"/>
      <w:r>
        <w:t xml:space="preserve"> [Annexure VI(A), (B), (C)] I. Format to submitted by listed entity on quarterly basis II. Format to be submitted by listed entity at the end of Financial Year (for the whole of FY) III. Format to be submitted by listed entity at the end of six months after end of Financial Year along with second quarter report of next Financial Year. II. Details of all material transactions with related parties shall be disclosed along with the report. III. The report shall be signed either by the compliance officer or the chief executive officer of the listed entity.</w:t>
      </w:r>
    </w:p>
    <w:p w:rsidR="001E585C" w:rsidRPr="001E585C" w:rsidRDefault="001E585C" w:rsidP="001E585C">
      <w:pPr>
        <w:pStyle w:val="ListParagraph"/>
        <w:numPr>
          <w:ilvl w:val="0"/>
          <w:numId w:val="1"/>
        </w:numPr>
        <w:rPr>
          <w:b/>
        </w:rPr>
      </w:pPr>
      <w:r w:rsidRPr="001E585C">
        <w:rPr>
          <w:b/>
        </w:rPr>
        <w:t xml:space="preserve">A CS has to take permission for following activities from institute </w:t>
      </w:r>
    </w:p>
    <w:p w:rsidR="001E585C" w:rsidRDefault="001E585C" w:rsidP="001E585C">
      <w:pPr>
        <w:pStyle w:val="ListParagraph"/>
      </w:pPr>
      <w:r>
        <w:t>Permission to be Granted Specifically Members of the Institute in practice may engage in the following categories of business or occupation, after obtaining the specific and prior approval of the Executive Committee of the Council in each case: (</w:t>
      </w:r>
      <w:proofErr w:type="spellStart"/>
      <w:r>
        <w:t>i</w:t>
      </w:r>
      <w:proofErr w:type="spellEnd"/>
      <w:r>
        <w:t xml:space="preserve">) Interest or association in family business concerns provided that the member does not hold substantial interest in such concerns. (ii) Interest in agricultural and allied activities carried on with the help, if required, of hired </w:t>
      </w:r>
      <w:proofErr w:type="spellStart"/>
      <w:r>
        <w:t>labour</w:t>
      </w:r>
      <w:proofErr w:type="spellEnd"/>
      <w:r>
        <w:t>. (iii) Editorship of journals other than professional journal</w:t>
      </w:r>
    </w:p>
    <w:p w:rsidR="001E585C" w:rsidRPr="001E585C" w:rsidRDefault="001E585C" w:rsidP="001E585C">
      <w:pPr>
        <w:pStyle w:val="ListParagraph"/>
        <w:numPr>
          <w:ilvl w:val="0"/>
          <w:numId w:val="1"/>
        </w:numPr>
        <w:rPr>
          <w:b/>
        </w:rPr>
      </w:pPr>
      <w:r w:rsidRPr="001E585C">
        <w:rPr>
          <w:b/>
        </w:rPr>
        <w:t xml:space="preserve">Insider trading disclosure </w:t>
      </w:r>
    </w:p>
    <w:p w:rsidR="001E585C" w:rsidRDefault="001E585C" w:rsidP="001E585C">
      <w:pPr>
        <w:pStyle w:val="ListParagraph"/>
      </w:pPr>
      <w:r>
        <w:t xml:space="preserve">Disclosures by certain persons. 7. (1) Initial Disclosures. (a). Every promoter, key managerial personnel and director of every company whose securities are listed on any </w:t>
      </w:r>
      <w:proofErr w:type="spellStart"/>
      <w:r>
        <w:t>recognised</w:t>
      </w:r>
      <w:proofErr w:type="spellEnd"/>
      <w:r>
        <w:t xml:space="preserve"> stock exchange shall disclose his holding of securities of the company as on the date of these regulations taking effect, to the company within thirty days of these regulations taking effect; (b). Every person on appointment as a key managerial personnel or a director of the company or upon becoming a promoter shall disclose his holding of securities of the company as on the date of appointment or becoming a promoter, to the company within seven days of such appointment or becoming a promoter. </w:t>
      </w:r>
    </w:p>
    <w:p w:rsidR="001E585C" w:rsidRDefault="001E585C" w:rsidP="001E585C">
      <w:pPr>
        <w:pStyle w:val="ListParagraph"/>
      </w:pPr>
    </w:p>
    <w:p w:rsidR="001E585C" w:rsidRDefault="001E585C" w:rsidP="001E585C">
      <w:pPr>
        <w:pStyle w:val="ListParagraph"/>
      </w:pPr>
      <w:r>
        <w:t>(2) Continual Disclosures. (a). 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or such other value as may be specified; (b). Every company shall notify the particulars of such trading to the stock exchange on which the securities are listed within two trading days of receipt of the disclosure or from becoming aware of such information. Explanation. — It is clarified for the avoidance of doubts that the disclosure of the incremental transactions after any disclosure under this sub-regulation, shall be made when the transactions effected after the prior disclosure cross the threshold specified in clause (a) of sub-regulation (2). Disclosures by other connected persons. (3) Any company whose securities are listed on a stock exchange may, at its discretion require any other connected person or class of connected persons to make disclosures of holdings and trading in securities of the company in such form and at such frequency as may be determined by the company in order to monitor compliance with these regulations</w:t>
      </w:r>
    </w:p>
    <w:p w:rsidR="001E585C" w:rsidRPr="001E585C" w:rsidRDefault="001E585C" w:rsidP="001E585C">
      <w:pPr>
        <w:pStyle w:val="ListParagraph"/>
        <w:numPr>
          <w:ilvl w:val="0"/>
          <w:numId w:val="1"/>
        </w:numPr>
        <w:rPr>
          <w:b/>
        </w:rPr>
      </w:pPr>
      <w:r w:rsidRPr="001E585C">
        <w:rPr>
          <w:b/>
        </w:rPr>
        <w:t xml:space="preserve">Even do </w:t>
      </w:r>
      <w:proofErr w:type="spellStart"/>
      <w:r w:rsidRPr="001E585C">
        <w:rPr>
          <w:b/>
        </w:rPr>
        <w:t>sast</w:t>
      </w:r>
      <w:proofErr w:type="spellEnd"/>
      <w:r w:rsidRPr="001E585C">
        <w:rPr>
          <w:b/>
        </w:rPr>
        <w:t xml:space="preserve"> Disclosure </w:t>
      </w:r>
    </w:p>
    <w:p w:rsidR="001E585C" w:rsidRPr="001E585C" w:rsidRDefault="001E585C" w:rsidP="001E585C">
      <w:pPr>
        <w:pStyle w:val="ListParagraph"/>
        <w:numPr>
          <w:ilvl w:val="0"/>
          <w:numId w:val="1"/>
        </w:numPr>
        <w:rPr>
          <w:b/>
        </w:rPr>
      </w:pPr>
      <w:r w:rsidRPr="001E585C">
        <w:rPr>
          <w:b/>
        </w:rPr>
        <w:t xml:space="preserve">Deposit case studies </w:t>
      </w:r>
    </w:p>
    <w:p w:rsidR="001E585C" w:rsidRDefault="001E585C" w:rsidP="001E585C">
      <w:pPr>
        <w:pStyle w:val="ListParagraph"/>
        <w:numPr>
          <w:ilvl w:val="0"/>
          <w:numId w:val="1"/>
        </w:numPr>
      </w:pPr>
      <w:r>
        <w:lastRenderedPageBreak/>
        <w:t xml:space="preserve">Please check which of the following source of funds are coming under the definition of deposits in case of a company.  (a) </w:t>
      </w:r>
      <w:proofErr w:type="spellStart"/>
      <w:r>
        <w:t>Rs</w:t>
      </w:r>
      <w:proofErr w:type="spellEnd"/>
      <w:r>
        <w:t xml:space="preserve">. 5 </w:t>
      </w:r>
      <w:proofErr w:type="spellStart"/>
      <w:r>
        <w:t>Crore</w:t>
      </w:r>
      <w:proofErr w:type="spellEnd"/>
      <w:r>
        <w:t xml:space="preserve"> from Government Agency, Financial institutions, Banks or by way of Commercial Paper. (b) </w:t>
      </w:r>
      <w:proofErr w:type="spellStart"/>
      <w:r>
        <w:t>Rs</w:t>
      </w:r>
      <w:proofErr w:type="spellEnd"/>
      <w:r>
        <w:t xml:space="preserve">. 50 Lakhs by way of Share Application money (c) </w:t>
      </w:r>
      <w:proofErr w:type="spellStart"/>
      <w:r>
        <w:t>Rs</w:t>
      </w:r>
      <w:proofErr w:type="spellEnd"/>
      <w:r>
        <w:t xml:space="preserve">. 50 Lakhs from one of its director by way of loan (d) </w:t>
      </w:r>
      <w:proofErr w:type="spellStart"/>
      <w:r>
        <w:t>Rs</w:t>
      </w:r>
      <w:proofErr w:type="spellEnd"/>
      <w:r>
        <w:t xml:space="preserve">. 50 Lakhs from issue of bonds and debentures (e) </w:t>
      </w:r>
      <w:proofErr w:type="spellStart"/>
      <w:r>
        <w:t>Rs</w:t>
      </w:r>
      <w:proofErr w:type="spellEnd"/>
      <w:r>
        <w:t xml:space="preserve">. 50 Lakhs by means of inter corporate deposit (f) </w:t>
      </w:r>
      <w:proofErr w:type="spellStart"/>
      <w:r>
        <w:t>Rs</w:t>
      </w:r>
      <w:proofErr w:type="spellEnd"/>
      <w:r>
        <w:t xml:space="preserve">. 25 Lakhs from its employees. (g) </w:t>
      </w:r>
      <w:proofErr w:type="spellStart"/>
      <w:r>
        <w:t>Rs</w:t>
      </w:r>
      <w:proofErr w:type="spellEnd"/>
      <w:r>
        <w:t xml:space="preserve">. 50 Lakhs as business advance from customers (h) </w:t>
      </w:r>
      <w:proofErr w:type="spellStart"/>
      <w:r>
        <w:t>Rs</w:t>
      </w:r>
      <w:proofErr w:type="spellEnd"/>
      <w:r>
        <w:t>. 50 Lakhs as advance against consideration for an immovable property. (</w:t>
      </w:r>
      <w:proofErr w:type="spellStart"/>
      <w:r>
        <w:t>i</w:t>
      </w:r>
      <w:proofErr w:type="spellEnd"/>
      <w:r>
        <w:t xml:space="preserve">) </w:t>
      </w:r>
      <w:proofErr w:type="spellStart"/>
      <w:r>
        <w:t>Rs</w:t>
      </w:r>
      <w:proofErr w:type="spellEnd"/>
      <w:r>
        <w:t xml:space="preserve">. 25 Lakhs as security deposit for performance of provision of services (j) </w:t>
      </w:r>
      <w:proofErr w:type="spellStart"/>
      <w:r>
        <w:t>Rs</w:t>
      </w:r>
      <w:proofErr w:type="spellEnd"/>
      <w:r>
        <w:t xml:space="preserve">. 50 Lakhs from its promoter. (k) </w:t>
      </w:r>
      <w:proofErr w:type="spellStart"/>
      <w:r>
        <w:t>Rs</w:t>
      </w:r>
      <w:proofErr w:type="spellEnd"/>
      <w:r>
        <w:t xml:space="preserve">. 25 Lakhs raised by issue of </w:t>
      </w:r>
      <w:proofErr w:type="spellStart"/>
      <w:r>
        <w:t>non convertible</w:t>
      </w:r>
      <w:proofErr w:type="spellEnd"/>
      <w:r>
        <w:t xml:space="preserve"> debentures. These are not constituting charge on assets of the company. </w:t>
      </w:r>
      <w:proofErr w:type="gramStart"/>
      <w:r>
        <w:t>Solution  (</w:t>
      </w:r>
      <w:proofErr w:type="gramEnd"/>
      <w:r>
        <w:t>a) The said amount is to be received or borrowed from any government agency or Financial Institution or Bank or by way of Commercial paper is not covered under deposits. (b) Company must allot share within 60 days of receipt of share application money or it must refund the share application money to the subscribers within 15 days from the date of completion of sixty days, otherwise, such amount shall be treated as a deposit. (c) Company can receive loan from its director (or relative of director of the private company) provided they give a declaration to the company that the loan given is from own funds and not from borrowed money. (d) Company can raise money by way of bonds and debentures provided amount is secured by a first charge</w:t>
      </w:r>
      <w:r w:rsidRPr="00D23A71">
        <w:t xml:space="preserve"> </w:t>
      </w:r>
      <w:r>
        <w:t>against property; or such bonds or debentures should be compulsorily convertible into shares within 10 years; otherwise it would come under the definition of deposits. (e) Inter corporate deposits are not covered in the definition of deposits (f) If amount received from employee doesn’t exceed their total annual salary; and such deposit should be non-interest bearing security deposit it would not come under the definition of deposit. (g) Advance can be raised from customers however; such advance should be adjusted within 365 days from the date of receipt of advance. Otherwise it would be termed as deposits. (h) Such amount should be adjusted against such property only; otherwise it would be termed as deposits. (</w:t>
      </w:r>
      <w:proofErr w:type="spellStart"/>
      <w:r>
        <w:t>i</w:t>
      </w:r>
      <w:proofErr w:type="spellEnd"/>
      <w:r>
        <w:t>) Security deposits are out of the ambit of definition of deposits. It is suggested to accept security deposits under specific agreement. (j) Amount brought in by the promoters of the company by way of unsecured loan in pursuance of the stipulation of any lending financial institution or a bank is not deposits subject to fulfillment of the following conditions, namely:-  (</w:t>
      </w:r>
      <w:proofErr w:type="spellStart"/>
      <w:r>
        <w:t>i</w:t>
      </w:r>
      <w:proofErr w:type="spellEnd"/>
      <w:r>
        <w:t>) the loan is brought in pursuance of the stipulation imposed by the lending institutions on the promoters to contribute such finance;  (ii) the loan is provided by the promoters themselves or by their relatives or by both; and (iii) the exemption under this sub-clause shall be available only till the loans of financial institution or bank are repaid and not thereafter; (k) This amount is not a deposit in term of rule 2(1)(c)(</w:t>
      </w:r>
      <w:proofErr w:type="spellStart"/>
      <w:r>
        <w:t>ixa</w:t>
      </w:r>
      <w:proofErr w:type="spellEnd"/>
      <w:r>
        <w:t xml:space="preserve">) provided these non-convertible debenture are listed on </w:t>
      </w:r>
      <w:proofErr w:type="spellStart"/>
      <w:r>
        <w:t>recongnised</w:t>
      </w:r>
      <w:proofErr w:type="spellEnd"/>
      <w:r>
        <w:t xml:space="preserve"> stock exchange.</w:t>
      </w:r>
    </w:p>
    <w:p w:rsidR="001E585C" w:rsidRDefault="001E585C" w:rsidP="001E585C">
      <w:pPr>
        <w:pStyle w:val="ListParagraph"/>
      </w:pPr>
    </w:p>
    <w:p w:rsidR="00B42329" w:rsidRDefault="00B42329" w:rsidP="00B42329">
      <w:pPr>
        <w:pStyle w:val="ListParagraph"/>
        <w:numPr>
          <w:ilvl w:val="0"/>
          <w:numId w:val="1"/>
        </w:numPr>
      </w:pPr>
      <w:r>
        <w:t>After that NCLT related section 7,42,48,55,58,59,61,66,71,76,88,97,98,121,130,131,140,169</w:t>
      </w:r>
    </w:p>
    <w:p w:rsidR="00B42329" w:rsidRDefault="00B42329" w:rsidP="00B42329">
      <w:pPr>
        <w:pStyle w:val="ListParagraph"/>
      </w:pPr>
    </w:p>
    <w:p w:rsidR="00B42329" w:rsidRDefault="00B42329" w:rsidP="00B42329">
      <w:pPr>
        <w:pStyle w:val="ListParagraph"/>
        <w:numPr>
          <w:ilvl w:val="0"/>
          <w:numId w:val="1"/>
        </w:numPr>
      </w:pPr>
      <w:r>
        <w:t xml:space="preserve">And overview the limits if time permits </w:t>
      </w:r>
      <w:bookmarkStart w:id="0" w:name="_GoBack"/>
      <w:bookmarkEnd w:id="0"/>
    </w:p>
    <w:p w:rsidR="00360596" w:rsidRDefault="0049415D"/>
    <w:sectPr w:rsidR="00360596" w:rsidSect="00AD082C">
      <w:headerReference w:type="default" r:id="rId7"/>
      <w:pgSz w:w="12242" w:h="18722" w:code="258"/>
      <w:pgMar w:top="446" w:right="806" w:bottom="907" w:left="1166"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15D" w:rsidRDefault="0049415D" w:rsidP="001E585C">
      <w:pPr>
        <w:spacing w:after="0" w:line="240" w:lineRule="auto"/>
      </w:pPr>
      <w:r>
        <w:separator/>
      </w:r>
    </w:p>
  </w:endnote>
  <w:endnote w:type="continuationSeparator" w:id="0">
    <w:p w:rsidR="0049415D" w:rsidRDefault="0049415D" w:rsidP="001E5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15D" w:rsidRDefault="0049415D" w:rsidP="001E585C">
      <w:pPr>
        <w:spacing w:after="0" w:line="240" w:lineRule="auto"/>
      </w:pPr>
      <w:r>
        <w:separator/>
      </w:r>
    </w:p>
  </w:footnote>
  <w:footnote w:type="continuationSeparator" w:id="0">
    <w:p w:rsidR="0049415D" w:rsidRDefault="0049415D" w:rsidP="001E58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E06" w:rsidRDefault="0049415D">
    <w:pPr>
      <w:pStyle w:val="Header"/>
    </w:pPr>
    <w:r>
      <w:rPr>
        <w:noProof/>
      </w:rPr>
      <mc:AlternateContent>
        <mc:Choice Requires="wps">
          <w:drawing>
            <wp:anchor distT="0" distB="0" distL="118745" distR="118745" simplePos="0" relativeHeight="251659264" behindDoc="1" locked="0" layoutInCell="1" allowOverlap="0" wp14:anchorId="709D30EB" wp14:editId="596AA1CD">
              <wp:simplePos x="0" y="0"/>
              <wp:positionH relativeFrom="margin">
                <wp:align>center</wp:align>
              </wp:positionH>
              <mc:AlternateContent>
                <mc:Choice Requires="wp14">
                  <wp:positionV relativeFrom="page">
                    <wp14:pctPosVOffset>4500</wp14:pctPosVOffset>
                  </wp:positionV>
                </mc:Choice>
                <mc:Fallback>
                  <wp:positionV relativeFrom="page">
                    <wp:posOffset>534670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677E06" w:rsidRDefault="00B42329" w:rsidP="00677E06">
                              <w:pPr>
                                <w:pStyle w:val="Header"/>
                                <w:tabs>
                                  <w:tab w:val="clear" w:pos="4680"/>
                                  <w:tab w:val="clear" w:pos="9360"/>
                                </w:tabs>
                                <w:jc w:val="center"/>
                                <w:rPr>
                                  <w:caps/>
                                  <w:color w:val="FFFFFF" w:themeColor="background1"/>
                                </w:rPr>
                              </w:pPr>
                              <w:r>
                                <w:rPr>
                                  <w:caps/>
                                  <w:color w:val="FFFFFF" w:themeColor="background1"/>
                                </w:rPr>
                                <w:t>Last minute revision for the morining by cs rahul taori</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09D30EB"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677E06" w:rsidRDefault="00B42329" w:rsidP="00677E06">
                        <w:pPr>
                          <w:pStyle w:val="Header"/>
                          <w:tabs>
                            <w:tab w:val="clear" w:pos="4680"/>
                            <w:tab w:val="clear" w:pos="9360"/>
                          </w:tabs>
                          <w:jc w:val="center"/>
                          <w:rPr>
                            <w:caps/>
                            <w:color w:val="FFFFFF" w:themeColor="background1"/>
                          </w:rPr>
                        </w:pPr>
                        <w:r>
                          <w:rPr>
                            <w:caps/>
                            <w:color w:val="FFFFFF" w:themeColor="background1"/>
                          </w:rPr>
                          <w:t>Last minute revision for the morining by cs rahul taori</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F96881"/>
    <w:multiLevelType w:val="hybridMultilevel"/>
    <w:tmpl w:val="E954E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85C"/>
    <w:rsid w:val="000861B9"/>
    <w:rsid w:val="001E585C"/>
    <w:rsid w:val="0049415D"/>
    <w:rsid w:val="00AD082C"/>
    <w:rsid w:val="00B42329"/>
    <w:rsid w:val="00C91F89"/>
    <w:rsid w:val="00D13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3D9837-F2E3-4A81-9C0F-6FE013961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8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585C"/>
    <w:pPr>
      <w:ind w:left="720"/>
      <w:contextualSpacing/>
    </w:pPr>
  </w:style>
  <w:style w:type="paragraph" w:styleId="Header">
    <w:name w:val="header"/>
    <w:basedOn w:val="Normal"/>
    <w:link w:val="HeaderChar"/>
    <w:uiPriority w:val="99"/>
    <w:unhideWhenUsed/>
    <w:rsid w:val="001E58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85C"/>
  </w:style>
  <w:style w:type="paragraph" w:styleId="Footer">
    <w:name w:val="footer"/>
    <w:basedOn w:val="Normal"/>
    <w:link w:val="FooterChar"/>
    <w:uiPriority w:val="99"/>
    <w:unhideWhenUsed/>
    <w:rsid w:val="001E58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4025</Words>
  <Characters>22946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Last minute revision for the morining by cs rahul taori </vt:lpstr>
    </vt:vector>
  </TitlesOfParts>
  <Company/>
  <LinksUpToDate>false</LinksUpToDate>
  <CharactersWithSpaces>26918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minute revision for the morining by cs rahul taori</dc:title>
  <dc:subject/>
  <dc:creator>Rohit Falake</dc:creator>
  <cp:keywords/>
  <dc:description/>
  <cp:lastModifiedBy>Rohit Falake</cp:lastModifiedBy>
  <cp:revision>2</cp:revision>
  <dcterms:created xsi:type="dcterms:W3CDTF">2017-05-31T15:14:00Z</dcterms:created>
  <dcterms:modified xsi:type="dcterms:W3CDTF">2017-05-31T15:14:00Z</dcterms:modified>
</cp:coreProperties>
</file>