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E83" w:rsidRDefault="00ED1538" w:rsidP="00367405">
      <w:pPr>
        <w:jc w:val="center"/>
        <w:rPr>
          <w:rFonts w:ascii="Times New Roman" w:hAnsi="Times New Roman" w:cs="Times New Roman"/>
          <w:sz w:val="24"/>
          <w:szCs w:val="24"/>
          <w:u w:val="single"/>
        </w:rPr>
      </w:pPr>
      <w:r w:rsidRPr="00367405">
        <w:rPr>
          <w:rFonts w:ascii="Times New Roman" w:hAnsi="Times New Roman" w:cs="Times New Roman"/>
          <w:sz w:val="24"/>
          <w:szCs w:val="24"/>
          <w:u w:val="single"/>
        </w:rPr>
        <w:t>NON- BANKING FINANCIAL COMPANY (NBFCs)</w:t>
      </w:r>
    </w:p>
    <w:p w:rsidR="00367405" w:rsidRPr="00367405" w:rsidRDefault="00367405" w:rsidP="00367405">
      <w:pPr>
        <w:jc w:val="center"/>
        <w:rPr>
          <w:rFonts w:ascii="Times New Roman" w:hAnsi="Times New Roman" w:cs="Times New Roman"/>
          <w:sz w:val="24"/>
          <w:szCs w:val="24"/>
          <w:u w:val="single"/>
        </w:rPr>
      </w:pPr>
    </w:p>
    <w:p w:rsidR="00ED1538" w:rsidRPr="00ED1538" w:rsidRDefault="00ED1538">
      <w:pPr>
        <w:rPr>
          <w:rFonts w:ascii="Times New Roman" w:hAnsi="Times New Roman" w:cs="Times New Roman"/>
          <w:b/>
          <w:sz w:val="24"/>
          <w:szCs w:val="24"/>
          <w:u w:val="single"/>
        </w:rPr>
      </w:pPr>
      <w:r w:rsidRPr="00ED1538">
        <w:rPr>
          <w:rFonts w:ascii="Times New Roman" w:hAnsi="Times New Roman" w:cs="Times New Roman"/>
          <w:b/>
          <w:sz w:val="24"/>
          <w:szCs w:val="24"/>
          <w:u w:val="single"/>
        </w:rPr>
        <w:t>Meaning:</w:t>
      </w:r>
    </w:p>
    <w:p w:rsidR="00ED1538" w:rsidRDefault="00ED1538" w:rsidP="00ED1538">
      <w:pPr>
        <w:jc w:val="both"/>
        <w:rPr>
          <w:rFonts w:ascii="Times New Roman" w:hAnsi="Times New Roman" w:cs="Times New Roman"/>
          <w:color w:val="000000"/>
          <w:sz w:val="24"/>
          <w:szCs w:val="24"/>
        </w:rPr>
      </w:pPr>
      <w:r w:rsidRPr="00ED1538">
        <w:rPr>
          <w:rFonts w:ascii="Times New Roman" w:hAnsi="Times New Roman" w:cs="Times New Roman"/>
          <w:color w:val="000000"/>
          <w:sz w:val="24"/>
          <w:szCs w:val="24"/>
        </w:rPr>
        <w:t>A Non-Banking Financial Company (NBFC) is a company registered under the Companies Act, 1956 engaged in the business of loans and advances, acquisition of shares/stocks/bonds/debentures/securities issued by Government or local authority or other marketable securities of a like nature, leasing, hire-purchase, insurance business, chit business but does not include any institution whose principal business is that of agriculture activity, industrial activity, purchase or sale of any goods (other than securities) or providing any services and sale/purchase/construction of immovable property. A non-banking institution which is a company and has principal business of receiving deposits under any scheme or arrangement in one lump sum or in installments by way of contributions or in any other manner, is also a non-banking financial company (Residuary non-banking company).</w:t>
      </w:r>
    </w:p>
    <w:p w:rsidR="00ED1538" w:rsidRPr="00ED1538" w:rsidRDefault="00ED1538" w:rsidP="00ED1538">
      <w:pPr>
        <w:jc w:val="both"/>
        <w:rPr>
          <w:rFonts w:ascii="Times New Roman" w:hAnsi="Times New Roman" w:cs="Times New Roman"/>
          <w:b/>
          <w:color w:val="000000"/>
          <w:sz w:val="24"/>
          <w:szCs w:val="24"/>
          <w:u w:val="single"/>
        </w:rPr>
      </w:pPr>
      <w:r w:rsidRPr="00ED1538">
        <w:rPr>
          <w:rFonts w:ascii="Times New Roman" w:hAnsi="Times New Roman" w:cs="Times New Roman"/>
          <w:b/>
          <w:color w:val="000000"/>
          <w:sz w:val="24"/>
          <w:szCs w:val="24"/>
          <w:u w:val="single"/>
        </w:rPr>
        <w:t>Difference between NBFCs and BANKs.</w:t>
      </w:r>
    </w:p>
    <w:p w:rsidR="00ED1538" w:rsidRPr="00ED1538" w:rsidRDefault="00ED1538" w:rsidP="00ED1538">
      <w:pPr>
        <w:pStyle w:val="NormalWeb"/>
        <w:jc w:val="both"/>
        <w:rPr>
          <w:color w:val="000000"/>
        </w:rPr>
      </w:pPr>
      <w:r w:rsidRPr="00ED1538">
        <w:rPr>
          <w:color w:val="000000"/>
        </w:rPr>
        <w:t>NBFCs lend and make investments and hence their activities are akin to that of banks; however, there are a few differences as given below:</w:t>
      </w:r>
    </w:p>
    <w:p w:rsidR="00ED1538" w:rsidRPr="00ED1538" w:rsidRDefault="00ED1538" w:rsidP="00ED1538">
      <w:pPr>
        <w:pStyle w:val="NormalWeb"/>
        <w:jc w:val="both"/>
        <w:rPr>
          <w:color w:val="000000"/>
        </w:rPr>
      </w:pPr>
      <w:r w:rsidRPr="00ED1538">
        <w:rPr>
          <w:color w:val="000000"/>
        </w:rPr>
        <w:t>i. NBFC cannot accept demand deposits;</w:t>
      </w:r>
    </w:p>
    <w:p w:rsidR="00ED1538" w:rsidRPr="00ED1538" w:rsidRDefault="00ED1538" w:rsidP="00ED1538">
      <w:pPr>
        <w:pStyle w:val="NormalWeb"/>
        <w:jc w:val="both"/>
        <w:rPr>
          <w:color w:val="000000"/>
        </w:rPr>
      </w:pPr>
      <w:r w:rsidRPr="00ED1538">
        <w:rPr>
          <w:color w:val="000000"/>
        </w:rPr>
        <w:t>ii. NBFCs do not form part of the payment and settlement system and cannot issue cheques drawn on itself;</w:t>
      </w:r>
    </w:p>
    <w:p w:rsidR="00ED1538" w:rsidRDefault="00ED1538" w:rsidP="00ED1538">
      <w:pPr>
        <w:pStyle w:val="NormalWeb"/>
        <w:jc w:val="both"/>
        <w:rPr>
          <w:color w:val="000000"/>
        </w:rPr>
      </w:pPr>
      <w:r w:rsidRPr="00ED1538">
        <w:rPr>
          <w:color w:val="000000"/>
        </w:rPr>
        <w:t>iii. deposit insurance facility of Deposit Insurance and Credit Guarantee Corporation is not available to depositors of NBFCs, unlike in case of banks.</w:t>
      </w:r>
    </w:p>
    <w:tbl>
      <w:tblPr>
        <w:tblW w:w="5000" w:type="pct"/>
        <w:tblCellSpacing w:w="0" w:type="dxa"/>
        <w:tblInd w:w="-180" w:type="dxa"/>
        <w:shd w:val="clear" w:color="auto" w:fill="FFFFFF"/>
        <w:tblCellMar>
          <w:left w:w="0" w:type="dxa"/>
          <w:right w:w="0" w:type="dxa"/>
        </w:tblCellMar>
        <w:tblLook w:val="04A0" w:firstRow="1" w:lastRow="0" w:firstColumn="1" w:lastColumn="0" w:noHBand="0" w:noVBand="1"/>
      </w:tblPr>
      <w:tblGrid>
        <w:gridCol w:w="9360"/>
      </w:tblGrid>
      <w:tr w:rsidR="00ED1538" w:rsidRPr="00ED1538" w:rsidTr="00D33F3B">
        <w:trPr>
          <w:tblCellSpacing w:w="0" w:type="dxa"/>
        </w:trPr>
        <w:tc>
          <w:tcPr>
            <w:tcW w:w="5000" w:type="pct"/>
            <w:shd w:val="clear" w:color="auto" w:fill="FFFFFF"/>
            <w:vAlign w:val="center"/>
            <w:hideMark/>
          </w:tcPr>
          <w:p w:rsidR="00ED1538" w:rsidRPr="00D33F3B" w:rsidRDefault="00ED1538" w:rsidP="00ED1538">
            <w:pPr>
              <w:spacing w:after="0" w:line="360" w:lineRule="atLeast"/>
              <w:jc w:val="both"/>
              <w:rPr>
                <w:rFonts w:ascii="Times New Roman" w:hAnsi="Times New Roman" w:cs="Times New Roman"/>
                <w:b/>
                <w:color w:val="000000"/>
                <w:sz w:val="24"/>
                <w:szCs w:val="24"/>
                <w:u w:val="single"/>
              </w:rPr>
            </w:pPr>
            <w:r w:rsidRPr="00D33F3B">
              <w:rPr>
                <w:rFonts w:ascii="Times New Roman" w:hAnsi="Times New Roman" w:cs="Times New Roman"/>
                <w:b/>
                <w:color w:val="000000"/>
                <w:sz w:val="24"/>
                <w:szCs w:val="24"/>
                <w:u w:val="single"/>
              </w:rPr>
              <w:t>Types/</w:t>
            </w:r>
            <w:r w:rsidRPr="00D33F3B">
              <w:rPr>
                <w:rFonts w:ascii="Times New Roman" w:hAnsi="Times New Roman" w:cs="Times New Roman"/>
                <w:b/>
                <w:bCs/>
                <w:color w:val="000000"/>
                <w:kern w:val="36"/>
                <w:sz w:val="24"/>
                <w:szCs w:val="24"/>
                <w:u w:val="single"/>
              </w:rPr>
              <w:t xml:space="preserve"> </w:t>
            </w:r>
            <w:r w:rsidRPr="00D33F3B">
              <w:rPr>
                <w:rFonts w:ascii="Times New Roman" w:eastAsia="Times New Roman" w:hAnsi="Times New Roman" w:cs="Times New Roman"/>
                <w:b/>
                <w:bCs/>
                <w:color w:val="000000"/>
                <w:kern w:val="36"/>
                <w:sz w:val="24"/>
                <w:szCs w:val="24"/>
                <w:u w:val="single"/>
              </w:rPr>
              <w:t>categories of NBFCs registered with RBI</w:t>
            </w:r>
          </w:p>
          <w:p w:rsidR="00ED1538" w:rsidRPr="00ED1538" w:rsidRDefault="00ED1538" w:rsidP="00ED1538">
            <w:pPr>
              <w:spacing w:after="0" w:line="360" w:lineRule="atLeast"/>
              <w:jc w:val="both"/>
              <w:rPr>
                <w:rFonts w:ascii="Times New Roman" w:eastAsia="Times New Roman" w:hAnsi="Times New Roman" w:cs="Times New Roman"/>
                <w:color w:val="000000"/>
                <w:sz w:val="24"/>
                <w:szCs w:val="24"/>
              </w:rPr>
            </w:pPr>
            <w:r w:rsidRPr="00ED1538">
              <w:rPr>
                <w:rFonts w:ascii="Times New Roman" w:eastAsia="Times New Roman" w:hAnsi="Times New Roman" w:cs="Times New Roman"/>
                <w:color w:val="000000"/>
                <w:sz w:val="24"/>
                <w:szCs w:val="24"/>
              </w:rPr>
              <w:t xml:space="preserve">NBFCs are categorized a) in terms of the type of liabilities into Deposit and Non-Deposit accepting NBFCs, b) </w:t>
            </w:r>
            <w:proofErr w:type="gramStart"/>
            <w:r w:rsidRPr="00ED1538">
              <w:rPr>
                <w:rFonts w:ascii="Times New Roman" w:eastAsia="Times New Roman" w:hAnsi="Times New Roman" w:cs="Times New Roman"/>
                <w:color w:val="000000"/>
                <w:sz w:val="24"/>
                <w:szCs w:val="24"/>
              </w:rPr>
              <w:t>non deposit</w:t>
            </w:r>
            <w:proofErr w:type="gramEnd"/>
            <w:r w:rsidRPr="00ED1538">
              <w:rPr>
                <w:rFonts w:ascii="Times New Roman" w:eastAsia="Times New Roman" w:hAnsi="Times New Roman" w:cs="Times New Roman"/>
                <w:color w:val="000000"/>
                <w:sz w:val="24"/>
                <w:szCs w:val="24"/>
              </w:rPr>
              <w:t xml:space="preserve"> taking NBFCs by their size into systemically important and other non-deposit holding companies (NBFC-NDSI and NBFC-ND) and c) by the kind of activity they conduct. Within this broad </w:t>
            </w:r>
            <w:proofErr w:type="gramStart"/>
            <w:r w:rsidRPr="00ED1538">
              <w:rPr>
                <w:rFonts w:ascii="Times New Roman" w:eastAsia="Times New Roman" w:hAnsi="Times New Roman" w:cs="Times New Roman"/>
                <w:color w:val="000000"/>
                <w:sz w:val="24"/>
                <w:szCs w:val="24"/>
              </w:rPr>
              <w:t>categorization</w:t>
            </w:r>
            <w:proofErr w:type="gramEnd"/>
            <w:r w:rsidRPr="00ED1538">
              <w:rPr>
                <w:rFonts w:ascii="Times New Roman" w:eastAsia="Times New Roman" w:hAnsi="Times New Roman" w:cs="Times New Roman"/>
                <w:color w:val="000000"/>
                <w:sz w:val="24"/>
                <w:szCs w:val="24"/>
              </w:rPr>
              <w:t xml:space="preserve"> the different types of NBFCs are as follows:</w:t>
            </w:r>
          </w:p>
          <w:p w:rsidR="00D33F3B" w:rsidRPr="00D33F3B" w:rsidRDefault="00ED1538" w:rsidP="00D33F3B">
            <w:pPr>
              <w:pStyle w:val="ListParagraph"/>
              <w:numPr>
                <w:ilvl w:val="0"/>
                <w:numId w:val="3"/>
              </w:numPr>
              <w:spacing w:before="100" w:beforeAutospacing="1" w:after="100" w:afterAutospacing="1" w:line="360" w:lineRule="atLeast"/>
              <w:jc w:val="both"/>
              <w:outlineLvl w:val="1"/>
              <w:rPr>
                <w:rFonts w:ascii="Times New Roman" w:eastAsia="Times New Roman" w:hAnsi="Times New Roman" w:cs="Times New Roman"/>
                <w:b/>
                <w:bCs/>
                <w:color w:val="000000"/>
                <w:sz w:val="24"/>
                <w:szCs w:val="24"/>
                <w:u w:val="single"/>
              </w:rPr>
            </w:pPr>
            <w:r w:rsidRPr="00D33F3B">
              <w:rPr>
                <w:rFonts w:ascii="Times New Roman" w:eastAsia="Times New Roman" w:hAnsi="Times New Roman" w:cs="Times New Roman"/>
                <w:b/>
                <w:bCs/>
                <w:color w:val="000000"/>
                <w:sz w:val="24"/>
                <w:szCs w:val="24"/>
                <w:u w:val="single"/>
              </w:rPr>
              <w:t>Asset Finance Company(AFC)</w:t>
            </w:r>
            <w:r w:rsidRPr="00D33F3B">
              <w:rPr>
                <w:rFonts w:ascii="Times New Roman" w:eastAsia="Times New Roman" w:hAnsi="Times New Roman" w:cs="Times New Roman"/>
                <w:color w:val="000000"/>
                <w:sz w:val="24"/>
                <w:szCs w:val="24"/>
              </w:rPr>
              <w:t>:</w:t>
            </w:r>
          </w:p>
          <w:p w:rsidR="00D33F3B" w:rsidRDefault="00D33F3B" w:rsidP="00D33F3B">
            <w:pPr>
              <w:pStyle w:val="ListParagraph"/>
              <w:spacing w:before="100" w:beforeAutospacing="1" w:after="100" w:afterAutospacing="1" w:line="360" w:lineRule="atLeast"/>
              <w:jc w:val="both"/>
              <w:outlineLvl w:val="1"/>
              <w:rPr>
                <w:rFonts w:ascii="Times New Roman" w:eastAsia="Times New Roman" w:hAnsi="Times New Roman" w:cs="Times New Roman"/>
                <w:b/>
                <w:bCs/>
                <w:color w:val="000000"/>
                <w:sz w:val="24"/>
                <w:szCs w:val="24"/>
                <w:u w:val="single"/>
              </w:rPr>
            </w:pPr>
          </w:p>
          <w:p w:rsidR="00ED1538" w:rsidRDefault="00ED1538" w:rsidP="00D33F3B">
            <w:pPr>
              <w:pStyle w:val="ListParagraph"/>
              <w:spacing w:before="100" w:beforeAutospacing="1" w:after="100" w:afterAutospacing="1" w:line="360" w:lineRule="atLeast"/>
              <w:jc w:val="both"/>
              <w:outlineLvl w:val="1"/>
              <w:rPr>
                <w:rFonts w:ascii="Times New Roman" w:eastAsia="Times New Roman" w:hAnsi="Times New Roman" w:cs="Times New Roman"/>
                <w:color w:val="000000"/>
                <w:sz w:val="24"/>
                <w:szCs w:val="24"/>
                <w:u w:val="single"/>
              </w:rPr>
            </w:pPr>
            <w:r w:rsidRPr="00D33F3B">
              <w:rPr>
                <w:rFonts w:ascii="Times New Roman" w:eastAsia="Times New Roman" w:hAnsi="Times New Roman" w:cs="Times New Roman"/>
                <w:color w:val="000000"/>
                <w:sz w:val="24"/>
                <w:szCs w:val="24"/>
              </w:rPr>
              <w:t xml:space="preserve">An AFC is a company which is a financial institution carrying on as its principal business the financing of physical assets supporting productive/economic activity, such as automobiles, tractors, lathe machines, generator sets, earth moving and material handling equipments, moving on own power and general purpose industrial machines. Principal business for this purpose is defined as aggregate of financing real/physical assets </w:t>
            </w:r>
            <w:r w:rsidRPr="00D33F3B">
              <w:rPr>
                <w:rFonts w:ascii="Times New Roman" w:eastAsia="Times New Roman" w:hAnsi="Times New Roman" w:cs="Times New Roman"/>
                <w:color w:val="000000"/>
                <w:sz w:val="24"/>
                <w:szCs w:val="24"/>
              </w:rPr>
              <w:lastRenderedPageBreak/>
              <w:t>supporting economic activity and income arising therefrom is not less than 60% of its total assets and total income respectively.</w:t>
            </w:r>
          </w:p>
          <w:p w:rsidR="00D33F3B" w:rsidRPr="00D33F3B" w:rsidRDefault="00D33F3B" w:rsidP="00D33F3B">
            <w:pPr>
              <w:pStyle w:val="ListParagraph"/>
              <w:spacing w:before="100" w:beforeAutospacing="1" w:after="100" w:afterAutospacing="1" w:line="360" w:lineRule="atLeast"/>
              <w:jc w:val="both"/>
              <w:outlineLvl w:val="1"/>
              <w:rPr>
                <w:rFonts w:ascii="Times New Roman" w:eastAsia="Times New Roman" w:hAnsi="Times New Roman" w:cs="Times New Roman"/>
                <w:b/>
                <w:bCs/>
                <w:color w:val="000000"/>
                <w:sz w:val="24"/>
                <w:szCs w:val="24"/>
                <w:u w:val="single"/>
              </w:rPr>
            </w:pPr>
          </w:p>
          <w:p w:rsidR="00ED1538" w:rsidRPr="00D33F3B" w:rsidRDefault="00ED1538" w:rsidP="00D33F3B">
            <w:pPr>
              <w:pStyle w:val="ListParagraph"/>
              <w:numPr>
                <w:ilvl w:val="0"/>
                <w:numId w:val="3"/>
              </w:numPr>
              <w:spacing w:before="100" w:beforeAutospacing="1" w:after="100" w:afterAutospacing="1" w:line="360" w:lineRule="atLeast"/>
              <w:jc w:val="both"/>
              <w:outlineLvl w:val="1"/>
              <w:rPr>
                <w:rFonts w:ascii="Times New Roman" w:eastAsia="Times New Roman" w:hAnsi="Times New Roman" w:cs="Times New Roman"/>
                <w:b/>
                <w:bCs/>
                <w:color w:val="000000"/>
                <w:sz w:val="24"/>
                <w:szCs w:val="24"/>
                <w:u w:val="single"/>
              </w:rPr>
            </w:pPr>
            <w:r w:rsidRPr="00D33F3B">
              <w:rPr>
                <w:rFonts w:ascii="Times New Roman" w:eastAsia="Times New Roman" w:hAnsi="Times New Roman" w:cs="Times New Roman"/>
                <w:b/>
                <w:bCs/>
                <w:color w:val="000000"/>
                <w:sz w:val="24"/>
                <w:szCs w:val="24"/>
                <w:u w:val="single"/>
              </w:rPr>
              <w:t>Investment Company (IC)</w:t>
            </w:r>
          </w:p>
          <w:p w:rsidR="00ED1538" w:rsidRDefault="00ED1538" w:rsidP="00ED1538">
            <w:pPr>
              <w:spacing w:after="0" w:line="360" w:lineRule="atLeast"/>
              <w:jc w:val="both"/>
              <w:rPr>
                <w:rFonts w:ascii="Times New Roman" w:eastAsia="Times New Roman" w:hAnsi="Times New Roman" w:cs="Times New Roman"/>
                <w:color w:val="000000"/>
                <w:sz w:val="24"/>
                <w:szCs w:val="24"/>
              </w:rPr>
            </w:pPr>
            <w:r w:rsidRPr="00ED1538">
              <w:rPr>
                <w:rFonts w:ascii="Times New Roman" w:eastAsia="Times New Roman" w:hAnsi="Times New Roman" w:cs="Times New Roman"/>
                <w:color w:val="000000"/>
                <w:sz w:val="24"/>
                <w:szCs w:val="24"/>
              </w:rPr>
              <w:t>I</w:t>
            </w:r>
            <w:r w:rsidR="00D33F3B">
              <w:rPr>
                <w:rFonts w:ascii="Times New Roman" w:eastAsia="Times New Roman" w:hAnsi="Times New Roman" w:cs="Times New Roman"/>
                <w:color w:val="000000"/>
                <w:sz w:val="24"/>
                <w:szCs w:val="24"/>
              </w:rPr>
              <w:t xml:space="preserve">nvestment </w:t>
            </w:r>
            <w:r w:rsidRPr="00ED1538">
              <w:rPr>
                <w:rFonts w:ascii="Times New Roman" w:eastAsia="Times New Roman" w:hAnsi="Times New Roman" w:cs="Times New Roman"/>
                <w:color w:val="000000"/>
                <w:sz w:val="24"/>
                <w:szCs w:val="24"/>
              </w:rPr>
              <w:t>C</w:t>
            </w:r>
            <w:r w:rsidR="00D33F3B">
              <w:rPr>
                <w:rFonts w:ascii="Times New Roman" w:eastAsia="Times New Roman" w:hAnsi="Times New Roman" w:cs="Times New Roman"/>
                <w:color w:val="000000"/>
                <w:sz w:val="24"/>
                <w:szCs w:val="24"/>
              </w:rPr>
              <w:t>ompany</w:t>
            </w:r>
            <w:r w:rsidRPr="00ED1538">
              <w:rPr>
                <w:rFonts w:ascii="Times New Roman" w:eastAsia="Times New Roman" w:hAnsi="Times New Roman" w:cs="Times New Roman"/>
                <w:color w:val="000000"/>
                <w:sz w:val="24"/>
                <w:szCs w:val="24"/>
              </w:rPr>
              <w:t xml:space="preserve"> means any company which is a financial institution carrying on as its principal business the acquisition of securities.</w:t>
            </w:r>
          </w:p>
          <w:p w:rsidR="00D33F3B" w:rsidRPr="00ED1538" w:rsidRDefault="00D33F3B" w:rsidP="00ED1538">
            <w:pPr>
              <w:spacing w:after="0" w:line="360" w:lineRule="atLeast"/>
              <w:jc w:val="both"/>
              <w:rPr>
                <w:rFonts w:ascii="Times New Roman" w:eastAsia="Times New Roman" w:hAnsi="Times New Roman" w:cs="Times New Roman"/>
                <w:color w:val="000000"/>
                <w:sz w:val="24"/>
                <w:szCs w:val="24"/>
              </w:rPr>
            </w:pPr>
          </w:p>
          <w:p w:rsidR="00ED1538" w:rsidRPr="00D33F3B" w:rsidRDefault="00ED1538" w:rsidP="00D33F3B">
            <w:pPr>
              <w:pStyle w:val="ListParagraph"/>
              <w:numPr>
                <w:ilvl w:val="0"/>
                <w:numId w:val="3"/>
              </w:numPr>
              <w:spacing w:before="100" w:beforeAutospacing="1" w:after="100" w:afterAutospacing="1" w:line="360" w:lineRule="atLeast"/>
              <w:jc w:val="both"/>
              <w:outlineLvl w:val="1"/>
              <w:rPr>
                <w:rFonts w:ascii="Times New Roman" w:eastAsia="Times New Roman" w:hAnsi="Times New Roman" w:cs="Times New Roman"/>
                <w:b/>
                <w:bCs/>
                <w:color w:val="000000"/>
                <w:sz w:val="24"/>
                <w:szCs w:val="24"/>
                <w:u w:val="single"/>
              </w:rPr>
            </w:pPr>
            <w:r w:rsidRPr="00D33F3B">
              <w:rPr>
                <w:rFonts w:ascii="Times New Roman" w:eastAsia="Times New Roman" w:hAnsi="Times New Roman" w:cs="Times New Roman"/>
                <w:b/>
                <w:bCs/>
                <w:color w:val="000000"/>
                <w:sz w:val="24"/>
                <w:szCs w:val="24"/>
                <w:u w:val="single"/>
              </w:rPr>
              <w:t>Loan Company (LC)</w:t>
            </w:r>
          </w:p>
          <w:p w:rsidR="00D33F3B" w:rsidRDefault="00ED1538" w:rsidP="00ED1538">
            <w:pPr>
              <w:spacing w:after="0" w:line="360" w:lineRule="atLeast"/>
              <w:jc w:val="both"/>
              <w:rPr>
                <w:rFonts w:ascii="Times New Roman" w:eastAsia="Times New Roman" w:hAnsi="Times New Roman" w:cs="Times New Roman"/>
                <w:b/>
                <w:bCs/>
                <w:color w:val="000000"/>
                <w:sz w:val="24"/>
                <w:szCs w:val="24"/>
              </w:rPr>
            </w:pPr>
            <w:r w:rsidRPr="00ED1538">
              <w:rPr>
                <w:rFonts w:ascii="Times New Roman" w:eastAsia="Times New Roman" w:hAnsi="Times New Roman" w:cs="Times New Roman"/>
                <w:color w:val="000000"/>
                <w:sz w:val="24"/>
                <w:szCs w:val="24"/>
              </w:rPr>
              <w:t>L</w:t>
            </w:r>
            <w:r w:rsidR="00D33F3B">
              <w:rPr>
                <w:rFonts w:ascii="Times New Roman" w:eastAsia="Times New Roman" w:hAnsi="Times New Roman" w:cs="Times New Roman"/>
                <w:color w:val="000000"/>
                <w:sz w:val="24"/>
                <w:szCs w:val="24"/>
              </w:rPr>
              <w:t xml:space="preserve">oan </w:t>
            </w:r>
            <w:r w:rsidRPr="00ED1538">
              <w:rPr>
                <w:rFonts w:ascii="Times New Roman" w:eastAsia="Times New Roman" w:hAnsi="Times New Roman" w:cs="Times New Roman"/>
                <w:color w:val="000000"/>
                <w:sz w:val="24"/>
                <w:szCs w:val="24"/>
              </w:rPr>
              <w:t>C</w:t>
            </w:r>
            <w:r w:rsidR="00D33F3B">
              <w:rPr>
                <w:rFonts w:ascii="Times New Roman" w:eastAsia="Times New Roman" w:hAnsi="Times New Roman" w:cs="Times New Roman"/>
                <w:color w:val="000000"/>
                <w:sz w:val="24"/>
                <w:szCs w:val="24"/>
              </w:rPr>
              <w:t>ompany</w:t>
            </w:r>
            <w:r w:rsidRPr="00ED1538">
              <w:rPr>
                <w:rFonts w:ascii="Times New Roman" w:eastAsia="Times New Roman" w:hAnsi="Times New Roman" w:cs="Times New Roman"/>
                <w:color w:val="000000"/>
                <w:sz w:val="24"/>
                <w:szCs w:val="24"/>
              </w:rPr>
              <w:t xml:space="preserve"> means any company which is a financial institution carrying on as its principal business the providing of finance whether by making loans or advances or otherwise for any activity other than its own but does not include an Asset Finance Company.</w:t>
            </w:r>
            <w:r w:rsidRPr="00ED1538">
              <w:rPr>
                <w:rFonts w:ascii="Times New Roman" w:eastAsia="Times New Roman" w:hAnsi="Times New Roman" w:cs="Times New Roman"/>
                <w:color w:val="000000"/>
                <w:sz w:val="24"/>
                <w:szCs w:val="24"/>
              </w:rPr>
              <w:br/>
            </w:r>
          </w:p>
          <w:p w:rsidR="00D33F3B" w:rsidRDefault="00D33F3B" w:rsidP="00ED1538">
            <w:pPr>
              <w:spacing w:after="0" w:line="360" w:lineRule="atLeast"/>
              <w:jc w:val="both"/>
              <w:rPr>
                <w:rFonts w:ascii="Times New Roman" w:eastAsia="Times New Roman" w:hAnsi="Times New Roman" w:cs="Times New Roman"/>
                <w:b/>
                <w:bCs/>
                <w:color w:val="000000"/>
                <w:sz w:val="24"/>
                <w:szCs w:val="24"/>
              </w:rPr>
            </w:pPr>
          </w:p>
          <w:p w:rsidR="00D33F3B" w:rsidRPr="00D33F3B" w:rsidRDefault="00ED1538" w:rsidP="00D33F3B">
            <w:pPr>
              <w:pStyle w:val="ListParagraph"/>
              <w:numPr>
                <w:ilvl w:val="0"/>
                <w:numId w:val="3"/>
              </w:numPr>
              <w:spacing w:after="0" w:line="360" w:lineRule="atLeast"/>
              <w:jc w:val="both"/>
              <w:rPr>
                <w:rFonts w:ascii="Times New Roman" w:eastAsia="Times New Roman" w:hAnsi="Times New Roman" w:cs="Times New Roman"/>
                <w:color w:val="000000"/>
                <w:sz w:val="24"/>
                <w:szCs w:val="24"/>
                <w:u w:val="single"/>
              </w:rPr>
            </w:pPr>
            <w:r w:rsidRPr="00D33F3B">
              <w:rPr>
                <w:rFonts w:ascii="Times New Roman" w:eastAsia="Times New Roman" w:hAnsi="Times New Roman" w:cs="Times New Roman"/>
                <w:b/>
                <w:bCs/>
                <w:color w:val="000000"/>
                <w:sz w:val="24"/>
                <w:szCs w:val="24"/>
                <w:u w:val="single"/>
              </w:rPr>
              <w:t>Infrastructure Finance Company (IFC)</w:t>
            </w:r>
          </w:p>
          <w:p w:rsidR="00D33F3B" w:rsidRDefault="00D33F3B" w:rsidP="00ED1538">
            <w:pPr>
              <w:spacing w:after="0" w:line="360" w:lineRule="atLeast"/>
              <w:jc w:val="both"/>
              <w:rPr>
                <w:rFonts w:ascii="Times New Roman" w:eastAsia="Times New Roman" w:hAnsi="Times New Roman" w:cs="Times New Roman"/>
                <w:color w:val="000000"/>
                <w:sz w:val="24"/>
                <w:szCs w:val="24"/>
              </w:rPr>
            </w:pPr>
          </w:p>
          <w:p w:rsidR="00D33F3B" w:rsidRDefault="00ED1538" w:rsidP="00ED1538">
            <w:pPr>
              <w:spacing w:after="0" w:line="360" w:lineRule="atLeast"/>
              <w:jc w:val="both"/>
              <w:rPr>
                <w:rFonts w:ascii="Times New Roman" w:eastAsia="Times New Roman" w:hAnsi="Times New Roman" w:cs="Times New Roman"/>
                <w:color w:val="000000"/>
                <w:sz w:val="24"/>
                <w:szCs w:val="24"/>
              </w:rPr>
            </w:pPr>
            <w:r w:rsidRPr="00ED1538">
              <w:rPr>
                <w:rFonts w:ascii="Times New Roman" w:eastAsia="Times New Roman" w:hAnsi="Times New Roman" w:cs="Times New Roman"/>
                <w:color w:val="000000"/>
                <w:sz w:val="24"/>
                <w:szCs w:val="24"/>
              </w:rPr>
              <w:t> I</w:t>
            </w:r>
            <w:r w:rsidR="00D33F3B" w:rsidRPr="00F74F89">
              <w:rPr>
                <w:rFonts w:ascii="Times New Roman" w:eastAsia="Times New Roman" w:hAnsi="Times New Roman" w:cs="Times New Roman"/>
                <w:color w:val="000000"/>
                <w:sz w:val="24"/>
                <w:szCs w:val="24"/>
              </w:rPr>
              <w:t xml:space="preserve">nfrastructure </w:t>
            </w:r>
            <w:r w:rsidRPr="00ED1538">
              <w:rPr>
                <w:rFonts w:ascii="Times New Roman" w:eastAsia="Times New Roman" w:hAnsi="Times New Roman" w:cs="Times New Roman"/>
                <w:color w:val="000000"/>
                <w:sz w:val="24"/>
                <w:szCs w:val="24"/>
              </w:rPr>
              <w:t>F</w:t>
            </w:r>
            <w:r w:rsidR="00D33F3B" w:rsidRPr="00F74F89">
              <w:rPr>
                <w:rFonts w:ascii="Times New Roman" w:eastAsia="Times New Roman" w:hAnsi="Times New Roman" w:cs="Times New Roman"/>
                <w:color w:val="000000"/>
                <w:sz w:val="24"/>
                <w:szCs w:val="24"/>
              </w:rPr>
              <w:t xml:space="preserve">inance </w:t>
            </w:r>
            <w:r w:rsidRPr="00ED1538">
              <w:rPr>
                <w:rFonts w:ascii="Times New Roman" w:eastAsia="Times New Roman" w:hAnsi="Times New Roman" w:cs="Times New Roman"/>
                <w:color w:val="000000"/>
                <w:sz w:val="24"/>
                <w:szCs w:val="24"/>
              </w:rPr>
              <w:t>C</w:t>
            </w:r>
            <w:r w:rsidR="00D33F3B" w:rsidRPr="00F74F89">
              <w:rPr>
                <w:rFonts w:ascii="Times New Roman" w:eastAsia="Times New Roman" w:hAnsi="Times New Roman" w:cs="Times New Roman"/>
                <w:color w:val="000000"/>
                <w:sz w:val="24"/>
                <w:szCs w:val="24"/>
              </w:rPr>
              <w:t>ompany</w:t>
            </w:r>
            <w:r w:rsidRPr="00ED1538">
              <w:rPr>
                <w:rFonts w:ascii="Times New Roman" w:eastAsia="Times New Roman" w:hAnsi="Times New Roman" w:cs="Times New Roman"/>
                <w:color w:val="000000"/>
                <w:sz w:val="24"/>
                <w:szCs w:val="24"/>
              </w:rPr>
              <w:t xml:space="preserve"> is a non-banking finance company</w:t>
            </w:r>
            <w:r w:rsidR="00F74F89" w:rsidRPr="00F74F89">
              <w:rPr>
                <w:rFonts w:ascii="Times New Roman" w:eastAsia="Times New Roman" w:hAnsi="Times New Roman" w:cs="Times New Roman"/>
                <w:color w:val="000000"/>
                <w:sz w:val="24"/>
                <w:szCs w:val="24"/>
              </w:rPr>
              <w:t xml:space="preserve"> </w:t>
            </w:r>
            <w:r w:rsidR="00F74F89" w:rsidRPr="00ED1538">
              <w:rPr>
                <w:rFonts w:ascii="Times New Roman" w:eastAsia="Times New Roman" w:hAnsi="Times New Roman" w:cs="Times New Roman"/>
                <w:color w:val="000000"/>
                <w:sz w:val="24"/>
                <w:szCs w:val="24"/>
              </w:rPr>
              <w:t>which</w:t>
            </w:r>
            <w:r w:rsidR="00F74F89" w:rsidRPr="00F74F89">
              <w:rPr>
                <w:rFonts w:ascii="Times New Roman" w:eastAsia="Times New Roman" w:hAnsi="Times New Roman" w:cs="Times New Roman"/>
                <w:color w:val="000000"/>
                <w:sz w:val="24"/>
                <w:szCs w:val="24"/>
              </w:rPr>
              <w:t>:</w:t>
            </w:r>
          </w:p>
          <w:p w:rsidR="00F74F89" w:rsidRPr="00F74F89" w:rsidRDefault="00F74F89" w:rsidP="00ED1538">
            <w:pPr>
              <w:spacing w:after="0" w:line="360" w:lineRule="atLeast"/>
              <w:jc w:val="both"/>
              <w:rPr>
                <w:rFonts w:ascii="Times New Roman" w:eastAsia="Times New Roman" w:hAnsi="Times New Roman" w:cs="Times New Roman"/>
                <w:color w:val="000000"/>
                <w:sz w:val="24"/>
                <w:szCs w:val="24"/>
              </w:rPr>
            </w:pPr>
          </w:p>
          <w:p w:rsidR="00D33F3B" w:rsidRDefault="00ED1538" w:rsidP="00ED1538">
            <w:pPr>
              <w:spacing w:after="0" w:line="360" w:lineRule="atLeast"/>
              <w:jc w:val="both"/>
              <w:rPr>
                <w:rFonts w:ascii="Times New Roman" w:eastAsia="Times New Roman" w:hAnsi="Times New Roman" w:cs="Times New Roman"/>
                <w:color w:val="000000"/>
                <w:sz w:val="24"/>
                <w:szCs w:val="24"/>
              </w:rPr>
            </w:pPr>
            <w:r w:rsidRPr="00ED1538">
              <w:rPr>
                <w:rFonts w:ascii="Times New Roman" w:eastAsia="Times New Roman" w:hAnsi="Times New Roman" w:cs="Times New Roman"/>
                <w:color w:val="000000"/>
                <w:sz w:val="24"/>
                <w:szCs w:val="24"/>
              </w:rPr>
              <w:t xml:space="preserve">a) </w:t>
            </w:r>
            <w:r w:rsidR="00F74F89">
              <w:rPr>
                <w:rFonts w:ascii="Times New Roman" w:eastAsia="Times New Roman" w:hAnsi="Times New Roman" w:cs="Times New Roman"/>
                <w:color w:val="000000"/>
                <w:sz w:val="24"/>
                <w:szCs w:val="24"/>
              </w:rPr>
              <w:t>D</w:t>
            </w:r>
            <w:r w:rsidRPr="00ED1538">
              <w:rPr>
                <w:rFonts w:ascii="Times New Roman" w:eastAsia="Times New Roman" w:hAnsi="Times New Roman" w:cs="Times New Roman"/>
                <w:color w:val="000000"/>
                <w:sz w:val="24"/>
                <w:szCs w:val="24"/>
              </w:rPr>
              <w:t xml:space="preserve">eploys at least 75 per cent of its total assets in infrastructure loans, </w:t>
            </w:r>
          </w:p>
          <w:p w:rsidR="00D33F3B" w:rsidRDefault="00F74F89" w:rsidP="00ED1538">
            <w:pPr>
              <w:spacing w:after="0" w:line="36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H</w:t>
            </w:r>
            <w:r w:rsidR="00ED1538" w:rsidRPr="00ED1538">
              <w:rPr>
                <w:rFonts w:ascii="Times New Roman" w:eastAsia="Times New Roman" w:hAnsi="Times New Roman" w:cs="Times New Roman"/>
                <w:color w:val="000000"/>
                <w:sz w:val="24"/>
                <w:szCs w:val="24"/>
              </w:rPr>
              <w:t xml:space="preserve">as a minimum Net Owned Funds of Rs. 300 crore, </w:t>
            </w:r>
          </w:p>
          <w:p w:rsidR="00D33F3B" w:rsidRDefault="00F74F89" w:rsidP="00ED1538">
            <w:pPr>
              <w:spacing w:after="0" w:line="36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 H</w:t>
            </w:r>
            <w:r w:rsidR="00ED1538" w:rsidRPr="00ED1538">
              <w:rPr>
                <w:rFonts w:ascii="Times New Roman" w:eastAsia="Times New Roman" w:hAnsi="Times New Roman" w:cs="Times New Roman"/>
                <w:color w:val="000000"/>
                <w:sz w:val="24"/>
                <w:szCs w:val="24"/>
              </w:rPr>
              <w:t xml:space="preserve">as a minimum credit rating of ‘A ‘or equivalent </w:t>
            </w:r>
          </w:p>
          <w:p w:rsidR="00ED1538" w:rsidRDefault="00F74F89" w:rsidP="00ED1538">
            <w:pPr>
              <w:spacing w:after="0" w:line="36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Has</w:t>
            </w:r>
            <w:r w:rsidR="00D33F3B">
              <w:rPr>
                <w:rFonts w:ascii="Times New Roman" w:eastAsia="Times New Roman" w:hAnsi="Times New Roman" w:cs="Times New Roman"/>
                <w:color w:val="000000"/>
                <w:sz w:val="24"/>
                <w:szCs w:val="24"/>
              </w:rPr>
              <w:t xml:space="preserve"> </w:t>
            </w:r>
            <w:r w:rsidR="00D33F3B" w:rsidRPr="00D33F3B">
              <w:rPr>
                <w:rFonts w:ascii="Times New Roman" w:hAnsi="Times New Roman" w:cs="Times New Roman"/>
                <w:color w:val="000000"/>
                <w:sz w:val="24"/>
                <w:szCs w:val="24"/>
                <w:shd w:val="clear" w:color="auto" w:fill="FFFFFF"/>
              </w:rPr>
              <w:t>capital to risk weighted asset ratio</w:t>
            </w:r>
            <w:r w:rsidR="00ED1538" w:rsidRPr="00ED153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00ED1538" w:rsidRPr="00ED1538">
              <w:rPr>
                <w:rFonts w:ascii="Times New Roman" w:eastAsia="Times New Roman" w:hAnsi="Times New Roman" w:cs="Times New Roman"/>
                <w:color w:val="000000"/>
                <w:sz w:val="24"/>
                <w:szCs w:val="24"/>
              </w:rPr>
              <w:t>CRAR</w:t>
            </w:r>
            <w:r>
              <w:rPr>
                <w:rFonts w:ascii="Times New Roman" w:eastAsia="Times New Roman" w:hAnsi="Times New Roman" w:cs="Times New Roman"/>
                <w:color w:val="000000"/>
                <w:sz w:val="24"/>
                <w:szCs w:val="24"/>
              </w:rPr>
              <w:t>)</w:t>
            </w:r>
            <w:r w:rsidR="00ED1538" w:rsidRPr="00ED1538">
              <w:rPr>
                <w:rFonts w:ascii="Times New Roman" w:eastAsia="Times New Roman" w:hAnsi="Times New Roman" w:cs="Times New Roman"/>
                <w:color w:val="000000"/>
                <w:sz w:val="24"/>
                <w:szCs w:val="24"/>
              </w:rPr>
              <w:t xml:space="preserve"> of 15%.</w:t>
            </w:r>
          </w:p>
          <w:p w:rsidR="00F74F89" w:rsidRPr="00ED1538" w:rsidRDefault="00F74F89" w:rsidP="00ED1538">
            <w:pPr>
              <w:spacing w:after="0" w:line="360" w:lineRule="atLeast"/>
              <w:jc w:val="both"/>
              <w:rPr>
                <w:rFonts w:ascii="Times New Roman" w:eastAsia="Times New Roman" w:hAnsi="Times New Roman" w:cs="Times New Roman"/>
                <w:color w:val="000000"/>
                <w:sz w:val="24"/>
                <w:szCs w:val="24"/>
              </w:rPr>
            </w:pPr>
          </w:p>
          <w:p w:rsidR="00ED1538" w:rsidRPr="00F74F89" w:rsidRDefault="00ED1538" w:rsidP="00F74F89">
            <w:pPr>
              <w:pStyle w:val="ListParagraph"/>
              <w:numPr>
                <w:ilvl w:val="0"/>
                <w:numId w:val="3"/>
              </w:numPr>
              <w:spacing w:before="100" w:beforeAutospacing="1" w:after="100" w:afterAutospacing="1" w:line="360" w:lineRule="atLeast"/>
              <w:jc w:val="both"/>
              <w:outlineLvl w:val="1"/>
              <w:rPr>
                <w:rFonts w:ascii="Times New Roman" w:eastAsia="Times New Roman" w:hAnsi="Times New Roman" w:cs="Times New Roman"/>
                <w:b/>
                <w:bCs/>
                <w:color w:val="000000"/>
                <w:sz w:val="24"/>
                <w:szCs w:val="24"/>
                <w:u w:val="single"/>
              </w:rPr>
            </w:pPr>
            <w:r w:rsidRPr="00F74F89">
              <w:rPr>
                <w:rFonts w:ascii="Times New Roman" w:eastAsia="Times New Roman" w:hAnsi="Times New Roman" w:cs="Times New Roman"/>
                <w:b/>
                <w:bCs/>
                <w:color w:val="000000"/>
                <w:sz w:val="24"/>
                <w:szCs w:val="24"/>
                <w:u w:val="single"/>
              </w:rPr>
              <w:t>Systemically Important Core Investment Company (CIC-ND-SI)</w:t>
            </w:r>
          </w:p>
          <w:p w:rsidR="00ED1538" w:rsidRPr="00ED1538" w:rsidRDefault="00ED1538" w:rsidP="00ED1538">
            <w:pPr>
              <w:spacing w:after="0" w:line="360" w:lineRule="atLeast"/>
              <w:jc w:val="both"/>
              <w:rPr>
                <w:rFonts w:ascii="Times New Roman" w:eastAsia="Times New Roman" w:hAnsi="Times New Roman" w:cs="Times New Roman"/>
                <w:color w:val="000000"/>
                <w:sz w:val="24"/>
                <w:szCs w:val="24"/>
              </w:rPr>
            </w:pPr>
            <w:r w:rsidRPr="00ED1538">
              <w:rPr>
                <w:rFonts w:ascii="Times New Roman" w:eastAsia="Times New Roman" w:hAnsi="Times New Roman" w:cs="Times New Roman"/>
                <w:color w:val="000000"/>
                <w:sz w:val="24"/>
                <w:szCs w:val="24"/>
              </w:rPr>
              <w:t xml:space="preserve">CIC-ND-SI is an NBFC carrying on the business of acquisition of shares and securities which satisfies the following </w:t>
            </w:r>
            <w:proofErr w:type="gramStart"/>
            <w:r w:rsidRPr="00ED1538">
              <w:rPr>
                <w:rFonts w:ascii="Times New Roman" w:eastAsia="Times New Roman" w:hAnsi="Times New Roman" w:cs="Times New Roman"/>
                <w:color w:val="000000"/>
                <w:sz w:val="24"/>
                <w:szCs w:val="24"/>
              </w:rPr>
              <w:t>conditions:-</w:t>
            </w:r>
            <w:proofErr w:type="gramEnd"/>
          </w:p>
          <w:p w:rsidR="00F74F89" w:rsidRDefault="00F74F89" w:rsidP="00F74F89">
            <w:pPr>
              <w:pStyle w:val="ListParagraph"/>
              <w:numPr>
                <w:ilvl w:val="0"/>
                <w:numId w:val="5"/>
              </w:numPr>
              <w:spacing w:before="100" w:beforeAutospacing="1" w:after="100" w:afterAutospacing="1" w:line="360" w:lineRule="atLeast"/>
              <w:jc w:val="both"/>
              <w:rPr>
                <w:rFonts w:ascii="Times New Roman" w:eastAsia="Times New Roman" w:hAnsi="Times New Roman" w:cs="Times New Roman"/>
                <w:color w:val="000000"/>
                <w:sz w:val="24"/>
                <w:szCs w:val="24"/>
              </w:rPr>
            </w:pPr>
            <w:r w:rsidRPr="00F74F89">
              <w:rPr>
                <w:rFonts w:ascii="Times New Roman" w:eastAsia="Times New Roman" w:hAnsi="Times New Roman" w:cs="Times New Roman"/>
                <w:color w:val="000000"/>
                <w:sz w:val="24"/>
                <w:szCs w:val="24"/>
              </w:rPr>
              <w:t>I</w:t>
            </w:r>
            <w:r w:rsidR="00ED1538" w:rsidRPr="00F74F89">
              <w:rPr>
                <w:rFonts w:ascii="Times New Roman" w:eastAsia="Times New Roman" w:hAnsi="Times New Roman" w:cs="Times New Roman"/>
                <w:color w:val="000000"/>
                <w:sz w:val="24"/>
                <w:szCs w:val="24"/>
              </w:rPr>
              <w:t>t holds not less than 90% of its Total Assets in the form of investment in equity shares, preference shares, debt or loans in group companies;</w:t>
            </w:r>
          </w:p>
          <w:p w:rsidR="00F74F89" w:rsidRPr="00F74F89" w:rsidRDefault="00F74F89" w:rsidP="00F74F89">
            <w:pPr>
              <w:pStyle w:val="ListParagraph"/>
              <w:spacing w:before="100" w:beforeAutospacing="1" w:after="100" w:afterAutospacing="1" w:line="360" w:lineRule="atLeast"/>
              <w:jc w:val="both"/>
              <w:rPr>
                <w:rFonts w:ascii="Times New Roman" w:eastAsia="Times New Roman" w:hAnsi="Times New Roman" w:cs="Times New Roman"/>
                <w:color w:val="000000"/>
                <w:sz w:val="24"/>
                <w:szCs w:val="24"/>
              </w:rPr>
            </w:pPr>
          </w:p>
          <w:p w:rsidR="00ED1538" w:rsidRPr="00F74F89" w:rsidRDefault="00F74F89" w:rsidP="00F74F89">
            <w:pPr>
              <w:pStyle w:val="ListParagraph"/>
              <w:numPr>
                <w:ilvl w:val="0"/>
                <w:numId w:val="5"/>
              </w:numPr>
              <w:spacing w:before="100" w:beforeAutospacing="1" w:after="100" w:afterAutospacing="1" w:line="360" w:lineRule="atLeast"/>
              <w:jc w:val="both"/>
              <w:rPr>
                <w:rFonts w:ascii="Times New Roman" w:eastAsia="Times New Roman" w:hAnsi="Times New Roman" w:cs="Times New Roman"/>
                <w:color w:val="000000"/>
                <w:sz w:val="24"/>
                <w:szCs w:val="24"/>
              </w:rPr>
            </w:pPr>
            <w:r w:rsidRPr="00F74F89">
              <w:rPr>
                <w:rFonts w:ascii="Times New Roman" w:eastAsia="Times New Roman" w:hAnsi="Times New Roman" w:cs="Times New Roman"/>
                <w:color w:val="000000"/>
                <w:sz w:val="24"/>
                <w:szCs w:val="24"/>
              </w:rPr>
              <w:t>I</w:t>
            </w:r>
            <w:r w:rsidR="00ED1538" w:rsidRPr="00F74F89">
              <w:rPr>
                <w:rFonts w:ascii="Times New Roman" w:eastAsia="Times New Roman" w:hAnsi="Times New Roman" w:cs="Times New Roman"/>
                <w:color w:val="000000"/>
                <w:sz w:val="24"/>
                <w:szCs w:val="24"/>
              </w:rPr>
              <w:t>ts investments in the equity shares (including instruments compulsorily convertible into equity shares within a period not exceeding 10 years from the date of issue) in group companies constitutes not less than 60% of its Total Assets;</w:t>
            </w:r>
          </w:p>
          <w:p w:rsidR="00ED1538" w:rsidRDefault="00F74F89" w:rsidP="00F74F89">
            <w:pPr>
              <w:pStyle w:val="ListParagraph"/>
              <w:numPr>
                <w:ilvl w:val="0"/>
                <w:numId w:val="5"/>
              </w:numPr>
              <w:spacing w:before="100" w:beforeAutospacing="1" w:after="100" w:afterAutospacing="1" w:line="36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w:t>
            </w:r>
            <w:r w:rsidR="00ED1538" w:rsidRPr="00F74F89">
              <w:rPr>
                <w:rFonts w:ascii="Times New Roman" w:eastAsia="Times New Roman" w:hAnsi="Times New Roman" w:cs="Times New Roman"/>
                <w:color w:val="000000"/>
                <w:sz w:val="24"/>
                <w:szCs w:val="24"/>
              </w:rPr>
              <w:t xml:space="preserve">t does not trade in its investments in shares, debt or loans in group companies except through block sale </w:t>
            </w:r>
            <w:proofErr w:type="gramStart"/>
            <w:r w:rsidR="00ED1538" w:rsidRPr="00F74F89">
              <w:rPr>
                <w:rFonts w:ascii="Times New Roman" w:eastAsia="Times New Roman" w:hAnsi="Times New Roman" w:cs="Times New Roman"/>
                <w:color w:val="000000"/>
                <w:sz w:val="24"/>
                <w:szCs w:val="24"/>
              </w:rPr>
              <w:t>for the purpose of</w:t>
            </w:r>
            <w:proofErr w:type="gramEnd"/>
            <w:r w:rsidR="00ED1538" w:rsidRPr="00F74F89">
              <w:rPr>
                <w:rFonts w:ascii="Times New Roman" w:eastAsia="Times New Roman" w:hAnsi="Times New Roman" w:cs="Times New Roman"/>
                <w:color w:val="000000"/>
                <w:sz w:val="24"/>
                <w:szCs w:val="24"/>
              </w:rPr>
              <w:t xml:space="preserve"> dilution or disinvestment;</w:t>
            </w:r>
          </w:p>
          <w:p w:rsidR="00F74F89" w:rsidRPr="00F74F89" w:rsidRDefault="00F74F89" w:rsidP="00F74F89">
            <w:pPr>
              <w:pStyle w:val="ListParagraph"/>
              <w:spacing w:before="100" w:beforeAutospacing="1" w:after="100" w:afterAutospacing="1" w:line="360" w:lineRule="atLeast"/>
              <w:jc w:val="both"/>
              <w:rPr>
                <w:rFonts w:ascii="Times New Roman" w:eastAsia="Times New Roman" w:hAnsi="Times New Roman" w:cs="Times New Roman"/>
                <w:color w:val="000000"/>
                <w:sz w:val="24"/>
                <w:szCs w:val="24"/>
              </w:rPr>
            </w:pPr>
          </w:p>
          <w:p w:rsidR="00ED1538" w:rsidRDefault="00F74F89" w:rsidP="00F74F89">
            <w:pPr>
              <w:pStyle w:val="ListParagraph"/>
              <w:numPr>
                <w:ilvl w:val="0"/>
                <w:numId w:val="5"/>
              </w:numPr>
              <w:spacing w:before="100" w:beforeAutospacing="1" w:after="100" w:afterAutospacing="1" w:line="360" w:lineRule="atLeast"/>
              <w:jc w:val="both"/>
              <w:rPr>
                <w:rFonts w:ascii="Times New Roman" w:eastAsia="Times New Roman" w:hAnsi="Times New Roman" w:cs="Times New Roman"/>
                <w:color w:val="000000"/>
                <w:sz w:val="24"/>
                <w:szCs w:val="24"/>
              </w:rPr>
            </w:pPr>
            <w:r w:rsidRPr="00F74F89">
              <w:rPr>
                <w:rFonts w:ascii="Times New Roman" w:eastAsia="Times New Roman" w:hAnsi="Times New Roman" w:cs="Times New Roman"/>
                <w:color w:val="000000"/>
                <w:sz w:val="24"/>
                <w:szCs w:val="24"/>
              </w:rPr>
              <w:t>I</w:t>
            </w:r>
            <w:r w:rsidR="00ED1538" w:rsidRPr="00F74F89">
              <w:rPr>
                <w:rFonts w:ascii="Times New Roman" w:eastAsia="Times New Roman" w:hAnsi="Times New Roman" w:cs="Times New Roman"/>
                <w:color w:val="000000"/>
                <w:sz w:val="24"/>
                <w:szCs w:val="24"/>
              </w:rPr>
              <w:t>t does not carry on any other financial activity referred to in Section 45I(c) and 45I(f) of the RBI act, 1934 except investment in bank deposits, money market instruments, government securities, loans to and investments in debt issuances of group companies or guarantees issued on behalf of group companies.</w:t>
            </w:r>
          </w:p>
          <w:p w:rsidR="00F74F89" w:rsidRPr="00F74F89" w:rsidRDefault="00F74F89" w:rsidP="00F74F89">
            <w:pPr>
              <w:pStyle w:val="ListParagraph"/>
              <w:rPr>
                <w:rFonts w:ascii="Times New Roman" w:eastAsia="Times New Roman" w:hAnsi="Times New Roman" w:cs="Times New Roman"/>
                <w:color w:val="000000"/>
                <w:sz w:val="24"/>
                <w:szCs w:val="24"/>
              </w:rPr>
            </w:pPr>
          </w:p>
          <w:p w:rsidR="00F74F89" w:rsidRPr="00F74F89" w:rsidRDefault="00F74F89" w:rsidP="00F74F89">
            <w:pPr>
              <w:pStyle w:val="ListParagraph"/>
              <w:spacing w:before="100" w:beforeAutospacing="1" w:after="100" w:afterAutospacing="1" w:line="360" w:lineRule="atLeast"/>
              <w:jc w:val="both"/>
              <w:rPr>
                <w:rFonts w:ascii="Times New Roman" w:eastAsia="Times New Roman" w:hAnsi="Times New Roman" w:cs="Times New Roman"/>
                <w:color w:val="000000"/>
                <w:sz w:val="24"/>
                <w:szCs w:val="24"/>
              </w:rPr>
            </w:pPr>
          </w:p>
          <w:p w:rsidR="00ED1538" w:rsidRDefault="00F74F89" w:rsidP="00F74F89">
            <w:pPr>
              <w:pStyle w:val="ListParagraph"/>
              <w:numPr>
                <w:ilvl w:val="0"/>
                <w:numId w:val="5"/>
              </w:numPr>
              <w:spacing w:before="100" w:beforeAutospacing="1" w:after="100" w:afterAutospacing="1" w:line="36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Its Assets</w:t>
            </w:r>
            <w:r w:rsidR="00ED1538" w:rsidRPr="00F74F89">
              <w:rPr>
                <w:rFonts w:ascii="Times New Roman" w:eastAsia="Times New Roman" w:hAnsi="Times New Roman" w:cs="Times New Roman"/>
                <w:color w:val="000000"/>
                <w:sz w:val="24"/>
                <w:szCs w:val="24"/>
              </w:rPr>
              <w:t xml:space="preserve"> size is Rs 100 crore or above and</w:t>
            </w:r>
          </w:p>
          <w:p w:rsidR="00F74F89" w:rsidRPr="00F74F89" w:rsidRDefault="00F74F89" w:rsidP="00F74F89">
            <w:pPr>
              <w:pStyle w:val="ListParagraph"/>
              <w:spacing w:before="100" w:beforeAutospacing="1" w:after="100" w:afterAutospacing="1" w:line="360" w:lineRule="atLeast"/>
              <w:jc w:val="both"/>
              <w:rPr>
                <w:rFonts w:ascii="Times New Roman" w:eastAsia="Times New Roman" w:hAnsi="Times New Roman" w:cs="Times New Roman"/>
                <w:color w:val="000000"/>
                <w:sz w:val="24"/>
                <w:szCs w:val="24"/>
              </w:rPr>
            </w:pPr>
          </w:p>
          <w:p w:rsidR="00ED1538" w:rsidRDefault="00ED1538" w:rsidP="00F74F89">
            <w:pPr>
              <w:pStyle w:val="ListParagraph"/>
              <w:numPr>
                <w:ilvl w:val="0"/>
                <w:numId w:val="5"/>
              </w:numPr>
              <w:spacing w:before="100" w:beforeAutospacing="1" w:after="100" w:afterAutospacing="1" w:line="360" w:lineRule="atLeast"/>
              <w:jc w:val="both"/>
              <w:rPr>
                <w:rFonts w:ascii="Times New Roman" w:eastAsia="Times New Roman" w:hAnsi="Times New Roman" w:cs="Times New Roman"/>
                <w:color w:val="000000"/>
                <w:sz w:val="24"/>
                <w:szCs w:val="24"/>
              </w:rPr>
            </w:pPr>
            <w:r w:rsidRPr="00F74F89">
              <w:rPr>
                <w:rFonts w:ascii="Times New Roman" w:eastAsia="Times New Roman" w:hAnsi="Times New Roman" w:cs="Times New Roman"/>
                <w:color w:val="000000"/>
                <w:sz w:val="24"/>
                <w:szCs w:val="24"/>
              </w:rPr>
              <w:t>It accepts public funds</w:t>
            </w:r>
            <w:r w:rsidR="00F74F89">
              <w:rPr>
                <w:rFonts w:ascii="Times New Roman" w:eastAsia="Times New Roman" w:hAnsi="Times New Roman" w:cs="Times New Roman"/>
                <w:color w:val="000000"/>
                <w:sz w:val="24"/>
                <w:szCs w:val="24"/>
              </w:rPr>
              <w:t>.</w:t>
            </w:r>
          </w:p>
          <w:p w:rsidR="00F74F89" w:rsidRPr="00F74F89" w:rsidRDefault="00F74F89" w:rsidP="00F74F89">
            <w:pPr>
              <w:pStyle w:val="ListParagraph"/>
              <w:rPr>
                <w:rFonts w:ascii="Times New Roman" w:eastAsia="Times New Roman" w:hAnsi="Times New Roman" w:cs="Times New Roman"/>
                <w:color w:val="000000"/>
                <w:sz w:val="24"/>
                <w:szCs w:val="24"/>
              </w:rPr>
            </w:pPr>
          </w:p>
          <w:p w:rsidR="00F74F89" w:rsidRPr="00F74F89" w:rsidRDefault="00F74F89" w:rsidP="00F74F89">
            <w:pPr>
              <w:pStyle w:val="ListParagraph"/>
              <w:spacing w:before="100" w:beforeAutospacing="1" w:after="100" w:afterAutospacing="1" w:line="360" w:lineRule="atLeast"/>
              <w:jc w:val="both"/>
              <w:rPr>
                <w:rFonts w:ascii="Times New Roman" w:eastAsia="Times New Roman" w:hAnsi="Times New Roman" w:cs="Times New Roman"/>
                <w:color w:val="000000"/>
                <w:sz w:val="24"/>
                <w:szCs w:val="24"/>
              </w:rPr>
            </w:pPr>
          </w:p>
          <w:p w:rsidR="00ED1538" w:rsidRPr="00F74F89" w:rsidRDefault="00ED1538" w:rsidP="00F74F89">
            <w:pPr>
              <w:pStyle w:val="ListParagraph"/>
              <w:numPr>
                <w:ilvl w:val="0"/>
                <w:numId w:val="3"/>
              </w:numPr>
              <w:spacing w:before="100" w:beforeAutospacing="1" w:after="100" w:afterAutospacing="1" w:line="360" w:lineRule="atLeast"/>
              <w:jc w:val="both"/>
              <w:outlineLvl w:val="1"/>
              <w:rPr>
                <w:rFonts w:ascii="Times New Roman" w:eastAsia="Times New Roman" w:hAnsi="Times New Roman" w:cs="Times New Roman"/>
                <w:b/>
                <w:bCs/>
                <w:color w:val="000000"/>
                <w:sz w:val="24"/>
                <w:szCs w:val="24"/>
                <w:u w:val="single"/>
              </w:rPr>
            </w:pPr>
            <w:r w:rsidRPr="00F74F89">
              <w:rPr>
                <w:rFonts w:ascii="Times New Roman" w:eastAsia="Times New Roman" w:hAnsi="Times New Roman" w:cs="Times New Roman"/>
                <w:b/>
                <w:bCs/>
                <w:color w:val="000000"/>
                <w:sz w:val="24"/>
                <w:szCs w:val="24"/>
                <w:u w:val="single"/>
              </w:rPr>
              <w:t>Infrastructure Debt Fund</w:t>
            </w:r>
            <w:r w:rsidR="00F74F89">
              <w:rPr>
                <w:rFonts w:ascii="Times New Roman" w:eastAsia="Times New Roman" w:hAnsi="Times New Roman" w:cs="Times New Roman"/>
                <w:b/>
                <w:bCs/>
                <w:color w:val="000000"/>
                <w:sz w:val="24"/>
                <w:szCs w:val="24"/>
                <w:u w:val="single"/>
              </w:rPr>
              <w:t>-NBFCs (IDF-NBFCs)</w:t>
            </w:r>
          </w:p>
          <w:p w:rsidR="00ED1538" w:rsidRPr="00ED1538" w:rsidRDefault="00ED1538" w:rsidP="00ED1538">
            <w:pPr>
              <w:spacing w:after="0" w:line="360" w:lineRule="atLeast"/>
              <w:jc w:val="both"/>
              <w:rPr>
                <w:rFonts w:ascii="Times New Roman" w:eastAsia="Times New Roman" w:hAnsi="Times New Roman" w:cs="Times New Roman"/>
                <w:color w:val="000000"/>
                <w:sz w:val="24"/>
                <w:szCs w:val="24"/>
              </w:rPr>
            </w:pPr>
            <w:r w:rsidRPr="00ED1538">
              <w:rPr>
                <w:rFonts w:ascii="Times New Roman" w:eastAsia="Times New Roman" w:hAnsi="Times New Roman" w:cs="Times New Roman"/>
                <w:color w:val="000000"/>
                <w:sz w:val="24"/>
                <w:szCs w:val="24"/>
              </w:rPr>
              <w:t xml:space="preserve">IDF-NBFC is a company registered as NBFC to facilitate the flow of long term debt into infrastructure projects. IDF-NBFC raise resources through issue of Rupee or Dollar denominated bonds of minimum </w:t>
            </w:r>
            <w:r w:rsidR="00F74F89" w:rsidRPr="00ED1538">
              <w:rPr>
                <w:rFonts w:ascii="Times New Roman" w:eastAsia="Times New Roman" w:hAnsi="Times New Roman" w:cs="Times New Roman"/>
                <w:color w:val="000000"/>
                <w:sz w:val="24"/>
                <w:szCs w:val="24"/>
              </w:rPr>
              <w:t>5-year</w:t>
            </w:r>
            <w:r w:rsidR="00F74F89">
              <w:rPr>
                <w:rFonts w:ascii="Times New Roman" w:eastAsia="Times New Roman" w:hAnsi="Times New Roman" w:cs="Times New Roman"/>
                <w:color w:val="000000"/>
                <w:sz w:val="24"/>
                <w:szCs w:val="24"/>
              </w:rPr>
              <w:t>s</w:t>
            </w:r>
            <w:r w:rsidRPr="00ED1538">
              <w:rPr>
                <w:rFonts w:ascii="Times New Roman" w:eastAsia="Times New Roman" w:hAnsi="Times New Roman" w:cs="Times New Roman"/>
                <w:color w:val="000000"/>
                <w:sz w:val="24"/>
                <w:szCs w:val="24"/>
              </w:rPr>
              <w:t xml:space="preserve"> maturity. Only Infrastructure Finance Companies (IFC) can sponsor IDF-NBFCs.</w:t>
            </w:r>
          </w:p>
          <w:p w:rsidR="00ED1538" w:rsidRPr="00F74F89" w:rsidRDefault="003B039E" w:rsidP="00F74F89">
            <w:pPr>
              <w:pStyle w:val="ListParagraph"/>
              <w:numPr>
                <w:ilvl w:val="0"/>
                <w:numId w:val="3"/>
              </w:numPr>
              <w:spacing w:before="100" w:beforeAutospacing="1" w:after="100" w:afterAutospacing="1" w:line="360" w:lineRule="atLeast"/>
              <w:jc w:val="both"/>
              <w:outlineLvl w:val="1"/>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MICRO FINANCE INSTITUTION (NBFC-MFI)</w:t>
            </w:r>
          </w:p>
          <w:p w:rsidR="00ED1538" w:rsidRPr="00ED1538" w:rsidRDefault="00ED1538" w:rsidP="00ED1538">
            <w:pPr>
              <w:spacing w:after="0" w:line="360" w:lineRule="atLeast"/>
              <w:jc w:val="both"/>
              <w:rPr>
                <w:rFonts w:ascii="Times New Roman" w:eastAsia="Times New Roman" w:hAnsi="Times New Roman" w:cs="Times New Roman"/>
                <w:color w:val="000000"/>
                <w:sz w:val="24"/>
                <w:szCs w:val="24"/>
              </w:rPr>
            </w:pPr>
            <w:r w:rsidRPr="00ED1538">
              <w:rPr>
                <w:rFonts w:ascii="Times New Roman" w:eastAsia="Times New Roman" w:hAnsi="Times New Roman" w:cs="Times New Roman"/>
                <w:color w:val="000000"/>
                <w:sz w:val="24"/>
                <w:szCs w:val="24"/>
              </w:rPr>
              <w:t xml:space="preserve">Micro Finance Institution (NBFC-MFI): NBFC-MFI is a non-deposit taking NBFC having not less than 85%of its assets </w:t>
            </w:r>
            <w:proofErr w:type="gramStart"/>
            <w:r w:rsidRPr="00ED1538">
              <w:rPr>
                <w:rFonts w:ascii="Times New Roman" w:eastAsia="Times New Roman" w:hAnsi="Times New Roman" w:cs="Times New Roman"/>
                <w:color w:val="000000"/>
                <w:sz w:val="24"/>
                <w:szCs w:val="24"/>
              </w:rPr>
              <w:t>in the nature of qualifying</w:t>
            </w:r>
            <w:proofErr w:type="gramEnd"/>
            <w:r w:rsidRPr="00ED1538">
              <w:rPr>
                <w:rFonts w:ascii="Times New Roman" w:eastAsia="Times New Roman" w:hAnsi="Times New Roman" w:cs="Times New Roman"/>
                <w:color w:val="000000"/>
                <w:sz w:val="24"/>
                <w:szCs w:val="24"/>
              </w:rPr>
              <w:t xml:space="preserve"> assets which satisfy the following criteria:</w:t>
            </w:r>
          </w:p>
          <w:p w:rsidR="00ED1538" w:rsidRPr="00ED1538" w:rsidRDefault="003B039E" w:rsidP="00F74F89">
            <w:pPr>
              <w:numPr>
                <w:ilvl w:val="0"/>
                <w:numId w:val="6"/>
              </w:numPr>
              <w:spacing w:before="100" w:beforeAutospacing="1" w:after="100" w:afterAutospacing="1" w:line="360" w:lineRule="atLeast"/>
              <w:jc w:val="both"/>
              <w:rPr>
                <w:rFonts w:ascii="Times New Roman" w:eastAsia="Times New Roman" w:hAnsi="Times New Roman" w:cs="Times New Roman"/>
                <w:color w:val="000000"/>
                <w:sz w:val="24"/>
                <w:szCs w:val="24"/>
              </w:rPr>
            </w:pPr>
            <w:r w:rsidRPr="00ED1538">
              <w:rPr>
                <w:rFonts w:ascii="Times New Roman" w:eastAsia="Times New Roman" w:hAnsi="Times New Roman" w:cs="Times New Roman"/>
                <w:color w:val="000000"/>
                <w:sz w:val="24"/>
                <w:szCs w:val="24"/>
              </w:rPr>
              <w:t xml:space="preserve">Loan </w:t>
            </w:r>
            <w:r w:rsidR="00ED1538" w:rsidRPr="00ED1538">
              <w:rPr>
                <w:rFonts w:ascii="Times New Roman" w:eastAsia="Times New Roman" w:hAnsi="Times New Roman" w:cs="Times New Roman"/>
                <w:color w:val="000000"/>
                <w:sz w:val="24"/>
                <w:szCs w:val="24"/>
              </w:rPr>
              <w:t>disbursed by an NBFC-MFI to a borrower with a rural household annual income not exceeding Rs. 60,000 or urban and semi-urban household income not exceeding Rs. 1,20,000; </w:t>
            </w:r>
          </w:p>
          <w:p w:rsidR="00ED1538" w:rsidRPr="00ED1538" w:rsidRDefault="003B039E" w:rsidP="00F74F89">
            <w:pPr>
              <w:numPr>
                <w:ilvl w:val="0"/>
                <w:numId w:val="6"/>
              </w:numPr>
              <w:spacing w:before="100" w:beforeAutospacing="1" w:after="100" w:afterAutospacing="1" w:line="360" w:lineRule="atLeast"/>
              <w:jc w:val="both"/>
              <w:rPr>
                <w:rFonts w:ascii="Times New Roman" w:eastAsia="Times New Roman" w:hAnsi="Times New Roman" w:cs="Times New Roman"/>
                <w:color w:val="000000"/>
                <w:sz w:val="24"/>
                <w:szCs w:val="24"/>
              </w:rPr>
            </w:pPr>
            <w:r w:rsidRPr="00ED1538">
              <w:rPr>
                <w:rFonts w:ascii="Times New Roman" w:eastAsia="Times New Roman" w:hAnsi="Times New Roman" w:cs="Times New Roman"/>
                <w:color w:val="000000"/>
                <w:sz w:val="24"/>
                <w:szCs w:val="24"/>
              </w:rPr>
              <w:t xml:space="preserve">Loan </w:t>
            </w:r>
            <w:r w:rsidR="00ED1538" w:rsidRPr="00ED1538">
              <w:rPr>
                <w:rFonts w:ascii="Times New Roman" w:eastAsia="Times New Roman" w:hAnsi="Times New Roman" w:cs="Times New Roman"/>
                <w:color w:val="000000"/>
                <w:sz w:val="24"/>
                <w:szCs w:val="24"/>
              </w:rPr>
              <w:t>amount does not exceed Rs. 35,000 in the first cycle and Rs. 50,000 in subsequent cycles; </w:t>
            </w:r>
          </w:p>
          <w:p w:rsidR="00ED1538" w:rsidRPr="00ED1538" w:rsidRDefault="003B039E" w:rsidP="00F74F89">
            <w:pPr>
              <w:numPr>
                <w:ilvl w:val="0"/>
                <w:numId w:val="6"/>
              </w:numPr>
              <w:spacing w:before="100" w:beforeAutospacing="1" w:after="100" w:afterAutospacing="1" w:line="360" w:lineRule="atLeast"/>
              <w:jc w:val="both"/>
              <w:rPr>
                <w:rFonts w:ascii="Times New Roman" w:eastAsia="Times New Roman" w:hAnsi="Times New Roman" w:cs="Times New Roman"/>
                <w:color w:val="000000"/>
                <w:sz w:val="24"/>
                <w:szCs w:val="24"/>
              </w:rPr>
            </w:pPr>
            <w:r w:rsidRPr="00ED1538">
              <w:rPr>
                <w:rFonts w:ascii="Times New Roman" w:eastAsia="Times New Roman" w:hAnsi="Times New Roman" w:cs="Times New Roman"/>
                <w:color w:val="000000"/>
                <w:sz w:val="24"/>
                <w:szCs w:val="24"/>
              </w:rPr>
              <w:t xml:space="preserve">Total </w:t>
            </w:r>
            <w:r w:rsidR="00ED1538" w:rsidRPr="00ED1538">
              <w:rPr>
                <w:rFonts w:ascii="Times New Roman" w:eastAsia="Times New Roman" w:hAnsi="Times New Roman" w:cs="Times New Roman"/>
                <w:color w:val="000000"/>
                <w:sz w:val="24"/>
                <w:szCs w:val="24"/>
              </w:rPr>
              <w:t>indebtedness of the borrower does not exceed Rs. 50,000; </w:t>
            </w:r>
          </w:p>
          <w:p w:rsidR="00ED1538" w:rsidRPr="00ED1538" w:rsidRDefault="003B039E" w:rsidP="00F74F89">
            <w:pPr>
              <w:numPr>
                <w:ilvl w:val="0"/>
                <w:numId w:val="6"/>
              </w:numPr>
              <w:spacing w:before="100" w:beforeAutospacing="1" w:after="100" w:afterAutospacing="1" w:line="360" w:lineRule="atLeast"/>
              <w:jc w:val="both"/>
              <w:rPr>
                <w:rFonts w:ascii="Times New Roman" w:eastAsia="Times New Roman" w:hAnsi="Times New Roman" w:cs="Times New Roman"/>
                <w:color w:val="000000"/>
                <w:sz w:val="24"/>
                <w:szCs w:val="24"/>
              </w:rPr>
            </w:pPr>
            <w:r w:rsidRPr="00ED1538">
              <w:rPr>
                <w:rFonts w:ascii="Times New Roman" w:eastAsia="Times New Roman" w:hAnsi="Times New Roman" w:cs="Times New Roman"/>
                <w:color w:val="000000"/>
                <w:sz w:val="24"/>
                <w:szCs w:val="24"/>
              </w:rPr>
              <w:t xml:space="preserve">Tenure </w:t>
            </w:r>
            <w:r w:rsidR="00ED1538" w:rsidRPr="00ED1538">
              <w:rPr>
                <w:rFonts w:ascii="Times New Roman" w:eastAsia="Times New Roman" w:hAnsi="Times New Roman" w:cs="Times New Roman"/>
                <w:color w:val="000000"/>
                <w:sz w:val="24"/>
                <w:szCs w:val="24"/>
              </w:rPr>
              <w:t xml:space="preserve">of the loan not to be less than 24 months for loan amount </w:t>
            </w:r>
            <w:proofErr w:type="gramStart"/>
            <w:r w:rsidR="00ED1538" w:rsidRPr="00ED1538">
              <w:rPr>
                <w:rFonts w:ascii="Times New Roman" w:eastAsia="Times New Roman" w:hAnsi="Times New Roman" w:cs="Times New Roman"/>
                <w:color w:val="000000"/>
                <w:sz w:val="24"/>
                <w:szCs w:val="24"/>
              </w:rPr>
              <w:t>in excess of</w:t>
            </w:r>
            <w:proofErr w:type="gramEnd"/>
            <w:r w:rsidR="00ED1538" w:rsidRPr="00ED1538">
              <w:rPr>
                <w:rFonts w:ascii="Times New Roman" w:eastAsia="Times New Roman" w:hAnsi="Times New Roman" w:cs="Times New Roman"/>
                <w:color w:val="000000"/>
                <w:sz w:val="24"/>
                <w:szCs w:val="24"/>
              </w:rPr>
              <w:t xml:space="preserve"> Rs. 15,000 with prepayment without penalty; </w:t>
            </w:r>
          </w:p>
          <w:p w:rsidR="00ED1538" w:rsidRPr="00ED1538" w:rsidRDefault="003B039E" w:rsidP="00F74F89">
            <w:pPr>
              <w:numPr>
                <w:ilvl w:val="0"/>
                <w:numId w:val="6"/>
              </w:numPr>
              <w:spacing w:before="100" w:beforeAutospacing="1" w:after="100" w:afterAutospacing="1" w:line="360" w:lineRule="atLeast"/>
              <w:jc w:val="both"/>
              <w:rPr>
                <w:rFonts w:ascii="Times New Roman" w:eastAsia="Times New Roman" w:hAnsi="Times New Roman" w:cs="Times New Roman"/>
                <w:color w:val="000000"/>
                <w:sz w:val="24"/>
                <w:szCs w:val="24"/>
              </w:rPr>
            </w:pPr>
            <w:r w:rsidRPr="00ED1538">
              <w:rPr>
                <w:rFonts w:ascii="Times New Roman" w:eastAsia="Times New Roman" w:hAnsi="Times New Roman" w:cs="Times New Roman"/>
                <w:color w:val="000000"/>
                <w:sz w:val="24"/>
                <w:szCs w:val="24"/>
              </w:rPr>
              <w:t xml:space="preserve">Loan </w:t>
            </w:r>
            <w:r w:rsidR="00ED1538" w:rsidRPr="00ED1538">
              <w:rPr>
                <w:rFonts w:ascii="Times New Roman" w:eastAsia="Times New Roman" w:hAnsi="Times New Roman" w:cs="Times New Roman"/>
                <w:color w:val="000000"/>
                <w:sz w:val="24"/>
                <w:szCs w:val="24"/>
              </w:rPr>
              <w:t>to be extended without collateral;</w:t>
            </w:r>
          </w:p>
          <w:p w:rsidR="00ED1538" w:rsidRPr="00ED1538" w:rsidRDefault="00ED1538" w:rsidP="00F74F89">
            <w:pPr>
              <w:spacing w:after="0" w:line="360" w:lineRule="atLeast"/>
              <w:ind w:left="720" w:firstLine="60"/>
              <w:jc w:val="both"/>
              <w:rPr>
                <w:rFonts w:ascii="Times New Roman" w:eastAsia="Times New Roman" w:hAnsi="Times New Roman" w:cs="Times New Roman"/>
                <w:color w:val="000000"/>
                <w:sz w:val="24"/>
                <w:szCs w:val="24"/>
              </w:rPr>
            </w:pPr>
          </w:p>
          <w:p w:rsidR="00ED1538" w:rsidRPr="00ED1538" w:rsidRDefault="003B039E" w:rsidP="00F74F89">
            <w:pPr>
              <w:numPr>
                <w:ilvl w:val="0"/>
                <w:numId w:val="6"/>
              </w:numPr>
              <w:spacing w:before="100" w:beforeAutospacing="1" w:after="100" w:afterAutospacing="1" w:line="360" w:lineRule="atLeast"/>
              <w:jc w:val="both"/>
              <w:rPr>
                <w:rFonts w:ascii="Times New Roman" w:eastAsia="Times New Roman" w:hAnsi="Times New Roman" w:cs="Times New Roman"/>
                <w:color w:val="000000"/>
                <w:sz w:val="24"/>
                <w:szCs w:val="24"/>
              </w:rPr>
            </w:pPr>
            <w:r w:rsidRPr="00ED1538">
              <w:rPr>
                <w:rFonts w:ascii="Times New Roman" w:eastAsia="Times New Roman" w:hAnsi="Times New Roman" w:cs="Times New Roman"/>
                <w:color w:val="000000"/>
                <w:sz w:val="24"/>
                <w:szCs w:val="24"/>
              </w:rPr>
              <w:lastRenderedPageBreak/>
              <w:t xml:space="preserve">Aggregate </w:t>
            </w:r>
            <w:r w:rsidR="00ED1538" w:rsidRPr="00ED1538">
              <w:rPr>
                <w:rFonts w:ascii="Times New Roman" w:eastAsia="Times New Roman" w:hAnsi="Times New Roman" w:cs="Times New Roman"/>
                <w:color w:val="000000"/>
                <w:sz w:val="24"/>
                <w:szCs w:val="24"/>
              </w:rPr>
              <w:t xml:space="preserve">amount of loans, given for income generation, is not less than 75 per cent of the total loans given by the </w:t>
            </w:r>
            <w:r>
              <w:rPr>
                <w:rFonts w:ascii="Times New Roman" w:eastAsia="Times New Roman" w:hAnsi="Times New Roman" w:cs="Times New Roman"/>
                <w:color w:val="000000"/>
                <w:sz w:val="24"/>
                <w:szCs w:val="24"/>
              </w:rPr>
              <w:t>Micro Finance Institution.</w:t>
            </w:r>
            <w:r w:rsidR="00ED1538" w:rsidRPr="00ED1538">
              <w:rPr>
                <w:rFonts w:ascii="Times New Roman" w:eastAsia="Times New Roman" w:hAnsi="Times New Roman" w:cs="Times New Roman"/>
                <w:color w:val="000000"/>
                <w:sz w:val="24"/>
                <w:szCs w:val="24"/>
              </w:rPr>
              <w:t>; </w:t>
            </w:r>
          </w:p>
          <w:p w:rsidR="00ED1538" w:rsidRPr="00ED1538" w:rsidRDefault="003B039E" w:rsidP="00F74F89">
            <w:pPr>
              <w:numPr>
                <w:ilvl w:val="0"/>
                <w:numId w:val="6"/>
              </w:numPr>
              <w:spacing w:before="100" w:beforeAutospacing="1" w:after="100" w:afterAutospacing="1" w:line="360" w:lineRule="atLeast"/>
              <w:jc w:val="both"/>
              <w:rPr>
                <w:rFonts w:ascii="Times New Roman" w:eastAsia="Times New Roman" w:hAnsi="Times New Roman" w:cs="Times New Roman"/>
                <w:color w:val="000000"/>
                <w:sz w:val="24"/>
                <w:szCs w:val="24"/>
              </w:rPr>
            </w:pPr>
            <w:r w:rsidRPr="00ED1538">
              <w:rPr>
                <w:rFonts w:ascii="Times New Roman" w:eastAsia="Times New Roman" w:hAnsi="Times New Roman" w:cs="Times New Roman"/>
                <w:color w:val="000000"/>
                <w:sz w:val="24"/>
                <w:szCs w:val="24"/>
              </w:rPr>
              <w:t xml:space="preserve">Loan </w:t>
            </w:r>
            <w:r w:rsidR="00ED1538" w:rsidRPr="00ED1538">
              <w:rPr>
                <w:rFonts w:ascii="Times New Roman" w:eastAsia="Times New Roman" w:hAnsi="Times New Roman" w:cs="Times New Roman"/>
                <w:color w:val="000000"/>
                <w:sz w:val="24"/>
                <w:szCs w:val="24"/>
              </w:rPr>
              <w:t>is repayable on weekly, fortnightly or monthly instalments at the choice of the borrower</w:t>
            </w:r>
          </w:p>
          <w:p w:rsidR="00ED1538" w:rsidRPr="003B039E" w:rsidRDefault="003B039E" w:rsidP="003B039E">
            <w:pPr>
              <w:pStyle w:val="ListParagraph"/>
              <w:numPr>
                <w:ilvl w:val="0"/>
                <w:numId w:val="3"/>
              </w:numPr>
              <w:spacing w:before="100" w:beforeAutospacing="1" w:after="100" w:afterAutospacing="1" w:line="360" w:lineRule="atLeast"/>
              <w:jc w:val="both"/>
              <w:outlineLvl w:val="1"/>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 xml:space="preserve">FACTORS </w:t>
            </w:r>
            <w:r w:rsidRPr="003B039E">
              <w:rPr>
                <w:rFonts w:ascii="Times New Roman" w:eastAsia="Times New Roman" w:hAnsi="Times New Roman" w:cs="Times New Roman"/>
                <w:b/>
                <w:bCs/>
                <w:color w:val="000000"/>
                <w:sz w:val="24"/>
                <w:szCs w:val="24"/>
                <w:u w:val="single"/>
              </w:rPr>
              <w:t>NON-BANKING FINANCIAL COMPANY</w:t>
            </w:r>
            <w:r>
              <w:rPr>
                <w:rFonts w:ascii="Times New Roman" w:eastAsia="Times New Roman" w:hAnsi="Times New Roman" w:cs="Times New Roman"/>
                <w:b/>
                <w:bCs/>
                <w:color w:val="000000"/>
                <w:sz w:val="24"/>
                <w:szCs w:val="24"/>
                <w:u w:val="single"/>
              </w:rPr>
              <w:t xml:space="preserve"> (NBFC-FACTORS)</w:t>
            </w:r>
          </w:p>
          <w:p w:rsidR="00ED1538" w:rsidRDefault="00ED1538" w:rsidP="00ED1538">
            <w:pPr>
              <w:spacing w:after="0" w:line="360" w:lineRule="atLeast"/>
              <w:jc w:val="both"/>
              <w:rPr>
                <w:rFonts w:ascii="Times New Roman" w:eastAsia="Times New Roman" w:hAnsi="Times New Roman" w:cs="Times New Roman"/>
                <w:color w:val="000000"/>
                <w:sz w:val="24"/>
                <w:szCs w:val="24"/>
              </w:rPr>
            </w:pPr>
            <w:r w:rsidRPr="00ED1538">
              <w:rPr>
                <w:rFonts w:ascii="Times New Roman" w:eastAsia="Times New Roman" w:hAnsi="Times New Roman" w:cs="Times New Roman"/>
                <w:color w:val="000000"/>
                <w:sz w:val="24"/>
                <w:szCs w:val="24"/>
              </w:rPr>
              <w:t>Factors (NBFC-Factors): NBFC-Factor is a non-deposit taking NBFC engaged in the principal business of factoring. The financial assets in the factoring business should constitute at least 75 percent of its total assets and its income derived from factoring business should not be less than 75 percent of its gross income.</w:t>
            </w:r>
          </w:p>
          <w:p w:rsidR="003B039E" w:rsidRDefault="003B039E" w:rsidP="00ED1538">
            <w:pPr>
              <w:spacing w:after="0" w:line="360" w:lineRule="atLeast"/>
              <w:jc w:val="both"/>
              <w:rPr>
                <w:rFonts w:ascii="Times New Roman" w:eastAsia="Times New Roman" w:hAnsi="Times New Roman" w:cs="Times New Roman"/>
                <w:color w:val="000000"/>
                <w:sz w:val="24"/>
                <w:szCs w:val="24"/>
              </w:rPr>
            </w:pPr>
          </w:p>
          <w:p w:rsidR="00437555" w:rsidRDefault="00437555" w:rsidP="00ED1538">
            <w:pPr>
              <w:spacing w:after="0" w:line="360" w:lineRule="atLeast"/>
              <w:jc w:val="both"/>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REGISTRATION</w:t>
            </w:r>
          </w:p>
          <w:p w:rsidR="00437555" w:rsidRDefault="00437555" w:rsidP="00ED1538">
            <w:pPr>
              <w:spacing w:after="0" w:line="360" w:lineRule="atLeast"/>
              <w:jc w:val="both"/>
              <w:rPr>
                <w:rFonts w:ascii="Times New Roman" w:hAnsi="Times New Roman" w:cs="Times New Roman"/>
                <w:b/>
                <w:color w:val="000000"/>
                <w:sz w:val="24"/>
                <w:szCs w:val="24"/>
                <w:u w:val="single"/>
              </w:rPr>
            </w:pPr>
          </w:p>
          <w:p w:rsidR="003B039E" w:rsidRDefault="00437555" w:rsidP="00ED1538">
            <w:pPr>
              <w:spacing w:after="0" w:line="360" w:lineRule="atLeast"/>
              <w:jc w:val="both"/>
              <w:rPr>
                <w:rFonts w:ascii="Arial" w:hAnsi="Arial" w:cs="Arial"/>
                <w:color w:val="000000"/>
                <w:sz w:val="20"/>
                <w:szCs w:val="20"/>
              </w:rPr>
            </w:pPr>
            <w:r w:rsidRPr="00437555">
              <w:rPr>
                <w:rFonts w:ascii="Times New Roman" w:hAnsi="Times New Roman" w:cs="Times New Roman"/>
                <w:color w:val="000000"/>
                <w:sz w:val="24"/>
                <w:szCs w:val="24"/>
              </w:rPr>
              <w:t>In terms of Section 45-IA of the RBI Act, 1934, no Non-</w:t>
            </w:r>
            <w:proofErr w:type="gramStart"/>
            <w:r w:rsidRPr="00437555">
              <w:rPr>
                <w:rFonts w:ascii="Times New Roman" w:hAnsi="Times New Roman" w:cs="Times New Roman"/>
                <w:color w:val="000000"/>
                <w:sz w:val="24"/>
                <w:szCs w:val="24"/>
              </w:rPr>
              <w:t>banking</w:t>
            </w:r>
            <w:proofErr w:type="gramEnd"/>
            <w:r w:rsidRPr="00437555">
              <w:rPr>
                <w:rFonts w:ascii="Times New Roman" w:hAnsi="Times New Roman" w:cs="Times New Roman"/>
                <w:color w:val="000000"/>
                <w:sz w:val="24"/>
                <w:szCs w:val="24"/>
              </w:rPr>
              <w:t xml:space="preserve"> Financial company can commence or carry on business of a non-banking financial institution without a) obtaining a certificate of registration from the Bank and withou</w:t>
            </w:r>
            <w:r>
              <w:rPr>
                <w:rFonts w:ascii="Times New Roman" w:hAnsi="Times New Roman" w:cs="Times New Roman"/>
                <w:color w:val="000000"/>
                <w:sz w:val="24"/>
                <w:szCs w:val="24"/>
              </w:rPr>
              <w:t xml:space="preserve">t having a Net Owned Funds of </w:t>
            </w:r>
            <w:r w:rsidRPr="00437555">
              <w:rPr>
                <w:rFonts w:ascii="Times New Roman" w:hAnsi="Times New Roman" w:cs="Times New Roman"/>
                <w:color w:val="000000"/>
                <w:sz w:val="24"/>
                <w:szCs w:val="24"/>
              </w:rPr>
              <w:t>₹</w:t>
            </w:r>
            <w:r>
              <w:rPr>
                <w:rFonts w:ascii="Times New Roman" w:hAnsi="Times New Roman" w:cs="Times New Roman"/>
                <w:color w:val="000000"/>
                <w:sz w:val="24"/>
                <w:szCs w:val="24"/>
              </w:rPr>
              <w:t>2 Crore</w:t>
            </w:r>
            <w:r w:rsidRPr="00437555">
              <w:rPr>
                <w:rFonts w:ascii="Times New Roman" w:hAnsi="Times New Roman" w:cs="Times New Roman"/>
                <w:color w:val="000000"/>
                <w:sz w:val="24"/>
                <w:szCs w:val="24"/>
              </w:rPr>
              <w:t xml:space="preserve">. However, in terms of the powers given to the Bank, to obviate dual regulation, certain categories of NBFCs which are regulated by other regulators are exempted from the requirement of registration with RBI viz. Venture Capital Fund/Merchant Banking companies/Stock broking companies registered with SEBI, Insurance Company holding a valid Certificate of Registration issued by IRDA, Nidhi companies as notified under Section </w:t>
            </w:r>
            <w:r>
              <w:rPr>
                <w:rFonts w:ascii="Times New Roman" w:hAnsi="Times New Roman" w:cs="Times New Roman"/>
                <w:color w:val="000000"/>
                <w:sz w:val="24"/>
                <w:szCs w:val="24"/>
              </w:rPr>
              <w:t>406</w:t>
            </w:r>
            <w:r w:rsidRPr="004375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of the Companies Act, 2013</w:t>
            </w:r>
            <w:r w:rsidRPr="00437555">
              <w:rPr>
                <w:rFonts w:ascii="Times New Roman" w:hAnsi="Times New Roman" w:cs="Times New Roman"/>
                <w:color w:val="000000"/>
                <w:sz w:val="24"/>
                <w:szCs w:val="24"/>
              </w:rPr>
              <w:t>, Chit companies as defined in clause (b) of Section 2 of the Chit Funds Act, 1982,Housing Finance Companies regulated by National Housing Bank, Stock Exchange or a Mutual Benefit company</w:t>
            </w:r>
            <w:r>
              <w:rPr>
                <w:rFonts w:ascii="Arial" w:hAnsi="Arial" w:cs="Arial"/>
                <w:color w:val="000000"/>
                <w:sz w:val="20"/>
                <w:szCs w:val="20"/>
              </w:rPr>
              <w:t>.</w:t>
            </w:r>
          </w:p>
          <w:p w:rsidR="00437555" w:rsidRDefault="00437555" w:rsidP="00ED1538">
            <w:pPr>
              <w:spacing w:after="0" w:line="360" w:lineRule="atLeast"/>
              <w:jc w:val="both"/>
              <w:rPr>
                <w:rFonts w:ascii="Arial" w:hAnsi="Arial" w:cs="Arial"/>
                <w:color w:val="000000"/>
                <w:sz w:val="20"/>
                <w:szCs w:val="20"/>
              </w:rPr>
            </w:pPr>
          </w:p>
          <w:p w:rsidR="00437555" w:rsidRPr="00437555" w:rsidRDefault="00437555" w:rsidP="00ED1538">
            <w:pPr>
              <w:spacing w:after="0" w:line="360" w:lineRule="atLeast"/>
              <w:jc w:val="both"/>
              <w:rPr>
                <w:rFonts w:ascii="Times New Roman" w:hAnsi="Times New Roman" w:cs="Times New Roman"/>
                <w:b/>
                <w:color w:val="000000"/>
                <w:sz w:val="24"/>
                <w:szCs w:val="24"/>
                <w:u w:val="single"/>
              </w:rPr>
            </w:pPr>
            <w:r w:rsidRPr="00437555">
              <w:rPr>
                <w:rFonts w:ascii="Times New Roman" w:hAnsi="Times New Roman" w:cs="Times New Roman"/>
                <w:b/>
                <w:color w:val="000000"/>
                <w:sz w:val="24"/>
                <w:szCs w:val="24"/>
                <w:u w:val="single"/>
              </w:rPr>
              <w:t>REGISTRATION PROCEDURE</w:t>
            </w:r>
          </w:p>
          <w:p w:rsidR="00437555" w:rsidRDefault="00437555" w:rsidP="00ED1538">
            <w:pPr>
              <w:spacing w:after="0" w:line="360" w:lineRule="atLeast"/>
              <w:jc w:val="both"/>
              <w:rPr>
                <w:rFonts w:ascii="Arial" w:hAnsi="Arial" w:cs="Arial"/>
                <w:b/>
                <w:color w:val="000000"/>
                <w:sz w:val="20"/>
                <w:szCs w:val="20"/>
                <w:u w:val="single"/>
              </w:rPr>
            </w:pPr>
          </w:p>
          <w:p w:rsidR="003D7508" w:rsidRDefault="00437555" w:rsidP="00ED1538">
            <w:pPr>
              <w:spacing w:after="0" w:line="360" w:lineRule="atLeast"/>
              <w:jc w:val="both"/>
              <w:rPr>
                <w:rFonts w:ascii="Times New Roman" w:hAnsi="Times New Roman" w:cs="Times New Roman"/>
                <w:color w:val="000000"/>
                <w:sz w:val="24"/>
                <w:szCs w:val="24"/>
              </w:rPr>
            </w:pPr>
            <w:r w:rsidRPr="00437555">
              <w:rPr>
                <w:rFonts w:ascii="Times New Roman" w:hAnsi="Times New Roman" w:cs="Times New Roman"/>
                <w:color w:val="000000"/>
                <w:sz w:val="24"/>
                <w:szCs w:val="24"/>
              </w:rPr>
              <w:t>The applicant company is required to apply online and submit a physical copy of the application along with the necessary documents to the Regional Office of the Reserve Bank of India. The application can be submitted online by accessing RBI’s secured website</w:t>
            </w:r>
            <w:r w:rsidRPr="00437555">
              <w:rPr>
                <w:rStyle w:val="apple-converted-space"/>
                <w:rFonts w:ascii="Times New Roman" w:hAnsi="Times New Roman" w:cs="Times New Roman"/>
                <w:color w:val="000000"/>
                <w:sz w:val="24"/>
                <w:szCs w:val="24"/>
              </w:rPr>
              <w:t> </w:t>
            </w:r>
            <w:hyperlink r:id="rId5" w:tgtFrame="_blank" w:history="1">
              <w:r w:rsidRPr="00437555">
                <w:rPr>
                  <w:rStyle w:val="Hyperlink"/>
                  <w:rFonts w:ascii="Times New Roman" w:hAnsi="Times New Roman" w:cs="Times New Roman"/>
                  <w:sz w:val="24"/>
                  <w:szCs w:val="24"/>
                </w:rPr>
                <w:t>https://cosmos.rbi.org.in</w:t>
              </w:r>
            </w:hyperlink>
            <w:r w:rsidRPr="00437555">
              <w:rPr>
                <w:rStyle w:val="apple-converted-space"/>
                <w:rFonts w:ascii="Times New Roman" w:hAnsi="Times New Roman" w:cs="Times New Roman"/>
                <w:color w:val="000000"/>
                <w:sz w:val="24"/>
                <w:szCs w:val="24"/>
              </w:rPr>
              <w:t> </w:t>
            </w:r>
            <w:r w:rsidRPr="00437555">
              <w:rPr>
                <w:rFonts w:ascii="Times New Roman" w:hAnsi="Times New Roman" w:cs="Times New Roman"/>
                <w:color w:val="000000"/>
                <w:sz w:val="24"/>
                <w:szCs w:val="24"/>
              </w:rPr>
              <w:t xml:space="preserve">. At this stage, the applicant company will not need to log on to the COSMOS application and hence user ids are not required. The company can click on “CLICK” for Company Registration on the login page of the COSMOS Application. A window showing the Excel application form available for download would be displayed. The company can then download suitable application form (i.e. NBFC or SC/RC) from the above website, key in the data and upload the application form. </w:t>
            </w:r>
          </w:p>
          <w:p w:rsidR="00437555" w:rsidRPr="00ED1538" w:rsidRDefault="00437555" w:rsidP="00ED1538">
            <w:pPr>
              <w:spacing w:after="0" w:line="360" w:lineRule="atLeast"/>
              <w:jc w:val="both"/>
              <w:rPr>
                <w:rFonts w:ascii="Times New Roman" w:eastAsia="Times New Roman" w:hAnsi="Times New Roman" w:cs="Times New Roman"/>
                <w:b/>
                <w:color w:val="000000"/>
                <w:sz w:val="24"/>
                <w:szCs w:val="24"/>
                <w:u w:val="single"/>
              </w:rPr>
            </w:pPr>
            <w:r w:rsidRPr="00437555">
              <w:rPr>
                <w:rFonts w:ascii="Times New Roman" w:hAnsi="Times New Roman" w:cs="Times New Roman"/>
                <w:color w:val="000000"/>
                <w:sz w:val="24"/>
                <w:szCs w:val="24"/>
              </w:rPr>
              <w:lastRenderedPageBreak/>
              <w:t xml:space="preserve">The company may note to indicate the correct name of the Regional Office in the field “C-8” of the “Annex-I identification Particulars” in the Excel application form. The company would then get a Company Application Reference Number for the </w:t>
            </w:r>
            <w:proofErr w:type="spellStart"/>
            <w:r w:rsidRPr="00437555">
              <w:rPr>
                <w:rFonts w:ascii="Times New Roman" w:hAnsi="Times New Roman" w:cs="Times New Roman"/>
                <w:color w:val="000000"/>
                <w:sz w:val="24"/>
                <w:szCs w:val="24"/>
              </w:rPr>
              <w:t>CoR</w:t>
            </w:r>
            <w:proofErr w:type="spellEnd"/>
            <w:r w:rsidRPr="00437555">
              <w:rPr>
                <w:rFonts w:ascii="Times New Roman" w:hAnsi="Times New Roman" w:cs="Times New Roman"/>
                <w:color w:val="000000"/>
                <w:sz w:val="24"/>
                <w:szCs w:val="24"/>
              </w:rPr>
              <w:t xml:space="preserve"> application filed on-line. Thereafter, the company </w:t>
            </w:r>
            <w:proofErr w:type="gramStart"/>
            <w:r w:rsidRPr="00437555">
              <w:rPr>
                <w:rFonts w:ascii="Times New Roman" w:hAnsi="Times New Roman" w:cs="Times New Roman"/>
                <w:color w:val="000000"/>
                <w:sz w:val="24"/>
                <w:szCs w:val="24"/>
              </w:rPr>
              <w:t>has to</w:t>
            </w:r>
            <w:proofErr w:type="gramEnd"/>
            <w:r w:rsidRPr="00437555">
              <w:rPr>
                <w:rFonts w:ascii="Times New Roman" w:hAnsi="Times New Roman" w:cs="Times New Roman"/>
                <w:color w:val="000000"/>
                <w:sz w:val="24"/>
                <w:szCs w:val="24"/>
              </w:rPr>
              <w:t xml:space="preserve"> submit the hard copy of the application form (indicating the online Company Application Reference Number, along with the supporting documents, to the concerned Regional Office. The company can then check the status of the application from the above mentioned secure address, by keying in the acknowledgement number.</w:t>
            </w:r>
          </w:p>
        </w:tc>
      </w:tr>
    </w:tbl>
    <w:p w:rsidR="00ED1538" w:rsidRDefault="00ED1538" w:rsidP="00ED1538">
      <w:pPr>
        <w:jc w:val="both"/>
        <w:rPr>
          <w:rFonts w:ascii="Times New Roman" w:hAnsi="Times New Roman" w:cs="Times New Roman"/>
          <w:sz w:val="24"/>
          <w:szCs w:val="24"/>
        </w:rPr>
      </w:pPr>
    </w:p>
    <w:p w:rsidR="00FE4F62" w:rsidRDefault="00FE4F62" w:rsidP="00FE4F62">
      <w:pPr>
        <w:ind w:left="-180"/>
        <w:jc w:val="both"/>
        <w:rPr>
          <w:rFonts w:ascii="Times New Roman" w:hAnsi="Times New Roman" w:cs="Times New Roman"/>
          <w:b/>
          <w:bCs/>
          <w:color w:val="000000"/>
          <w:sz w:val="24"/>
          <w:szCs w:val="24"/>
          <w:u w:val="single"/>
        </w:rPr>
      </w:pPr>
      <w:r w:rsidRPr="00FE4F62">
        <w:rPr>
          <w:rFonts w:ascii="Times New Roman" w:hAnsi="Times New Roman" w:cs="Times New Roman"/>
          <w:b/>
          <w:bCs/>
          <w:color w:val="000000"/>
          <w:sz w:val="24"/>
          <w:szCs w:val="24"/>
          <w:u w:val="single"/>
        </w:rPr>
        <w:t xml:space="preserve">Responsibilities of the NBFCs registered with Reserve Bank, </w:t>
      </w:r>
      <w:proofErr w:type="gramStart"/>
      <w:r w:rsidRPr="00FE4F62">
        <w:rPr>
          <w:rFonts w:ascii="Times New Roman" w:hAnsi="Times New Roman" w:cs="Times New Roman"/>
          <w:b/>
          <w:bCs/>
          <w:color w:val="000000"/>
          <w:sz w:val="24"/>
          <w:szCs w:val="24"/>
          <w:u w:val="single"/>
        </w:rPr>
        <w:t>with regard to</w:t>
      </w:r>
      <w:proofErr w:type="gramEnd"/>
      <w:r w:rsidRPr="00FE4F62">
        <w:rPr>
          <w:rFonts w:ascii="Times New Roman" w:hAnsi="Times New Roman" w:cs="Times New Roman"/>
          <w:b/>
          <w:bCs/>
          <w:color w:val="000000"/>
          <w:sz w:val="24"/>
          <w:szCs w:val="24"/>
          <w:u w:val="single"/>
        </w:rPr>
        <w:t xml:space="preserve"> submission on compliances and other information</w:t>
      </w:r>
    </w:p>
    <w:p w:rsidR="00367405" w:rsidRDefault="00367405" w:rsidP="00FE4F62">
      <w:pPr>
        <w:rPr>
          <w:rFonts w:ascii="Times New Roman" w:hAnsi="Times New Roman" w:cs="Times New Roman"/>
          <w:b/>
          <w:bCs/>
          <w:color w:val="000000"/>
          <w:sz w:val="24"/>
          <w:szCs w:val="24"/>
          <w:u w:val="single"/>
        </w:rPr>
      </w:pPr>
    </w:p>
    <w:p w:rsidR="00FE4F62" w:rsidRPr="00367405" w:rsidRDefault="00FE4F62" w:rsidP="00367405">
      <w:pPr>
        <w:ind w:hanging="360"/>
        <w:rPr>
          <w:rFonts w:ascii="Times New Roman" w:hAnsi="Times New Roman" w:cs="Times New Roman"/>
          <w:sz w:val="24"/>
          <w:szCs w:val="24"/>
        </w:rPr>
      </w:pPr>
      <w:r w:rsidRPr="00367405">
        <w:rPr>
          <w:rStyle w:val="head"/>
          <w:rFonts w:ascii="Times New Roman" w:hAnsi="Times New Roman" w:cs="Times New Roman"/>
          <w:b/>
          <w:bCs/>
          <w:color w:val="000000"/>
          <w:sz w:val="24"/>
          <w:szCs w:val="24"/>
        </w:rPr>
        <w:t>A. Returns to be submitted by deposit taking NBFCs</w:t>
      </w:r>
    </w:p>
    <w:p w:rsidR="00367405" w:rsidRPr="00367405" w:rsidRDefault="00FE4F62" w:rsidP="00367405">
      <w:pPr>
        <w:pStyle w:val="NormalWeb"/>
        <w:numPr>
          <w:ilvl w:val="0"/>
          <w:numId w:val="7"/>
        </w:numPr>
        <w:spacing w:before="0" w:beforeAutospacing="0" w:after="0" w:afterAutospacing="0"/>
        <w:ind w:left="0"/>
        <w:jc w:val="both"/>
        <w:rPr>
          <w:color w:val="000000"/>
        </w:rPr>
      </w:pPr>
      <w:r w:rsidRPr="00367405">
        <w:rPr>
          <w:rStyle w:val="head"/>
          <w:b/>
          <w:bCs/>
          <w:color w:val="000000"/>
        </w:rPr>
        <w:t>NBS-1</w:t>
      </w:r>
      <w:r w:rsidRPr="00367405">
        <w:rPr>
          <w:rStyle w:val="apple-converted-space"/>
          <w:color w:val="000000"/>
        </w:rPr>
        <w:t> </w:t>
      </w:r>
      <w:r w:rsidRPr="00367405">
        <w:rPr>
          <w:color w:val="000000"/>
        </w:rPr>
        <w:t>Quarterly Returns on deposits in First Schedule.</w:t>
      </w:r>
    </w:p>
    <w:p w:rsidR="00FE4F62" w:rsidRPr="00367405" w:rsidRDefault="00FE4F62" w:rsidP="00367405">
      <w:pPr>
        <w:pStyle w:val="NormalWeb"/>
        <w:numPr>
          <w:ilvl w:val="0"/>
          <w:numId w:val="7"/>
        </w:numPr>
        <w:spacing w:before="0" w:beforeAutospacing="0" w:after="0" w:afterAutospacing="0"/>
        <w:ind w:left="0"/>
        <w:jc w:val="both"/>
        <w:rPr>
          <w:color w:val="000000"/>
        </w:rPr>
      </w:pPr>
      <w:r w:rsidRPr="00367405">
        <w:rPr>
          <w:rStyle w:val="head"/>
          <w:b/>
          <w:bCs/>
          <w:color w:val="000000"/>
        </w:rPr>
        <w:t>NBS-2</w:t>
      </w:r>
      <w:r w:rsidRPr="00367405">
        <w:rPr>
          <w:rStyle w:val="apple-converted-space"/>
          <w:color w:val="000000"/>
        </w:rPr>
        <w:t> </w:t>
      </w:r>
      <w:r w:rsidRPr="00367405">
        <w:rPr>
          <w:color w:val="000000"/>
        </w:rPr>
        <w:t>Quarterly return on Prudential Norms is required to be submitted by NBFC accepting public deposits.</w:t>
      </w:r>
    </w:p>
    <w:p w:rsidR="00FE4F62" w:rsidRPr="00367405" w:rsidRDefault="00FE4F62" w:rsidP="00367405">
      <w:pPr>
        <w:pStyle w:val="NormalWeb"/>
        <w:numPr>
          <w:ilvl w:val="0"/>
          <w:numId w:val="7"/>
        </w:numPr>
        <w:spacing w:before="0" w:beforeAutospacing="0" w:after="0" w:afterAutospacing="0"/>
        <w:ind w:left="0"/>
        <w:jc w:val="both"/>
        <w:rPr>
          <w:color w:val="000000"/>
        </w:rPr>
      </w:pPr>
      <w:r w:rsidRPr="00367405">
        <w:rPr>
          <w:rStyle w:val="head"/>
          <w:b/>
          <w:bCs/>
          <w:color w:val="000000"/>
        </w:rPr>
        <w:t>NBS-3</w:t>
      </w:r>
      <w:r w:rsidRPr="00367405">
        <w:rPr>
          <w:rStyle w:val="apple-converted-space"/>
          <w:color w:val="000000"/>
        </w:rPr>
        <w:t> </w:t>
      </w:r>
      <w:r w:rsidRPr="00367405">
        <w:rPr>
          <w:color w:val="000000"/>
        </w:rPr>
        <w:t>Quarterly return on Liquid Assets by deposit taking NBFC.</w:t>
      </w:r>
    </w:p>
    <w:p w:rsidR="00FE4F62" w:rsidRPr="00367405" w:rsidRDefault="00FE4F62" w:rsidP="00367405">
      <w:pPr>
        <w:pStyle w:val="NormalWeb"/>
        <w:numPr>
          <w:ilvl w:val="0"/>
          <w:numId w:val="7"/>
        </w:numPr>
        <w:spacing w:before="0" w:beforeAutospacing="0" w:after="0" w:afterAutospacing="0"/>
        <w:ind w:left="0"/>
        <w:jc w:val="both"/>
        <w:rPr>
          <w:color w:val="000000"/>
        </w:rPr>
      </w:pPr>
      <w:r w:rsidRPr="00367405">
        <w:rPr>
          <w:rStyle w:val="head"/>
          <w:b/>
          <w:bCs/>
          <w:color w:val="000000"/>
        </w:rPr>
        <w:t>NBS-4</w:t>
      </w:r>
      <w:r w:rsidRPr="00367405">
        <w:rPr>
          <w:rStyle w:val="apple-converted-space"/>
          <w:color w:val="000000"/>
        </w:rPr>
        <w:t> </w:t>
      </w:r>
      <w:r w:rsidRPr="00367405">
        <w:rPr>
          <w:color w:val="000000"/>
        </w:rPr>
        <w:t>Annual return of critical parameters by a rejected company holding public deposits. (NBS-5 stands withdrawn as submission of NBS 1 has been made quarterly.)</w:t>
      </w:r>
    </w:p>
    <w:p w:rsidR="00FE4F62" w:rsidRPr="00367405" w:rsidRDefault="00FE4F62" w:rsidP="00367405">
      <w:pPr>
        <w:pStyle w:val="NormalWeb"/>
        <w:numPr>
          <w:ilvl w:val="0"/>
          <w:numId w:val="7"/>
        </w:numPr>
        <w:spacing w:before="0" w:beforeAutospacing="0" w:after="0" w:afterAutospacing="0"/>
        <w:ind w:left="0"/>
        <w:jc w:val="both"/>
        <w:rPr>
          <w:color w:val="000000"/>
        </w:rPr>
      </w:pPr>
      <w:r w:rsidRPr="00367405">
        <w:rPr>
          <w:rStyle w:val="head"/>
          <w:b/>
          <w:bCs/>
          <w:color w:val="000000"/>
        </w:rPr>
        <w:t>NBS-6</w:t>
      </w:r>
      <w:r w:rsidRPr="00367405">
        <w:rPr>
          <w:rStyle w:val="apple-converted-space"/>
          <w:color w:val="000000"/>
        </w:rPr>
        <w:t> </w:t>
      </w:r>
      <w:r w:rsidRPr="00367405">
        <w:rPr>
          <w:color w:val="000000"/>
        </w:rPr>
        <w:t xml:space="preserve">Monthly return on exposure to capital market by deposit taking NBFC with total assets of ₹100 </w:t>
      </w:r>
      <w:proofErr w:type="gramStart"/>
      <w:r w:rsidRPr="00367405">
        <w:rPr>
          <w:color w:val="000000"/>
        </w:rPr>
        <w:t>crore</w:t>
      </w:r>
      <w:proofErr w:type="gramEnd"/>
      <w:r w:rsidRPr="00367405">
        <w:rPr>
          <w:color w:val="000000"/>
        </w:rPr>
        <w:t xml:space="preserve"> and above.</w:t>
      </w:r>
    </w:p>
    <w:p w:rsidR="00FE4F62" w:rsidRPr="00367405" w:rsidRDefault="00FE4F62" w:rsidP="00367405">
      <w:pPr>
        <w:pStyle w:val="NormalWeb"/>
        <w:numPr>
          <w:ilvl w:val="0"/>
          <w:numId w:val="7"/>
        </w:numPr>
        <w:spacing w:before="0" w:beforeAutospacing="0" w:after="0" w:afterAutospacing="0"/>
        <w:ind w:left="0"/>
        <w:jc w:val="both"/>
        <w:rPr>
          <w:color w:val="000000"/>
        </w:rPr>
      </w:pPr>
      <w:r w:rsidRPr="00367405">
        <w:rPr>
          <w:rStyle w:val="head"/>
          <w:b/>
          <w:bCs/>
          <w:color w:val="000000"/>
        </w:rPr>
        <w:t>Half-yearly ALM return</w:t>
      </w:r>
      <w:r w:rsidRPr="00367405">
        <w:rPr>
          <w:rStyle w:val="apple-converted-space"/>
          <w:color w:val="000000"/>
        </w:rPr>
        <w:t> </w:t>
      </w:r>
      <w:r w:rsidRPr="00367405">
        <w:rPr>
          <w:color w:val="000000"/>
        </w:rPr>
        <w:t xml:space="preserve">by NBFC holding public deposits of more than ₹20 crore or asset size of more than ₹100 </w:t>
      </w:r>
      <w:proofErr w:type="gramStart"/>
      <w:r w:rsidRPr="00367405">
        <w:rPr>
          <w:color w:val="000000"/>
        </w:rPr>
        <w:t>crore</w:t>
      </w:r>
      <w:proofErr w:type="gramEnd"/>
    </w:p>
    <w:p w:rsidR="00FE4F62" w:rsidRPr="00367405" w:rsidRDefault="00FE4F62" w:rsidP="00367405">
      <w:pPr>
        <w:pStyle w:val="NormalWeb"/>
        <w:numPr>
          <w:ilvl w:val="0"/>
          <w:numId w:val="7"/>
        </w:numPr>
        <w:spacing w:before="0" w:beforeAutospacing="0" w:after="0" w:afterAutospacing="0"/>
        <w:ind w:left="0"/>
        <w:jc w:val="both"/>
        <w:rPr>
          <w:color w:val="000000"/>
        </w:rPr>
      </w:pPr>
      <w:r w:rsidRPr="00367405">
        <w:rPr>
          <w:color w:val="000000"/>
        </w:rPr>
        <w:t>Audited Balance sheet and Auditor’s Report by NBFC accepting public deposits.</w:t>
      </w:r>
    </w:p>
    <w:p w:rsidR="00FE4F62" w:rsidRPr="00367405" w:rsidRDefault="00FE4F62" w:rsidP="00367405">
      <w:pPr>
        <w:pStyle w:val="NormalWeb"/>
        <w:numPr>
          <w:ilvl w:val="0"/>
          <w:numId w:val="7"/>
        </w:numPr>
        <w:spacing w:before="0" w:beforeAutospacing="0" w:after="0" w:afterAutospacing="0"/>
        <w:ind w:left="0"/>
        <w:jc w:val="both"/>
        <w:rPr>
          <w:color w:val="000000"/>
        </w:rPr>
      </w:pPr>
      <w:r w:rsidRPr="00367405">
        <w:rPr>
          <w:color w:val="000000"/>
        </w:rPr>
        <w:t>Branch Info Return.</w:t>
      </w:r>
    </w:p>
    <w:p w:rsidR="00FE4F62" w:rsidRPr="00367405" w:rsidRDefault="00FE4F62" w:rsidP="00367405">
      <w:pPr>
        <w:pStyle w:val="head1"/>
        <w:spacing w:before="0" w:beforeAutospacing="0" w:after="0" w:afterAutospacing="0"/>
        <w:jc w:val="both"/>
        <w:rPr>
          <w:b/>
          <w:bCs/>
          <w:color w:val="000000"/>
        </w:rPr>
      </w:pPr>
      <w:r w:rsidRPr="00367405">
        <w:rPr>
          <w:b/>
          <w:bCs/>
          <w:color w:val="000000"/>
        </w:rPr>
        <w:t>B. Returns to be submitted by NBFCs-ND-SI</w:t>
      </w:r>
    </w:p>
    <w:p w:rsidR="00FE4F62" w:rsidRPr="00367405" w:rsidRDefault="00FE4F62" w:rsidP="00367405">
      <w:pPr>
        <w:pStyle w:val="NormalWeb"/>
        <w:numPr>
          <w:ilvl w:val="0"/>
          <w:numId w:val="8"/>
        </w:numPr>
        <w:spacing w:before="0" w:beforeAutospacing="0" w:after="0" w:afterAutospacing="0"/>
        <w:ind w:left="0"/>
        <w:jc w:val="both"/>
        <w:rPr>
          <w:color w:val="000000"/>
        </w:rPr>
      </w:pPr>
      <w:r w:rsidRPr="00367405">
        <w:rPr>
          <w:rStyle w:val="head"/>
          <w:b/>
          <w:bCs/>
          <w:color w:val="000000"/>
        </w:rPr>
        <w:t>NBS-7</w:t>
      </w:r>
      <w:r w:rsidRPr="00367405">
        <w:rPr>
          <w:rStyle w:val="apple-converted-space"/>
          <w:color w:val="000000"/>
        </w:rPr>
        <w:t> </w:t>
      </w:r>
      <w:r w:rsidRPr="00367405">
        <w:rPr>
          <w:color w:val="000000"/>
        </w:rPr>
        <w:t>A Quarterly statement of capital funds, risk weighted assets, risk asset ratio etc., for NBFC-ND-SI.</w:t>
      </w:r>
    </w:p>
    <w:p w:rsidR="00FE4F62" w:rsidRDefault="00FE4F62" w:rsidP="00367405">
      <w:pPr>
        <w:pStyle w:val="head1"/>
        <w:numPr>
          <w:ilvl w:val="0"/>
          <w:numId w:val="8"/>
        </w:numPr>
        <w:spacing w:before="0" w:beforeAutospacing="0" w:after="0" w:afterAutospacing="0"/>
        <w:ind w:left="0"/>
        <w:jc w:val="both"/>
        <w:rPr>
          <w:b/>
          <w:bCs/>
          <w:color w:val="000000"/>
        </w:rPr>
      </w:pPr>
      <w:r w:rsidRPr="00367405">
        <w:rPr>
          <w:b/>
          <w:bCs/>
          <w:color w:val="000000"/>
        </w:rPr>
        <w:t>Monthly Return on Important Financial Parameters of NBFCs-ND-SI.</w:t>
      </w:r>
    </w:p>
    <w:p w:rsidR="00367405" w:rsidRPr="00367405" w:rsidRDefault="00367405" w:rsidP="00367405">
      <w:pPr>
        <w:pStyle w:val="head1"/>
        <w:rPr>
          <w:b/>
          <w:bCs/>
          <w:color w:val="000000"/>
        </w:rPr>
      </w:pPr>
    </w:p>
    <w:p w:rsidR="00FE4F62" w:rsidRDefault="00367405" w:rsidP="00367405">
      <w:pPr>
        <w:pStyle w:val="NormalWeb"/>
        <w:numPr>
          <w:ilvl w:val="0"/>
          <w:numId w:val="8"/>
        </w:numPr>
        <w:ind w:left="0"/>
        <w:rPr>
          <w:color w:val="000000"/>
        </w:rPr>
      </w:pPr>
      <w:r>
        <w:rPr>
          <w:rStyle w:val="head"/>
          <w:b/>
          <w:bCs/>
          <w:color w:val="000000"/>
        </w:rPr>
        <w:t xml:space="preserve">ALM </w:t>
      </w:r>
      <w:r w:rsidR="00FE4F62" w:rsidRPr="00367405">
        <w:rPr>
          <w:rStyle w:val="head"/>
          <w:b/>
          <w:bCs/>
          <w:color w:val="000000"/>
        </w:rPr>
        <w:t>returns:</w:t>
      </w:r>
      <w:r w:rsidR="00FE4F62" w:rsidRPr="00367405">
        <w:rPr>
          <w:color w:val="000000"/>
        </w:rPr>
        <w:br/>
        <w:t>(i) Statement of short term dynamic liquidity in format ALM [NBS-ALM1] -Monthly,</w:t>
      </w:r>
      <w:r w:rsidR="00FE4F62" w:rsidRPr="00367405">
        <w:rPr>
          <w:color w:val="000000"/>
        </w:rPr>
        <w:br/>
        <w:t>(ii) Statement of structural liquidity in format ALM [NBS-ALM2] Half yearly,</w:t>
      </w:r>
      <w:r w:rsidR="00FE4F62" w:rsidRPr="00367405">
        <w:rPr>
          <w:color w:val="000000"/>
        </w:rPr>
        <w:br/>
        <w:t>(iii) Statement of Interest Rate Sensitivity in format ALM -[NBS-ALM3], Half yearly</w:t>
      </w:r>
      <w:r>
        <w:rPr>
          <w:color w:val="000000"/>
        </w:rPr>
        <w:t>.</w:t>
      </w:r>
    </w:p>
    <w:p w:rsidR="00367405" w:rsidRPr="00367405" w:rsidRDefault="00367405" w:rsidP="00367405">
      <w:pPr>
        <w:pStyle w:val="NormalWeb"/>
        <w:jc w:val="both"/>
        <w:rPr>
          <w:color w:val="000000"/>
        </w:rPr>
      </w:pPr>
      <w:bookmarkStart w:id="0" w:name="_GoBack"/>
      <w:bookmarkEnd w:id="0"/>
    </w:p>
    <w:p w:rsidR="00FE4F62" w:rsidRPr="00367405" w:rsidRDefault="00FE4F62" w:rsidP="00FE4F62">
      <w:pPr>
        <w:pStyle w:val="head1"/>
        <w:numPr>
          <w:ilvl w:val="0"/>
          <w:numId w:val="8"/>
        </w:numPr>
        <w:ind w:left="0"/>
        <w:jc w:val="both"/>
        <w:rPr>
          <w:b/>
          <w:bCs/>
          <w:color w:val="000000"/>
        </w:rPr>
      </w:pPr>
      <w:r w:rsidRPr="00367405">
        <w:rPr>
          <w:b/>
          <w:bCs/>
          <w:color w:val="000000"/>
        </w:rPr>
        <w:t>Branch Info return</w:t>
      </w:r>
    </w:p>
    <w:p w:rsidR="00FE4F62" w:rsidRPr="00367405" w:rsidRDefault="00FE4F62" w:rsidP="00FE4F62">
      <w:pPr>
        <w:pStyle w:val="head1"/>
        <w:jc w:val="both"/>
        <w:rPr>
          <w:b/>
          <w:bCs/>
          <w:color w:val="000000"/>
        </w:rPr>
      </w:pPr>
      <w:r w:rsidRPr="00367405">
        <w:rPr>
          <w:b/>
          <w:bCs/>
          <w:color w:val="000000"/>
        </w:rPr>
        <w:t xml:space="preserve">C. Quarterly return on important financial parameters of </w:t>
      </w:r>
      <w:proofErr w:type="spellStart"/>
      <w:r w:rsidRPr="00367405">
        <w:rPr>
          <w:b/>
          <w:bCs/>
          <w:color w:val="000000"/>
        </w:rPr>
        <w:t>non deposit</w:t>
      </w:r>
      <w:proofErr w:type="spellEnd"/>
      <w:r w:rsidRPr="00367405">
        <w:rPr>
          <w:b/>
          <w:bCs/>
          <w:color w:val="000000"/>
        </w:rPr>
        <w:t xml:space="preserve"> taking NBFCs having assets of more </w:t>
      </w:r>
      <w:proofErr w:type="gramStart"/>
      <w:r w:rsidRPr="00367405">
        <w:rPr>
          <w:b/>
          <w:bCs/>
          <w:color w:val="000000"/>
        </w:rPr>
        <w:t>than ₹ 50</w:t>
      </w:r>
      <w:proofErr w:type="gramEnd"/>
      <w:r w:rsidRPr="00367405">
        <w:rPr>
          <w:b/>
          <w:bCs/>
          <w:color w:val="000000"/>
        </w:rPr>
        <w:t xml:space="preserve"> crore and above but less than ₹ 100 crore</w:t>
      </w:r>
    </w:p>
    <w:p w:rsidR="00FE4F62" w:rsidRPr="00367405" w:rsidRDefault="00FE4F62" w:rsidP="00FE4F62">
      <w:pPr>
        <w:pStyle w:val="NormalWeb"/>
        <w:jc w:val="both"/>
        <w:rPr>
          <w:color w:val="000000"/>
        </w:rPr>
      </w:pPr>
      <w:r w:rsidRPr="00367405">
        <w:rPr>
          <w:color w:val="000000"/>
        </w:rPr>
        <w:lastRenderedPageBreak/>
        <w:t xml:space="preserve">Basic information like name of the company, address, NOF, profit / loss during the last three years has to be submitted quarterly by non-deposit taking NBFCs with asset size </w:t>
      </w:r>
      <w:proofErr w:type="gramStart"/>
      <w:r w:rsidRPr="00367405">
        <w:rPr>
          <w:color w:val="000000"/>
        </w:rPr>
        <w:t>between ₹ 50</w:t>
      </w:r>
      <w:proofErr w:type="gramEnd"/>
      <w:r w:rsidRPr="00367405">
        <w:rPr>
          <w:color w:val="000000"/>
        </w:rPr>
        <w:t xml:space="preserve"> crore and ₹ 100 crore.</w:t>
      </w:r>
    </w:p>
    <w:p w:rsidR="00FE4F62" w:rsidRPr="00367405" w:rsidRDefault="00FE4F62" w:rsidP="00FE4F62">
      <w:pPr>
        <w:pStyle w:val="NormalWeb"/>
        <w:jc w:val="both"/>
        <w:rPr>
          <w:color w:val="000000"/>
        </w:rPr>
      </w:pPr>
      <w:r w:rsidRPr="00367405">
        <w:rPr>
          <w:color w:val="000000"/>
        </w:rPr>
        <w:t>There are other generic reports to be submitted by all NBFCs as elaborated in Master Circular on Returns to be submitted by NBFCs as available on</w:t>
      </w:r>
      <w:r w:rsidRPr="00367405">
        <w:rPr>
          <w:rStyle w:val="apple-converted-space"/>
          <w:color w:val="000000"/>
        </w:rPr>
        <w:t> </w:t>
      </w:r>
      <w:hyperlink r:id="rId6" w:tgtFrame="_blank" w:history="1">
        <w:r w:rsidRPr="00367405">
          <w:rPr>
            <w:rStyle w:val="Hyperlink"/>
          </w:rPr>
          <w:t>www.rbi.org.in</w:t>
        </w:r>
      </w:hyperlink>
      <w:r w:rsidRPr="00367405">
        <w:rPr>
          <w:rStyle w:val="apple-converted-space"/>
          <w:color w:val="000000"/>
        </w:rPr>
        <w:t> </w:t>
      </w:r>
      <w:r w:rsidRPr="00367405">
        <w:rPr>
          <w:color w:val="000000"/>
        </w:rPr>
        <w:t>→ Notifications → Master Circulars →</w:t>
      </w:r>
      <w:r w:rsidRPr="00367405">
        <w:rPr>
          <w:rStyle w:val="apple-converted-space"/>
          <w:color w:val="000000"/>
        </w:rPr>
        <w:t> </w:t>
      </w:r>
      <w:hyperlink r:id="rId7" w:tgtFrame="_blank" w:history="1">
        <w:r w:rsidRPr="00367405">
          <w:rPr>
            <w:rStyle w:val="Hyperlink"/>
          </w:rPr>
          <w:t>Non-banking</w:t>
        </w:r>
      </w:hyperlink>
      <w:r w:rsidRPr="00367405">
        <w:rPr>
          <w:rStyle w:val="apple-converted-space"/>
          <w:color w:val="000000"/>
        </w:rPr>
        <w:t> </w:t>
      </w:r>
      <w:r w:rsidRPr="00367405">
        <w:rPr>
          <w:color w:val="000000"/>
        </w:rPr>
        <w:t>and</w:t>
      </w:r>
      <w:r w:rsidRPr="00367405">
        <w:rPr>
          <w:rStyle w:val="apple-converted-space"/>
          <w:color w:val="000000"/>
        </w:rPr>
        <w:t> </w:t>
      </w:r>
      <w:hyperlink r:id="rId8" w:tgtFrame="_blank" w:history="1">
        <w:r w:rsidRPr="00367405">
          <w:rPr>
            <w:rStyle w:val="Hyperlink"/>
          </w:rPr>
          <w:t>Circular DNBS (IT) CC.No.02/24.01.191/2015-16 dated July 9, 2015</w:t>
        </w:r>
      </w:hyperlink>
      <w:r w:rsidRPr="00367405">
        <w:rPr>
          <w:rStyle w:val="apple-converted-space"/>
          <w:color w:val="000000"/>
        </w:rPr>
        <w:t> </w:t>
      </w:r>
      <w:r w:rsidRPr="00367405">
        <w:rPr>
          <w:color w:val="000000"/>
        </w:rPr>
        <w:t>as available on</w:t>
      </w:r>
      <w:r w:rsidRPr="00367405">
        <w:rPr>
          <w:rStyle w:val="apple-converted-space"/>
          <w:color w:val="000000"/>
        </w:rPr>
        <w:t> </w:t>
      </w:r>
      <w:hyperlink r:id="rId9" w:tgtFrame="_blank" w:history="1">
        <w:r w:rsidRPr="00367405">
          <w:rPr>
            <w:rStyle w:val="Hyperlink"/>
          </w:rPr>
          <w:t>www.rbi.org.in</w:t>
        </w:r>
      </w:hyperlink>
      <w:r w:rsidRPr="00367405">
        <w:rPr>
          <w:rStyle w:val="apple-converted-space"/>
          <w:color w:val="000000"/>
        </w:rPr>
        <w:t> </w:t>
      </w:r>
      <w:r w:rsidRPr="00367405">
        <w:rPr>
          <w:color w:val="000000"/>
        </w:rPr>
        <w:t>→ Notifications.</w:t>
      </w:r>
    </w:p>
    <w:p w:rsidR="00FE4F62" w:rsidRPr="00FE4F62" w:rsidRDefault="00FE4F62" w:rsidP="00FE4F62">
      <w:pPr>
        <w:ind w:left="-180"/>
        <w:jc w:val="both"/>
        <w:rPr>
          <w:rFonts w:ascii="Times New Roman" w:hAnsi="Times New Roman" w:cs="Times New Roman"/>
          <w:sz w:val="24"/>
          <w:szCs w:val="24"/>
          <w:u w:val="single"/>
        </w:rPr>
      </w:pPr>
    </w:p>
    <w:sectPr w:rsidR="00FE4F62" w:rsidRPr="00FE4F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78C7"/>
    <w:multiLevelType w:val="multilevel"/>
    <w:tmpl w:val="896C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25E5F"/>
    <w:multiLevelType w:val="multilevel"/>
    <w:tmpl w:val="78D27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241472"/>
    <w:multiLevelType w:val="multilevel"/>
    <w:tmpl w:val="37BCA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0C5B3E"/>
    <w:multiLevelType w:val="hybridMultilevel"/>
    <w:tmpl w:val="09FC4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C5125E"/>
    <w:multiLevelType w:val="multilevel"/>
    <w:tmpl w:val="8E689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837973"/>
    <w:multiLevelType w:val="hybridMultilevel"/>
    <w:tmpl w:val="2AC635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ED1DF0"/>
    <w:multiLevelType w:val="multilevel"/>
    <w:tmpl w:val="4C4C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5F612E"/>
    <w:multiLevelType w:val="hybridMultilevel"/>
    <w:tmpl w:val="BA10861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0"/>
  </w:num>
  <w:num w:numId="3">
    <w:abstractNumId w:val="3"/>
  </w:num>
  <w:num w:numId="4">
    <w:abstractNumId w:val="7"/>
  </w:num>
  <w:num w:numId="5">
    <w:abstractNumId w:val="5"/>
  </w:num>
  <w:num w:numId="6">
    <w:abstractNumId w:val="4"/>
  </w:num>
  <w:num w:numId="7">
    <w:abstractNumId w:val="2"/>
  </w:num>
  <w:num w:numId="8">
    <w:abstractNumId w:val="1"/>
    <w:lvlOverride w:ilvl="0">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38"/>
    <w:rsid w:val="00367405"/>
    <w:rsid w:val="003B039E"/>
    <w:rsid w:val="003D7508"/>
    <w:rsid w:val="00437555"/>
    <w:rsid w:val="00744354"/>
    <w:rsid w:val="009971BF"/>
    <w:rsid w:val="00D33F3B"/>
    <w:rsid w:val="00ED1538"/>
    <w:rsid w:val="00F74F89"/>
    <w:rsid w:val="00F77E83"/>
    <w:rsid w:val="00FE4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832D0"/>
  <w15:chartTrackingRefBased/>
  <w15:docId w15:val="{BB3FF92B-BD2A-4246-9C37-50B390EAA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link w:val="Heading1Char"/>
    <w:uiPriority w:val="9"/>
    <w:qFormat/>
    <w:rsid w:val="00ED153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D153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D15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D153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D1538"/>
    <w:rPr>
      <w:rFonts w:ascii="Times New Roman" w:eastAsia="Times New Roman" w:hAnsi="Times New Roman" w:cs="Times New Roman"/>
      <w:b/>
      <w:bCs/>
      <w:sz w:val="36"/>
      <w:szCs w:val="36"/>
    </w:rPr>
  </w:style>
  <w:style w:type="character" w:styleId="Strong">
    <w:name w:val="Strong"/>
    <w:basedOn w:val="DefaultParagraphFont"/>
    <w:uiPriority w:val="22"/>
    <w:qFormat/>
    <w:rsid w:val="00ED1538"/>
    <w:rPr>
      <w:b/>
      <w:bCs/>
    </w:rPr>
  </w:style>
  <w:style w:type="paragraph" w:styleId="ListParagraph">
    <w:name w:val="List Paragraph"/>
    <w:basedOn w:val="Normal"/>
    <w:uiPriority w:val="34"/>
    <w:qFormat/>
    <w:rsid w:val="00D33F3B"/>
    <w:pPr>
      <w:ind w:left="720"/>
      <w:contextualSpacing/>
    </w:pPr>
  </w:style>
  <w:style w:type="character" w:customStyle="1" w:styleId="apple-converted-space">
    <w:name w:val="apple-converted-space"/>
    <w:basedOn w:val="DefaultParagraphFont"/>
    <w:rsid w:val="00437555"/>
  </w:style>
  <w:style w:type="character" w:styleId="Hyperlink">
    <w:name w:val="Hyperlink"/>
    <w:basedOn w:val="DefaultParagraphFont"/>
    <w:uiPriority w:val="99"/>
    <w:semiHidden/>
    <w:unhideWhenUsed/>
    <w:rsid w:val="00437555"/>
    <w:rPr>
      <w:color w:val="0000FF"/>
      <w:u w:val="single"/>
    </w:rPr>
  </w:style>
  <w:style w:type="character" w:customStyle="1" w:styleId="head">
    <w:name w:val="head"/>
    <w:basedOn w:val="DefaultParagraphFont"/>
    <w:rsid w:val="00FE4F62"/>
  </w:style>
  <w:style w:type="paragraph" w:customStyle="1" w:styleId="head1">
    <w:name w:val="head1"/>
    <w:basedOn w:val="Normal"/>
    <w:rsid w:val="00FE4F6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502491">
      <w:bodyDiv w:val="1"/>
      <w:marLeft w:val="0"/>
      <w:marRight w:val="0"/>
      <w:marTop w:val="0"/>
      <w:marBottom w:val="0"/>
      <w:divBdr>
        <w:top w:val="none" w:sz="0" w:space="0" w:color="auto"/>
        <w:left w:val="none" w:sz="0" w:space="0" w:color="auto"/>
        <w:bottom w:val="none" w:sz="0" w:space="0" w:color="auto"/>
        <w:right w:val="none" w:sz="0" w:space="0" w:color="auto"/>
      </w:divBdr>
    </w:div>
    <w:div w:id="869957099">
      <w:bodyDiv w:val="1"/>
      <w:marLeft w:val="0"/>
      <w:marRight w:val="0"/>
      <w:marTop w:val="0"/>
      <w:marBottom w:val="0"/>
      <w:divBdr>
        <w:top w:val="none" w:sz="0" w:space="0" w:color="auto"/>
        <w:left w:val="none" w:sz="0" w:space="0" w:color="auto"/>
        <w:bottom w:val="none" w:sz="0" w:space="0" w:color="auto"/>
        <w:right w:val="none" w:sz="0" w:space="0" w:color="auto"/>
      </w:divBdr>
    </w:div>
    <w:div w:id="206563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bi.org.in/scripts/FS_Notification.aspx?Id=9931&amp;fn=14&amp;Mode=0" TargetMode="External"/><Relationship Id="rId3" Type="http://schemas.openxmlformats.org/officeDocument/2006/relationships/settings" Target="settings.xml"/><Relationship Id="rId7" Type="http://schemas.openxmlformats.org/officeDocument/2006/relationships/hyperlink" Target="https://rbi.org.in/Scripts/BS_ViewMasterCirculardetails.aspx?did=3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bi.org.in/" TargetMode="External"/><Relationship Id="rId11" Type="http://schemas.openxmlformats.org/officeDocument/2006/relationships/theme" Target="theme/theme1.xml"/><Relationship Id="rId5" Type="http://schemas.openxmlformats.org/officeDocument/2006/relationships/hyperlink" Target="https://cosmos.rbi.org.i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bi.or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6</Pages>
  <Words>1601</Words>
  <Characters>9126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HPACS-2</dc:creator>
  <cp:keywords/>
  <dc:description/>
  <cp:lastModifiedBy>HPACS-2</cp:lastModifiedBy>
  <cp:revision>3</cp:revision>
  <dcterms:created xsi:type="dcterms:W3CDTF">2017-02-21T09:23:00Z</dcterms:created>
  <dcterms:modified xsi:type="dcterms:W3CDTF">2017-02-22T08:24:00Z</dcterms:modified>
</cp:coreProperties>
</file>