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15" w:type="dxa"/>
        <w:tblInd w:w="-806" w:type="dxa"/>
        <w:tblCellMar>
          <w:top w:w="15" w:type="dxa"/>
          <w:left w:w="15" w:type="dxa"/>
          <w:bottom w:w="15" w:type="dxa"/>
          <w:right w:w="15" w:type="dxa"/>
        </w:tblCellMar>
        <w:tblLook w:val="04A0"/>
      </w:tblPr>
      <w:tblGrid>
        <w:gridCol w:w="15680"/>
      </w:tblGrid>
      <w:tr w:rsidR="009F1DFD" w:rsidRPr="00763AFD" w:rsidTr="00763AFD">
        <w:trPr>
          <w:tblCellSpacing w:w="15" w:type="dxa"/>
          <w:jc w:val="center"/>
        </w:trPr>
        <w:tc>
          <w:tcPr>
            <w:tcW w:w="0" w:type="auto"/>
            <w:tcMar>
              <w:top w:w="15" w:type="dxa"/>
              <w:left w:w="15" w:type="dxa"/>
              <w:bottom w:w="150" w:type="dxa"/>
              <w:right w:w="15" w:type="dxa"/>
            </w:tcMar>
            <w:vAlign w:val="bottom"/>
            <w:hideMark/>
          </w:tcPr>
          <w:p w:rsidR="009F1DFD" w:rsidRPr="00763AFD" w:rsidRDefault="009F1DFD" w:rsidP="00763AFD">
            <w:pPr>
              <w:spacing w:line="450" w:lineRule="atLeast"/>
              <w:ind w:right="339"/>
              <w:rPr>
                <w:rFonts w:ascii="Arial" w:eastAsia="Times New Roman" w:hAnsi="Arial" w:cs="Arial"/>
                <w:color w:val="000000"/>
              </w:rPr>
            </w:pPr>
            <w:r w:rsidRPr="00763AFD">
              <w:rPr>
                <w:rFonts w:ascii="Arial" w:eastAsia="Times New Roman" w:hAnsi="Arial" w:cs="Arial"/>
                <w:color w:val="000000"/>
                <w:sz w:val="22"/>
                <w:szCs w:val="22"/>
              </w:rPr>
              <w:t xml:space="preserve">Key Highlights of The Companies (Amendment) Bill, 2016 </w:t>
            </w:r>
            <w:r w:rsidRPr="00763AFD">
              <w:rPr>
                <w:rFonts w:ascii="Arial" w:eastAsia="Times New Roman" w:hAnsi="Arial" w:cs="Arial"/>
                <w:color w:val="000000"/>
                <w:sz w:val="22"/>
                <w:szCs w:val="22"/>
              </w:rPr>
              <w:br/>
            </w:r>
            <w:r w:rsidRPr="00763AFD">
              <w:rPr>
                <w:rFonts w:ascii="Arial" w:eastAsia="Times New Roman" w:hAnsi="Arial" w:cs="Arial"/>
                <w:noProof/>
                <w:color w:val="000000"/>
                <w:sz w:val="22"/>
                <w:szCs w:val="22"/>
              </w:rPr>
              <w:drawing>
                <wp:inline distT="0" distB="0" distL="0" distR="0">
                  <wp:extent cx="6762750" cy="142875"/>
                  <wp:effectExtent l="19050" t="0" r="0" b="0"/>
                  <wp:docPr id="126" name="Picture 126" descr="CompaniesAc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ompaniesAct.in"/>
                          <pic:cNvPicPr>
                            <a:picLocks noChangeAspect="1" noChangeArrowheads="1"/>
                          </pic:cNvPicPr>
                        </pic:nvPicPr>
                        <pic:blipFill>
                          <a:blip r:link="rId5" cstate="print"/>
                          <a:srcRect/>
                          <a:stretch>
                            <a:fillRect/>
                          </a:stretch>
                        </pic:blipFill>
                        <pic:spPr bwMode="auto">
                          <a:xfrm>
                            <a:off x="0" y="0"/>
                            <a:ext cx="6762750" cy="142875"/>
                          </a:xfrm>
                          <a:prstGeom prst="rect">
                            <a:avLst/>
                          </a:prstGeom>
                          <a:noFill/>
                          <a:ln w="9525">
                            <a:noFill/>
                            <a:miter lim="800000"/>
                            <a:headEnd/>
                            <a:tailEnd/>
                          </a:ln>
                        </pic:spPr>
                      </pic:pic>
                    </a:graphicData>
                  </a:graphic>
                </wp:inline>
              </w:drawing>
            </w:r>
          </w:p>
        </w:tc>
      </w:tr>
    </w:tbl>
    <w:p w:rsidR="009F1DFD" w:rsidRPr="00763AFD" w:rsidRDefault="009F1DFD" w:rsidP="00763AFD">
      <w:pPr>
        <w:ind w:right="339"/>
        <w:jc w:val="center"/>
        <w:rPr>
          <w:rFonts w:eastAsia="Times New Roman"/>
          <w:vanish/>
          <w:sz w:val="22"/>
          <w:szCs w:val="22"/>
        </w:rPr>
      </w:pPr>
    </w:p>
    <w:tbl>
      <w:tblPr>
        <w:tblW w:w="5000" w:type="pct"/>
        <w:jc w:val="center"/>
        <w:tblCellSpacing w:w="15" w:type="dxa"/>
        <w:tblLayout w:type="fixed"/>
        <w:tblCellMar>
          <w:top w:w="15" w:type="dxa"/>
          <w:left w:w="15" w:type="dxa"/>
          <w:bottom w:w="15" w:type="dxa"/>
          <w:right w:w="15" w:type="dxa"/>
        </w:tblCellMar>
        <w:tblLook w:val="04A0"/>
      </w:tblPr>
      <w:tblGrid>
        <w:gridCol w:w="15680"/>
      </w:tblGrid>
      <w:tr w:rsidR="009F1DFD" w:rsidRPr="00763AFD" w:rsidTr="004361B1">
        <w:trPr>
          <w:tblCellSpacing w:w="15" w:type="dxa"/>
          <w:jc w:val="center"/>
        </w:trPr>
        <w:tc>
          <w:tcPr>
            <w:tcW w:w="13988" w:type="dxa"/>
            <w:vAlign w:val="center"/>
            <w:hideMark/>
          </w:tcPr>
          <w:tbl>
            <w:tblPr>
              <w:tblW w:w="5000" w:type="pct"/>
              <w:tblCellSpacing w:w="15" w:type="dxa"/>
              <w:tblLayout w:type="fixed"/>
              <w:tblCellMar>
                <w:top w:w="15" w:type="dxa"/>
                <w:left w:w="15" w:type="dxa"/>
                <w:bottom w:w="15" w:type="dxa"/>
                <w:right w:w="15" w:type="dxa"/>
              </w:tblCellMar>
              <w:tblLook w:val="04A0"/>
            </w:tblPr>
            <w:tblGrid>
              <w:gridCol w:w="15590"/>
            </w:tblGrid>
            <w:tr w:rsidR="009F1DFD" w:rsidRPr="00763AFD" w:rsidTr="004361B1">
              <w:trPr>
                <w:tblCellSpacing w:w="15" w:type="dxa"/>
              </w:trPr>
              <w:tc>
                <w:tcPr>
                  <w:tcW w:w="13898" w:type="dxa"/>
                  <w:hideMark/>
                </w:tcPr>
                <w:p w:rsidR="009F1DFD" w:rsidRPr="00763AFD" w:rsidRDefault="009F1DFD" w:rsidP="00763AFD">
                  <w:pPr>
                    <w:ind w:right="339"/>
                    <w:rPr>
                      <w:rFonts w:eastAsia="Times New Roman"/>
                    </w:rPr>
                  </w:pPr>
                </w:p>
              </w:tc>
            </w:tr>
          </w:tbl>
          <w:p w:rsidR="009F1DFD" w:rsidRPr="00763AFD" w:rsidRDefault="009F1DFD" w:rsidP="00763AFD">
            <w:pPr>
              <w:ind w:right="339"/>
              <w:rPr>
                <w:rFonts w:eastAsia="Times New Roman"/>
              </w:rPr>
            </w:pPr>
          </w:p>
        </w:tc>
      </w:tr>
      <w:tr w:rsidR="009F1DFD" w:rsidRPr="00763AFD" w:rsidTr="004361B1">
        <w:trPr>
          <w:tblCellSpacing w:w="15" w:type="dxa"/>
          <w:jc w:val="center"/>
        </w:trPr>
        <w:tc>
          <w:tcPr>
            <w:tcW w:w="13988" w:type="dxa"/>
            <w:vAlign w:val="center"/>
            <w:hideMark/>
          </w:tcPr>
          <w:p w:rsidR="009F1DFD" w:rsidRPr="00763AFD" w:rsidRDefault="009F1DFD" w:rsidP="00763AFD">
            <w:pPr>
              <w:pStyle w:val="NormalWeb"/>
              <w:spacing w:after="225" w:line="330" w:lineRule="atLeast"/>
              <w:ind w:right="339"/>
              <w:jc w:val="both"/>
              <w:rPr>
                <w:rFonts w:ascii="Arial" w:hAnsi="Arial" w:cs="Arial"/>
              </w:rPr>
            </w:pPr>
            <w:r w:rsidRPr="00763AFD">
              <w:rPr>
                <w:rFonts w:ascii="Arial" w:hAnsi="Arial" w:cs="Arial"/>
                <w:sz w:val="22"/>
                <w:szCs w:val="22"/>
              </w:rPr>
              <w:t xml:space="preserve">The result of the long consultative process undertaken by the Company Law Committee constituted by the Ministry of Corporate Affairs in an attempt to revamp the Companies Act 2013 is out in form of the Companies (Amendment) Bill 2016 (‘Bill’). </w:t>
            </w:r>
          </w:p>
          <w:p w:rsidR="009F1DFD" w:rsidRPr="00763AFD" w:rsidRDefault="009F1DFD" w:rsidP="00763AFD">
            <w:pPr>
              <w:pStyle w:val="NormalWeb"/>
              <w:spacing w:after="225" w:line="330" w:lineRule="atLeast"/>
              <w:ind w:right="339"/>
              <w:jc w:val="both"/>
              <w:rPr>
                <w:rFonts w:ascii="Arial" w:hAnsi="Arial" w:cs="Arial"/>
              </w:rPr>
            </w:pPr>
            <w:r w:rsidRPr="00763AFD">
              <w:rPr>
                <w:rFonts w:ascii="Arial" w:hAnsi="Arial" w:cs="Arial"/>
                <w:sz w:val="22"/>
                <w:szCs w:val="22"/>
              </w:rPr>
              <w:t>A brief summary of key amendments proposed in the Bill are outlined below</w:t>
            </w:r>
          </w:p>
          <w:tbl>
            <w:tblPr>
              <w:tblW w:w="15585" w:type="dxa"/>
              <w:tblCellSpacing w:w="0"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tblPr>
            <w:tblGrid>
              <w:gridCol w:w="843"/>
              <w:gridCol w:w="1418"/>
              <w:gridCol w:w="4819"/>
              <w:gridCol w:w="8505"/>
            </w:tblGrid>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proofErr w:type="spellStart"/>
                  <w:r w:rsidRPr="00763AFD">
                    <w:rPr>
                      <w:rStyle w:val="Strong"/>
                      <w:rFonts w:ascii="Arial" w:eastAsia="Times New Roman" w:hAnsi="Arial" w:cs="Arial"/>
                      <w:sz w:val="22"/>
                      <w:szCs w:val="22"/>
                    </w:rPr>
                    <w:t>S.No</w:t>
                  </w:r>
                  <w:proofErr w:type="spellEnd"/>
                  <w:r w:rsidRPr="00763AFD">
                    <w:rPr>
                      <w:rStyle w:val="Strong"/>
                      <w:rFonts w:ascii="Arial" w:eastAsia="Times New Roman" w:hAnsi="Arial" w:cs="Arial"/>
                      <w:sz w:val="22"/>
                      <w:szCs w:val="22"/>
                    </w:rPr>
                    <w:t>.</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Proposed Amendment</w:t>
                  </w:r>
                </w:p>
              </w:tc>
              <w:tc>
                <w:tcPr>
                  <w:tcW w:w="8505" w:type="dxa"/>
                  <w:tcBorders>
                    <w:top w:val="outset" w:sz="6" w:space="0" w:color="auto"/>
                    <w:left w:val="outset" w:sz="6" w:space="0" w:color="auto"/>
                    <w:bottom w:val="outset" w:sz="6" w:space="0" w:color="auto"/>
                    <w:right w:val="outset" w:sz="6" w:space="0" w:color="auto"/>
                  </w:tcBorders>
                </w:tcPr>
                <w:p w:rsidR="00763AFD" w:rsidRPr="00763AFD" w:rsidRDefault="009F1DFD" w:rsidP="00763AFD">
                  <w:pPr>
                    <w:spacing w:line="330" w:lineRule="atLeast"/>
                    <w:ind w:right="339"/>
                    <w:jc w:val="both"/>
                    <w:rPr>
                      <w:rStyle w:val="Strong"/>
                      <w:rFonts w:ascii="Arial" w:eastAsia="Times New Roman" w:hAnsi="Arial" w:cs="Arial"/>
                    </w:rPr>
                  </w:pPr>
                  <w:r w:rsidRPr="00763AFD">
                    <w:rPr>
                      <w:rStyle w:val="Strong"/>
                      <w:rFonts w:ascii="Arial" w:eastAsia="Times New Roman" w:hAnsi="Arial" w:cs="Arial"/>
                      <w:sz w:val="22"/>
                      <w:szCs w:val="22"/>
                    </w:rPr>
                    <w:t>Analysis</w:t>
                  </w:r>
                </w:p>
                <w:p w:rsidR="00763AFD" w:rsidRPr="00763AFD" w:rsidRDefault="00763AFD" w:rsidP="00763AFD">
                  <w:pPr>
                    <w:rPr>
                      <w:rFonts w:ascii="Arial" w:eastAsia="Times New Roman" w:hAnsi="Arial" w:cs="Arial"/>
                    </w:rPr>
                  </w:pPr>
                </w:p>
                <w:p w:rsidR="009F1DFD" w:rsidRPr="00763AFD" w:rsidRDefault="00763AFD" w:rsidP="00763AFD">
                  <w:pPr>
                    <w:tabs>
                      <w:tab w:val="left" w:pos="1650"/>
                    </w:tabs>
                    <w:rPr>
                      <w:rFonts w:ascii="Arial" w:eastAsia="Times New Roman" w:hAnsi="Arial" w:cs="Arial"/>
                    </w:rPr>
                  </w:pPr>
                  <w:r w:rsidRPr="00763AFD">
                    <w:rPr>
                      <w:rFonts w:ascii="Arial" w:eastAsia="Times New Roman" w:hAnsi="Arial" w:cs="Arial"/>
                      <w:sz w:val="22"/>
                      <w:szCs w:val="22"/>
                    </w:rPr>
                    <w:tab/>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1.</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2(6)- Definition of ‘associate company’</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Change in explanation of the term ‘</w:t>
                  </w:r>
                  <w:r w:rsidRPr="00763AFD">
                    <w:rPr>
                      <w:rFonts w:ascii="Arial" w:eastAsia="Times New Roman" w:hAnsi="Arial" w:cs="Arial"/>
                      <w:b/>
                      <w:sz w:val="22"/>
                      <w:szCs w:val="22"/>
                    </w:rPr>
                    <w:t>significant influence’</w:t>
                  </w:r>
                  <w:r w:rsidRPr="00763AFD">
                    <w:rPr>
                      <w:rFonts w:ascii="Arial" w:eastAsia="Times New Roman" w:hAnsi="Arial" w:cs="Arial"/>
                      <w:sz w:val="22"/>
                      <w:szCs w:val="22"/>
                    </w:rPr>
                    <w:t xml:space="preserve"> under the definition of Associate Company has been proposed. Significant influence is proposed to mean control of </w:t>
                  </w:r>
                  <w:proofErr w:type="spellStart"/>
                  <w:r w:rsidRPr="00763AFD">
                    <w:rPr>
                      <w:rFonts w:ascii="Arial" w:eastAsia="Times New Roman" w:hAnsi="Arial" w:cs="Arial"/>
                      <w:sz w:val="22"/>
                      <w:szCs w:val="22"/>
                    </w:rPr>
                    <w:t>atleast</w:t>
                  </w:r>
                  <w:proofErr w:type="spellEnd"/>
                  <w:r w:rsidRPr="00763AFD">
                    <w:rPr>
                      <w:rFonts w:ascii="Arial" w:eastAsia="Times New Roman" w:hAnsi="Arial" w:cs="Arial"/>
                      <w:sz w:val="22"/>
                      <w:szCs w:val="22"/>
                    </w:rPr>
                    <w:t xml:space="preserve"> </w:t>
                  </w:r>
                  <w:r w:rsidRPr="00763AFD">
                    <w:rPr>
                      <w:rFonts w:ascii="Arial" w:eastAsia="Times New Roman" w:hAnsi="Arial" w:cs="Arial"/>
                      <w:b/>
                      <w:sz w:val="22"/>
                      <w:szCs w:val="22"/>
                    </w:rPr>
                    <w:t>20% of the voting power or control or participation</w:t>
                  </w:r>
                  <w:r w:rsidRPr="00763AFD">
                    <w:rPr>
                      <w:rFonts w:ascii="Arial" w:eastAsia="Times New Roman" w:hAnsi="Arial" w:cs="Arial"/>
                      <w:sz w:val="22"/>
                      <w:szCs w:val="22"/>
                    </w:rPr>
                    <w:t xml:space="preserve"> </w:t>
                  </w:r>
                  <w:r w:rsidRPr="00763AFD">
                    <w:rPr>
                      <w:rFonts w:ascii="Arial" w:eastAsia="Times New Roman" w:hAnsi="Arial" w:cs="Arial"/>
                      <w:b/>
                      <w:sz w:val="22"/>
                      <w:szCs w:val="22"/>
                    </w:rPr>
                    <w:t>in business decision</w:t>
                  </w:r>
                  <w:r w:rsidRPr="00763AFD">
                    <w:rPr>
                      <w:rFonts w:ascii="Arial" w:eastAsia="Times New Roman" w:hAnsi="Arial" w:cs="Arial"/>
                      <w:sz w:val="22"/>
                      <w:szCs w:val="22"/>
                    </w:rPr>
                    <w:t xml:space="preserve"> under an agreement. Further the term ‘Joint Venture’ has also been defined.</w:t>
                  </w:r>
                </w:p>
              </w:tc>
              <w:tc>
                <w:tcPr>
                  <w:tcW w:w="8505" w:type="dxa"/>
                  <w:tcBorders>
                    <w:top w:val="outset" w:sz="6" w:space="0" w:color="auto"/>
                    <w:left w:val="outset" w:sz="6" w:space="0" w:color="auto"/>
                    <w:bottom w:val="outset" w:sz="6" w:space="0" w:color="auto"/>
                    <w:right w:val="outset" w:sz="6" w:space="0" w:color="auto"/>
                  </w:tcBorders>
                </w:tcPr>
                <w:p w:rsidR="004361B1" w:rsidRPr="00763AFD" w:rsidRDefault="004361B1" w:rsidP="00763AFD">
                  <w:pPr>
                    <w:pStyle w:val="Default"/>
                    <w:ind w:right="339"/>
                    <w:rPr>
                      <w:color w:val="auto"/>
                      <w:sz w:val="22"/>
                      <w:szCs w:val="22"/>
                    </w:rPr>
                  </w:pPr>
                  <w:r w:rsidRPr="00763AFD">
                    <w:rPr>
                      <w:i/>
                      <w:iCs/>
                      <w:color w:val="auto"/>
                      <w:sz w:val="22"/>
                      <w:szCs w:val="22"/>
                    </w:rPr>
                    <w:t xml:space="preserve">Associate Company </w:t>
                  </w:r>
                </w:p>
                <w:p w:rsidR="004361B1" w:rsidRPr="00763AFD" w:rsidRDefault="004361B1" w:rsidP="00763AFD">
                  <w:pPr>
                    <w:pStyle w:val="Default"/>
                    <w:ind w:right="339"/>
                    <w:rPr>
                      <w:color w:val="auto"/>
                      <w:sz w:val="22"/>
                      <w:szCs w:val="22"/>
                    </w:rPr>
                  </w:pPr>
                  <w:r w:rsidRPr="00763AFD">
                    <w:rPr>
                      <w:color w:val="auto"/>
                      <w:sz w:val="22"/>
                      <w:szCs w:val="22"/>
                    </w:rPr>
                    <w:t>1.1 Section 2 (6) of the Companies Act, 2013 defines the term “</w:t>
                  </w:r>
                  <w:r w:rsidRPr="00763AFD">
                    <w:rPr>
                      <w:i/>
                      <w:iCs/>
                      <w:color w:val="auto"/>
                      <w:sz w:val="22"/>
                      <w:szCs w:val="22"/>
                    </w:rPr>
                    <w:t>associate company</w:t>
                  </w:r>
                  <w:r w:rsidRPr="00763AFD">
                    <w:rPr>
                      <w:color w:val="auto"/>
                      <w:sz w:val="22"/>
                      <w:szCs w:val="22"/>
                    </w:rPr>
                    <w:t xml:space="preserve">”, in relation to another company, to mean a company in which the other company has a significant influence, but is not a subsidiary company of the company having such influence, and also includes a </w:t>
                  </w:r>
                  <w:r w:rsidRPr="00763AFD">
                    <w:rPr>
                      <w:i/>
                      <w:iCs/>
                      <w:color w:val="auto"/>
                      <w:sz w:val="22"/>
                      <w:szCs w:val="22"/>
                    </w:rPr>
                    <w:t>joint venture company</w:t>
                  </w:r>
                  <w:r w:rsidRPr="00763AFD">
                    <w:rPr>
                      <w:color w:val="auto"/>
                      <w:sz w:val="22"/>
                      <w:szCs w:val="22"/>
                    </w:rPr>
                    <w:t>. The Explanation to Section 2(6) defines the phrase “</w:t>
                  </w:r>
                  <w:r w:rsidRPr="00763AFD">
                    <w:rPr>
                      <w:i/>
                      <w:iCs/>
                      <w:color w:val="auto"/>
                      <w:sz w:val="22"/>
                      <w:szCs w:val="22"/>
                    </w:rPr>
                    <w:t>significant influence</w:t>
                  </w:r>
                  <w:r w:rsidRPr="00763AFD">
                    <w:rPr>
                      <w:color w:val="auto"/>
                      <w:sz w:val="22"/>
                      <w:szCs w:val="22"/>
                    </w:rPr>
                    <w:t>” to mean control of at least twenty per cent of the total share capital, or of business decisions under an agreement. The term “</w:t>
                  </w:r>
                  <w:r w:rsidRPr="00763AFD">
                    <w:rPr>
                      <w:i/>
                      <w:iCs/>
                      <w:color w:val="auto"/>
                      <w:sz w:val="22"/>
                      <w:szCs w:val="22"/>
                    </w:rPr>
                    <w:t>total share capital</w:t>
                  </w:r>
                  <w:r w:rsidRPr="00763AFD">
                    <w:rPr>
                      <w:color w:val="auto"/>
                      <w:sz w:val="22"/>
                      <w:szCs w:val="22"/>
                    </w:rPr>
                    <w:t xml:space="preserve">” has been defined in Rule 2(1) (r) of the Companies (Specification of Definitions Details) Rules, 2014, to mean the aggregate of (a) paid-up equity share capital; and (b) convertible preference share capital. </w:t>
                  </w:r>
                </w:p>
                <w:p w:rsidR="004361B1" w:rsidRPr="00763AFD" w:rsidRDefault="004361B1" w:rsidP="00763AFD">
                  <w:pPr>
                    <w:pStyle w:val="Default"/>
                    <w:ind w:right="339"/>
                    <w:rPr>
                      <w:color w:val="auto"/>
                      <w:sz w:val="22"/>
                      <w:szCs w:val="22"/>
                    </w:rPr>
                  </w:pPr>
                </w:p>
                <w:p w:rsidR="004361B1" w:rsidRPr="00763AFD" w:rsidRDefault="004361B1" w:rsidP="00763AFD">
                  <w:pPr>
                    <w:pStyle w:val="Default"/>
                    <w:ind w:right="339"/>
                    <w:rPr>
                      <w:color w:val="auto"/>
                      <w:sz w:val="22"/>
                      <w:szCs w:val="22"/>
                    </w:rPr>
                  </w:pPr>
                  <w:r w:rsidRPr="00763AFD">
                    <w:rPr>
                      <w:color w:val="auto"/>
                      <w:sz w:val="22"/>
                      <w:szCs w:val="22"/>
                    </w:rPr>
                    <w:t xml:space="preserve">1.2 It was stated to the Committee that this definition and the definition in the Accounting Standards (and the Listing Regulations, which also refers to the Accounting Standards definition), which excludes joint ventures, etc. were not consistent. It was also noted that the Accounting Standards defined joint ventures separately, and that the treatment for consolidation, related party disclosures, etc. for associates and joint ventures made the usage of the term in the Act at odds with the usage in the Accounting Standards. The Committee felt that to the extent that the term ‘associate company’ has been linked to corporate governance requirements prescribed in the Act, such as for determining interests in transactions, for ensuring independence in the appointments of independent directors, auditors, etc., it may not require any change other than those recommended in the following two paragraphs. Clarity would also be required in its usage for the purpose of consolidation of accounts, which has been addressed in paragraph 9.5 of Part I of this report. </w:t>
                  </w:r>
                </w:p>
                <w:p w:rsidR="004361B1" w:rsidRPr="00763AFD" w:rsidRDefault="004361B1" w:rsidP="00763AFD">
                  <w:pPr>
                    <w:pStyle w:val="Default"/>
                    <w:ind w:right="339"/>
                    <w:rPr>
                      <w:color w:val="auto"/>
                      <w:sz w:val="22"/>
                      <w:szCs w:val="22"/>
                    </w:rPr>
                  </w:pPr>
                </w:p>
                <w:p w:rsidR="004361B1" w:rsidRPr="00763AFD" w:rsidRDefault="004361B1" w:rsidP="00763AFD">
                  <w:pPr>
                    <w:pStyle w:val="Default"/>
                    <w:ind w:right="339"/>
                    <w:rPr>
                      <w:color w:val="auto"/>
                      <w:sz w:val="22"/>
                      <w:szCs w:val="22"/>
                    </w:rPr>
                  </w:pPr>
                  <w:r w:rsidRPr="00763AFD">
                    <w:rPr>
                      <w:color w:val="auto"/>
                      <w:sz w:val="22"/>
                      <w:szCs w:val="22"/>
                    </w:rPr>
                    <w:t xml:space="preserve">1.3 The Committee further noted that the term </w:t>
                  </w:r>
                  <w:r w:rsidRPr="00763AFD">
                    <w:rPr>
                      <w:i/>
                      <w:iCs/>
                      <w:color w:val="auto"/>
                      <w:sz w:val="22"/>
                      <w:szCs w:val="22"/>
                    </w:rPr>
                    <w:t>“significant influence”</w:t>
                  </w:r>
                  <w:r w:rsidRPr="00763AFD">
                    <w:rPr>
                      <w:color w:val="auto"/>
                      <w:sz w:val="22"/>
                      <w:szCs w:val="22"/>
                    </w:rPr>
                    <w:t xml:space="preserve">, in the Explanation </w:t>
                  </w:r>
                  <w:r w:rsidRPr="00763AFD">
                    <w:rPr>
                      <w:color w:val="auto"/>
                      <w:sz w:val="22"/>
                      <w:szCs w:val="22"/>
                    </w:rPr>
                    <w:lastRenderedPageBreak/>
                    <w:t xml:space="preserve">to Section 2(6), refers to ‘total share capital’ which includes preference share capital. Replacing ‘total share capital’ with ‘total voting power’ would be consistent with accepted principles. </w:t>
                  </w:r>
                  <w:r w:rsidRPr="00763AFD">
                    <w:rPr>
                      <w:b/>
                      <w:bCs/>
                      <w:color w:val="auto"/>
                      <w:sz w:val="22"/>
                      <w:szCs w:val="22"/>
                    </w:rPr>
                    <w:t xml:space="preserve">The Committee, therefore, further recommended that the Explanation to Section 2(6) should read as “For the purposes of this clause, ‘significant influence’ means control of at least twenty per cent of the total voting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2.</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2(30)- Definition of ‘Debenture’</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Under the definition of the terms “Debentures”, it is proposed to exclude instruments referred to in Chapter III-D of the Reserve Bank of India Act 1943 and such other instrument prescribed by the Central Government in consultation with RBI.</w:t>
                  </w:r>
                </w:p>
              </w:tc>
              <w:tc>
                <w:tcPr>
                  <w:tcW w:w="8505" w:type="dxa"/>
                  <w:tcBorders>
                    <w:top w:val="outset" w:sz="6" w:space="0" w:color="auto"/>
                    <w:left w:val="outset" w:sz="6" w:space="0" w:color="auto"/>
                    <w:bottom w:val="outset" w:sz="6" w:space="0" w:color="auto"/>
                    <w:right w:val="outset" w:sz="6" w:space="0" w:color="auto"/>
                  </w:tcBorders>
                </w:tcPr>
                <w:p w:rsidR="004361B1" w:rsidRPr="00763AFD" w:rsidRDefault="004361B1" w:rsidP="00763AFD">
                  <w:pPr>
                    <w:pStyle w:val="Default"/>
                    <w:ind w:right="339"/>
                    <w:rPr>
                      <w:color w:val="auto"/>
                      <w:sz w:val="22"/>
                      <w:szCs w:val="22"/>
                    </w:rPr>
                  </w:pPr>
                  <w:r w:rsidRPr="00763AFD">
                    <w:rPr>
                      <w:color w:val="auto"/>
                      <w:sz w:val="22"/>
                      <w:szCs w:val="22"/>
                    </w:rPr>
                    <w:t xml:space="preserve">Section 2(30) defines the term </w:t>
                  </w:r>
                  <w:r w:rsidRPr="00763AFD">
                    <w:rPr>
                      <w:i/>
                      <w:iCs/>
                      <w:color w:val="auto"/>
                      <w:sz w:val="22"/>
                      <w:szCs w:val="22"/>
                    </w:rPr>
                    <w:t xml:space="preserve">“debenture” </w:t>
                  </w:r>
                  <w:r w:rsidRPr="00763AFD">
                    <w:rPr>
                      <w:color w:val="auto"/>
                      <w:sz w:val="22"/>
                      <w:szCs w:val="22"/>
                    </w:rPr>
                    <w:t>to include debenture stock, bonds “</w:t>
                  </w:r>
                  <w:r w:rsidRPr="00763AFD">
                    <w:rPr>
                      <w:i/>
                      <w:iCs/>
                      <w:color w:val="auto"/>
                      <w:sz w:val="22"/>
                      <w:szCs w:val="22"/>
                    </w:rPr>
                    <w:t xml:space="preserve">or any other instrument of a company evidencing a debt”, </w:t>
                  </w:r>
                  <w:r w:rsidRPr="00763AFD">
                    <w:rPr>
                      <w:color w:val="auto"/>
                      <w:sz w:val="22"/>
                      <w:szCs w:val="22"/>
                    </w:rPr>
                    <w:t xml:space="preserve">whether constituting a charge on the assets of the company or not. It had been pointed out that the phrase </w:t>
                  </w:r>
                  <w:r w:rsidRPr="00763AFD">
                    <w:rPr>
                      <w:i/>
                      <w:iCs/>
                      <w:color w:val="auto"/>
                      <w:sz w:val="22"/>
                      <w:szCs w:val="22"/>
                    </w:rPr>
                    <w:t xml:space="preserve">“any other instrument of a company evidencing a debt” </w:t>
                  </w:r>
                  <w:r w:rsidRPr="00763AFD">
                    <w:rPr>
                      <w:color w:val="auto"/>
                      <w:sz w:val="22"/>
                      <w:szCs w:val="22"/>
                    </w:rPr>
                    <w:t xml:space="preserve">appearing in the definition made it very broad and included, by implication, instruments like commercial papers and other money market instruments, which were often used as an important short-term fund raising source by eligible companies; and were well regulated under RBI regulations. It was put to the Committee, that treatment of money market instruments and such other instruments as debentures would give rise to difficulties. In this regard, it was also noted that through an amendment to Rule 18 of the Companies (Share Capital and Debenture) Rules, 2014 in March 2015, it was clarified that the raising of monies through commercial papers would not be governed by the Rules pertaining to the issue of debentures. </w:t>
                  </w:r>
                  <w:r w:rsidRPr="00763AFD">
                    <w:rPr>
                      <w:b/>
                      <w:bCs/>
                      <w:color w:val="auto"/>
                      <w:sz w:val="22"/>
                      <w:szCs w:val="22"/>
                    </w:rPr>
                    <w:t xml:space="preserve">The Committee, however, felt that an exception be made for instruments covered under Chapter III D of the RBI Act, 1934 in the term ‘debenture’ as defined in Section 2 (30) of the Companies Act, 2013. In addition, an exception may also be made for deposits accepted by banking companies, and flexibility be given to the Central Government, in consultation with RBI and SEBI, as applicable, to carve out other instruments from the definition, as may be required. </w:t>
                  </w:r>
                </w:p>
                <w:p w:rsidR="009F1DFD" w:rsidRPr="00763AFD" w:rsidRDefault="009F1DFD" w:rsidP="00763AFD">
                  <w:pPr>
                    <w:spacing w:line="330" w:lineRule="atLeast"/>
                    <w:ind w:right="339"/>
                    <w:jc w:val="both"/>
                    <w:rPr>
                      <w:rFonts w:ascii="Arial" w:eastAsia="Times New Roman" w:hAnsi="Arial" w:cs="Arial"/>
                    </w:rPr>
                  </w:pPr>
                </w:p>
              </w:tc>
            </w:tr>
            <w:tr w:rsidR="008F415F" w:rsidRPr="00763AFD" w:rsidTr="00FC1EC2">
              <w:trPr>
                <w:trHeight w:val="569"/>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p>
              </w:tc>
              <w:tc>
                <w:tcPr>
                  <w:tcW w:w="1418"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Style w:val="Strong"/>
                      <w:rFonts w:ascii="Arial" w:eastAsia="Times New Roman" w:hAnsi="Arial" w:cs="Arial"/>
                    </w:rPr>
                  </w:pPr>
                </w:p>
              </w:tc>
              <w:tc>
                <w:tcPr>
                  <w:tcW w:w="13324" w:type="dxa"/>
                  <w:gridSpan w:val="2"/>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Cost Accountant</w:t>
                  </w:r>
                  <w:r w:rsidRPr="00763AFD">
                    <w:rPr>
                      <w:rFonts w:ascii="Arial" w:eastAsia="Times New Roman" w:hAnsi="Arial" w:cs="Arial"/>
                      <w:sz w:val="22"/>
                      <w:szCs w:val="22"/>
                    </w:rPr>
                    <w:t xml:space="preserve"> </w:t>
                  </w:r>
                  <w:r>
                    <w:rPr>
                      <w:rFonts w:ascii="Arial" w:eastAsia="Times New Roman" w:hAnsi="Arial" w:cs="Arial"/>
                      <w:sz w:val="22"/>
                      <w:szCs w:val="22"/>
                    </w:rPr>
                    <w:t xml:space="preserve"> means </w:t>
                  </w:r>
                  <w:r w:rsidRPr="00763AFD">
                    <w:rPr>
                      <w:rFonts w:ascii="Arial" w:eastAsia="Times New Roman" w:hAnsi="Arial" w:cs="Arial"/>
                      <w:sz w:val="22"/>
                      <w:szCs w:val="22"/>
                    </w:rPr>
                    <w:t xml:space="preserve">Defined under ICWA Act 1959 &amp; </w:t>
                  </w:r>
                  <w:r w:rsidRPr="00763AFD">
                    <w:rPr>
                      <w:rFonts w:ascii="Arial" w:eastAsia="Times New Roman" w:hAnsi="Arial" w:cs="Arial"/>
                      <w:b/>
                      <w:sz w:val="22"/>
                      <w:szCs w:val="22"/>
                    </w:rPr>
                    <w:t>holding COP</w:t>
                  </w:r>
                </w:p>
              </w:tc>
            </w:tr>
            <w:tr w:rsidR="008F415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3.</w:t>
                  </w:r>
                </w:p>
              </w:tc>
              <w:tc>
                <w:tcPr>
                  <w:tcW w:w="1418"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p>
              </w:tc>
              <w:tc>
                <w:tcPr>
                  <w:tcW w:w="13324" w:type="dxa"/>
                  <w:gridSpan w:val="2"/>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Pr>
                      <w:rFonts w:ascii="Arial" w:eastAsia="Times New Roman" w:hAnsi="Arial" w:cs="Arial"/>
                      <w:sz w:val="22"/>
                      <w:szCs w:val="22"/>
                    </w:rPr>
                    <w:t xml:space="preserve">  </w:t>
                  </w:r>
                  <w:r w:rsidRPr="00763AFD">
                    <w:rPr>
                      <w:rFonts w:ascii="Arial" w:eastAsia="Times New Roman" w:hAnsi="Arial" w:cs="Arial"/>
                      <w:sz w:val="22"/>
                      <w:szCs w:val="22"/>
                    </w:rPr>
                    <w:t xml:space="preserve">Under the definition of the term </w:t>
                  </w:r>
                  <w:r w:rsidRPr="00763AFD">
                    <w:rPr>
                      <w:rFonts w:ascii="Arial" w:eastAsia="Times New Roman" w:hAnsi="Arial" w:cs="Arial"/>
                      <w:b/>
                      <w:sz w:val="22"/>
                      <w:szCs w:val="22"/>
                    </w:rPr>
                    <w:t>“Key Managerial Personnel”</w:t>
                  </w:r>
                  <w:r w:rsidRPr="00763AFD">
                    <w:rPr>
                      <w:rFonts w:ascii="Arial" w:eastAsia="Times New Roman" w:hAnsi="Arial" w:cs="Arial"/>
                      <w:sz w:val="22"/>
                      <w:szCs w:val="22"/>
                    </w:rPr>
                    <w:t xml:space="preserve">, Officers not more than one level below the directors who is in </w:t>
                  </w:r>
                  <w:r w:rsidR="00E82384">
                    <w:rPr>
                      <w:rFonts w:ascii="Arial" w:eastAsia="Times New Roman" w:hAnsi="Arial" w:cs="Arial"/>
                      <w:sz w:val="22"/>
                      <w:szCs w:val="22"/>
                    </w:rPr>
                    <w:t xml:space="preserve"> </w:t>
                  </w:r>
                  <w:r w:rsidRPr="00763AFD">
                    <w:rPr>
                      <w:rFonts w:ascii="Arial" w:eastAsia="Times New Roman" w:hAnsi="Arial" w:cs="Arial"/>
                      <w:sz w:val="22"/>
                      <w:szCs w:val="22"/>
                    </w:rPr>
                    <w:t>whole time employment, designated as KMP by the Board, are proposed to be included.</w:t>
                  </w:r>
                  <w:r>
                    <w:rPr>
                      <w:rFonts w:ascii="Arial" w:eastAsia="Times New Roman" w:hAnsi="Arial" w:cs="Arial"/>
                      <w:sz w:val="22"/>
                      <w:szCs w:val="22"/>
                    </w:rPr>
                    <w:t xml:space="preserve"> </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4.</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2(76)- Definition of ‘Related Party’</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8F415F">
                    <w:rPr>
                      <w:rFonts w:ascii="Arial" w:eastAsia="Times New Roman" w:hAnsi="Arial" w:cs="Arial"/>
                      <w:b/>
                      <w:sz w:val="22"/>
                      <w:szCs w:val="22"/>
                    </w:rPr>
                    <w:t>Foreign subsidiaries</w:t>
                  </w:r>
                  <w:r w:rsidRPr="00763AFD">
                    <w:rPr>
                      <w:rFonts w:ascii="Arial" w:eastAsia="Times New Roman" w:hAnsi="Arial" w:cs="Arial"/>
                      <w:sz w:val="22"/>
                      <w:szCs w:val="22"/>
                    </w:rPr>
                    <w:t xml:space="preserve"> are proposed to be treated as </w:t>
                  </w:r>
                  <w:r w:rsidRPr="008F415F">
                    <w:rPr>
                      <w:rFonts w:ascii="Arial" w:eastAsia="Times New Roman" w:hAnsi="Arial" w:cs="Arial"/>
                      <w:b/>
                      <w:sz w:val="22"/>
                      <w:szCs w:val="22"/>
                    </w:rPr>
                    <w:t>the related party</w:t>
                  </w:r>
                  <w:r w:rsidRPr="00763AFD">
                    <w:rPr>
                      <w:rFonts w:ascii="Arial" w:eastAsia="Times New Roman" w:hAnsi="Arial" w:cs="Arial"/>
                      <w:sz w:val="22"/>
                      <w:szCs w:val="22"/>
                    </w:rPr>
                    <w:t>. Further an investing company or the venture of a company are also proposed to be considered as related party.</w:t>
                  </w:r>
                </w:p>
              </w:tc>
              <w:tc>
                <w:tcPr>
                  <w:tcW w:w="8505" w:type="dxa"/>
                  <w:tcBorders>
                    <w:top w:val="outset" w:sz="6" w:space="0" w:color="auto"/>
                    <w:left w:val="outset" w:sz="6" w:space="0" w:color="auto"/>
                    <w:bottom w:val="outset" w:sz="6" w:space="0" w:color="auto"/>
                    <w:right w:val="outset" w:sz="6" w:space="0" w:color="auto"/>
                  </w:tcBorders>
                </w:tcPr>
                <w:p w:rsidR="004361B1" w:rsidRPr="00763AFD" w:rsidRDefault="004361B1" w:rsidP="00763AFD">
                  <w:pPr>
                    <w:pStyle w:val="Default"/>
                    <w:ind w:right="339"/>
                    <w:rPr>
                      <w:color w:val="auto"/>
                      <w:sz w:val="22"/>
                      <w:szCs w:val="22"/>
                    </w:rPr>
                  </w:pPr>
                  <w:r w:rsidRPr="00763AFD">
                    <w:rPr>
                      <w:i/>
                      <w:iCs/>
                      <w:color w:val="auto"/>
                      <w:sz w:val="22"/>
                      <w:szCs w:val="22"/>
                    </w:rPr>
                    <w:t xml:space="preserve">Related Party </w:t>
                  </w:r>
                </w:p>
                <w:p w:rsidR="004361B1" w:rsidRPr="00763AFD" w:rsidRDefault="004361B1" w:rsidP="00763AFD">
                  <w:pPr>
                    <w:pStyle w:val="Default"/>
                    <w:ind w:right="339"/>
                    <w:rPr>
                      <w:color w:val="auto"/>
                      <w:sz w:val="22"/>
                      <w:szCs w:val="22"/>
                    </w:rPr>
                  </w:pPr>
                  <w:r w:rsidRPr="00763AFD">
                    <w:rPr>
                      <w:color w:val="auto"/>
                      <w:sz w:val="22"/>
                      <w:szCs w:val="22"/>
                    </w:rPr>
                    <w:t xml:space="preserve">1.20 Suggestions were received by the Committee, pointing out that the term </w:t>
                  </w:r>
                  <w:r w:rsidRPr="00763AFD">
                    <w:rPr>
                      <w:i/>
                      <w:iCs/>
                      <w:color w:val="auto"/>
                      <w:sz w:val="22"/>
                      <w:szCs w:val="22"/>
                    </w:rPr>
                    <w:t xml:space="preserve">“related party”, </w:t>
                  </w:r>
                  <w:r w:rsidRPr="00763AFD">
                    <w:rPr>
                      <w:color w:val="auto"/>
                      <w:sz w:val="22"/>
                      <w:szCs w:val="22"/>
                    </w:rPr>
                    <w:t xml:space="preserve">as currently defined, used the word ‘company’ in Section 2(76)(viii), meaning thereby that those entities that were incorporated in India would come in the purview of the definition. This resulted in the impression that companies incorporated outside India (such as holding/ subsidiary/ associate / fellow subsidiary of an Indian company) were excluded from the purview of related party of an Indian company. It noted that this would be unintentional and would seriously affect the compliance requirements of related parties </w:t>
                  </w:r>
                  <w:r w:rsidRPr="00763AFD">
                    <w:rPr>
                      <w:color w:val="auto"/>
                      <w:sz w:val="22"/>
                      <w:szCs w:val="22"/>
                    </w:rPr>
                    <w:lastRenderedPageBreak/>
                    <w:t xml:space="preserve">under the Act. </w:t>
                  </w:r>
                  <w:r w:rsidRPr="00763AFD">
                    <w:rPr>
                      <w:b/>
                      <w:bCs/>
                      <w:color w:val="auto"/>
                      <w:sz w:val="22"/>
                      <w:szCs w:val="22"/>
                    </w:rPr>
                    <w:t xml:space="preserve">The Committee, therefore, recommended that Section 2 (76) (viii) be amended to substitute ‘company’ with ‘body corporate’ and should also include investing company or the </w:t>
                  </w:r>
                  <w:proofErr w:type="spellStart"/>
                  <w:r w:rsidRPr="00763AFD">
                    <w:rPr>
                      <w:b/>
                      <w:bCs/>
                      <w:color w:val="auto"/>
                      <w:sz w:val="22"/>
                      <w:szCs w:val="22"/>
                    </w:rPr>
                    <w:t>venturer</w:t>
                  </w:r>
                  <w:proofErr w:type="spellEnd"/>
                  <w:r w:rsidRPr="00763AFD">
                    <w:rPr>
                      <w:b/>
                      <w:bCs/>
                      <w:color w:val="auto"/>
                      <w:sz w:val="22"/>
                      <w:szCs w:val="22"/>
                    </w:rPr>
                    <w:t xml:space="preserve"> of a company in sub-clause (viii)(A) thereof. In addition, the Committee also felt that the fifth and sixth Removal of Difficulty Orders of 2014, issued to plug unintentional loopholes be brought into the Act through an amendment. </w:t>
                  </w:r>
                </w:p>
                <w:p w:rsidR="009F1DFD" w:rsidRPr="00763AFD" w:rsidRDefault="009F1DFD" w:rsidP="00763AFD">
                  <w:pPr>
                    <w:spacing w:line="330" w:lineRule="atLeast"/>
                    <w:ind w:right="339"/>
                    <w:jc w:val="both"/>
                    <w:rPr>
                      <w:rFonts w:ascii="Arial" w:eastAsia="Times New Roman" w:hAnsi="Arial" w:cs="Arial"/>
                    </w:rPr>
                  </w:pPr>
                </w:p>
              </w:tc>
            </w:tr>
            <w:tr w:rsidR="008F415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5.</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2(87)- Definition of ‘subsidiary company’</w:t>
                  </w:r>
                  <w:r>
                    <w:rPr>
                      <w:rStyle w:val="Strong"/>
                      <w:rFonts w:ascii="Arial" w:eastAsia="Times New Roman" w:hAnsi="Arial" w:cs="Arial"/>
                      <w:sz w:val="22"/>
                      <w:szCs w:val="22"/>
                    </w:rPr>
                    <w:t xml:space="preserve"> - </w:t>
                  </w:r>
                  <w:r w:rsidRPr="00763AFD">
                    <w:rPr>
                      <w:rFonts w:ascii="Arial" w:eastAsia="Times New Roman" w:hAnsi="Arial" w:cs="Arial"/>
                      <w:sz w:val="22"/>
                      <w:szCs w:val="22"/>
                    </w:rPr>
                    <w:t xml:space="preserve">It is proposed that a company will be treated as subsidiary in case the holding company exercises or controls more than </w:t>
                  </w:r>
                  <w:r w:rsidRPr="001933E7">
                    <w:rPr>
                      <w:rFonts w:ascii="Arial" w:eastAsia="Times New Roman" w:hAnsi="Arial" w:cs="Arial"/>
                      <w:b/>
                      <w:sz w:val="22"/>
                      <w:szCs w:val="22"/>
                    </w:rPr>
                    <w:t>one-half to the total voting power</w:t>
                  </w:r>
                  <w:r w:rsidRPr="00763AFD">
                    <w:rPr>
                      <w:rFonts w:ascii="Arial" w:eastAsia="Times New Roman" w:hAnsi="Arial" w:cs="Arial"/>
                      <w:sz w:val="22"/>
                      <w:szCs w:val="22"/>
                    </w:rPr>
                    <w:t xml:space="preserve"> either at its own or together with one or more of its subsidiary companies. Currently instead of ‘total voting power’, ‘total share capital’ is used.</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6.</w:t>
                  </w:r>
                </w:p>
              </w:tc>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4- Memorandum</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instead of specific objects in the Memorandum of Association of the Company, the Memorandum may state that the company may engage in any lawful act or activity or business, or any act or activity or business to pursue any specific object or objects, as per the law for the time being in force. Provided that in case a company proposes to pursue any specific objector objects or restrict its objects, the Memorandum shall state </w:t>
                  </w:r>
                  <w:proofErr w:type="spellStart"/>
                  <w:r w:rsidRPr="00763AFD">
                    <w:rPr>
                      <w:rFonts w:ascii="Arial" w:eastAsia="Times New Roman" w:hAnsi="Arial" w:cs="Arial"/>
                      <w:sz w:val="22"/>
                      <w:szCs w:val="22"/>
                    </w:rPr>
                    <w:t>the</w:t>
                  </w:r>
                  <w:proofErr w:type="spellEnd"/>
                  <w:r w:rsidRPr="00763AFD">
                    <w:rPr>
                      <w:rFonts w:ascii="Arial" w:eastAsia="Times New Roman" w:hAnsi="Arial" w:cs="Arial"/>
                      <w:sz w:val="22"/>
                      <w:szCs w:val="22"/>
                    </w:rPr>
                    <w:t xml:space="preserve"> said object or objects for which the company is incorporated and any matter considered necessary in furtherance thereof and in such case the company shall not pursue any act or activity or business, other than specific objects stated in the Memorandum.</w:t>
                  </w:r>
                </w:p>
                <w:p w:rsidR="009F1DFD" w:rsidRPr="00763AFD" w:rsidRDefault="009F1DFD" w:rsidP="00763AFD">
                  <w:pPr>
                    <w:spacing w:line="330" w:lineRule="atLeast"/>
                    <w:ind w:right="339"/>
                    <w:jc w:val="both"/>
                    <w:rPr>
                      <w:rFonts w:ascii="Arial" w:eastAsia="Times New Roman" w:hAnsi="Arial" w:cs="Arial"/>
                    </w:rPr>
                  </w:pPr>
                </w:p>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New Bill allow</w:t>
                  </w:r>
                  <w:r w:rsidRPr="00763AFD">
                    <w:rPr>
                      <w:rFonts w:ascii="Arial" w:eastAsia="Times New Roman" w:hAnsi="Arial" w:cs="Arial"/>
                      <w:b/>
                      <w:sz w:val="22"/>
                      <w:szCs w:val="22"/>
                    </w:rPr>
                    <w:t xml:space="preserve"> unrestricted object clause</w:t>
                  </w:r>
                  <w:r w:rsidRPr="00763AFD">
                    <w:rPr>
                      <w:rFonts w:ascii="Arial" w:eastAsia="Times New Roman" w:hAnsi="Arial" w:cs="Arial"/>
                      <w:sz w:val="22"/>
                      <w:szCs w:val="22"/>
                    </w:rPr>
                    <w:t xml:space="preserve"> in the Memorandum of Association dispensing with detailed listing of objects, </w:t>
                  </w:r>
                  <w:r w:rsidRPr="00763AFD">
                    <w:rPr>
                      <w:rFonts w:ascii="Arial" w:eastAsia="Times New Roman" w:hAnsi="Arial" w:cs="Arial"/>
                      <w:sz w:val="22"/>
                      <w:szCs w:val="22"/>
                    </w:rPr>
                    <w:lastRenderedPageBreak/>
                    <w:t>self-declarations to replace affidavits from subscribers to memorandum and first directors</w:t>
                  </w:r>
                </w:p>
              </w:tc>
              <w:tc>
                <w:tcPr>
                  <w:tcW w:w="8505" w:type="dxa"/>
                  <w:tcBorders>
                    <w:top w:val="outset" w:sz="6" w:space="0" w:color="auto"/>
                    <w:left w:val="outset" w:sz="6" w:space="0" w:color="auto"/>
                    <w:bottom w:val="outset" w:sz="6" w:space="0" w:color="auto"/>
                    <w:right w:val="outset" w:sz="6" w:space="0" w:color="auto"/>
                  </w:tcBorders>
                </w:tcPr>
                <w:p w:rsidR="004F6175" w:rsidRPr="00763AFD" w:rsidRDefault="004F6175" w:rsidP="00763AFD">
                  <w:pPr>
                    <w:pStyle w:val="Default"/>
                    <w:ind w:right="339"/>
                    <w:rPr>
                      <w:color w:val="auto"/>
                      <w:sz w:val="22"/>
                      <w:szCs w:val="22"/>
                    </w:rPr>
                  </w:pPr>
                  <w:r w:rsidRPr="00763AFD">
                    <w:rPr>
                      <w:i/>
                      <w:iCs/>
                      <w:color w:val="auto"/>
                      <w:sz w:val="22"/>
                      <w:szCs w:val="22"/>
                    </w:rPr>
                    <w:lastRenderedPageBreak/>
                    <w:t xml:space="preserve">Memorandum </w:t>
                  </w:r>
                </w:p>
                <w:p w:rsidR="004F6175" w:rsidRPr="00763AFD" w:rsidRDefault="004F6175" w:rsidP="00763AFD">
                  <w:pPr>
                    <w:pStyle w:val="Default"/>
                    <w:ind w:right="339"/>
                    <w:rPr>
                      <w:color w:val="auto"/>
                      <w:sz w:val="22"/>
                      <w:szCs w:val="22"/>
                    </w:rPr>
                  </w:pPr>
                  <w:r w:rsidRPr="00763AFD">
                    <w:rPr>
                      <w:color w:val="auto"/>
                      <w:sz w:val="22"/>
                      <w:szCs w:val="22"/>
                    </w:rPr>
                    <w:t>2.1 Section 4 of the Act requires a company to have a ‘Memorandum of Association’ (</w:t>
                  </w:r>
                  <w:r w:rsidRPr="00763AFD">
                    <w:rPr>
                      <w:b/>
                      <w:bCs/>
                      <w:i/>
                      <w:iCs/>
                      <w:color w:val="auto"/>
                      <w:sz w:val="22"/>
                      <w:szCs w:val="22"/>
                    </w:rPr>
                    <w:t>MOA</w:t>
                  </w:r>
                  <w:r w:rsidRPr="00763AFD">
                    <w:rPr>
                      <w:color w:val="auto"/>
                      <w:sz w:val="22"/>
                      <w:szCs w:val="22"/>
                    </w:rPr>
                    <w:t xml:space="preserve">), which has to be subscribed to by the persons incorporating a company. The Companies Act, 2013 has done away with the bifurcation of objects into ‘main’ and ‘other’ objects. Instead, Section 4(1)(c) and Schedule I require the MOA of every company to state </w:t>
                  </w:r>
                  <w:r w:rsidRPr="00763AFD">
                    <w:rPr>
                      <w:i/>
                      <w:iCs/>
                      <w:color w:val="auto"/>
                      <w:sz w:val="22"/>
                      <w:szCs w:val="22"/>
                    </w:rPr>
                    <w:t xml:space="preserve">“the objects for which the company is proposed to be incorporated and any matter considered necessary in furtherance thereof.” </w:t>
                  </w:r>
                  <w:r w:rsidRPr="00763AFD">
                    <w:rPr>
                      <w:color w:val="auto"/>
                      <w:sz w:val="22"/>
                      <w:szCs w:val="22"/>
                    </w:rPr>
                    <w:t xml:space="preserve">While the new Act has liberalised the manner of specifying the objects in the </w:t>
                  </w:r>
                  <w:proofErr w:type="spellStart"/>
                  <w:r w:rsidRPr="00763AFD">
                    <w:rPr>
                      <w:color w:val="auto"/>
                      <w:sz w:val="22"/>
                      <w:szCs w:val="22"/>
                    </w:rPr>
                    <w:t>MoA</w:t>
                  </w:r>
                  <w:proofErr w:type="spellEnd"/>
                  <w:r w:rsidRPr="00763AFD">
                    <w:rPr>
                      <w:color w:val="auto"/>
                      <w:sz w:val="22"/>
                      <w:szCs w:val="22"/>
                    </w:rPr>
                    <w:t xml:space="preserve">, certain problems in implementation were reported, such as, for the approval of name of a company, and the allotment of Corporate Identity Number for a company with multiple objects. The English Companies Act, 2006 provides that a company’s objects will be unrestricted, unless the articles specifically restrict them. With annual reporting on the major activities undertaken by a company, there are adequate provisions for disclosures on the current objects of a company. </w:t>
                  </w:r>
                  <w:proofErr w:type="spellStart"/>
                  <w:r w:rsidRPr="00763AFD">
                    <w:rPr>
                      <w:color w:val="auto"/>
                      <w:sz w:val="22"/>
                      <w:szCs w:val="22"/>
                    </w:rPr>
                    <w:t>Sectoral</w:t>
                  </w:r>
                  <w:proofErr w:type="spellEnd"/>
                  <w:r w:rsidRPr="00763AFD">
                    <w:rPr>
                      <w:color w:val="auto"/>
                      <w:sz w:val="22"/>
                      <w:szCs w:val="22"/>
                    </w:rPr>
                    <w:t xml:space="preserve"> regulators can always prescribe restrictive criteria to suit their requirements. </w:t>
                  </w:r>
                  <w:r w:rsidRPr="00763AFD">
                    <w:rPr>
                      <w:b/>
                      <w:bCs/>
                      <w:color w:val="auto"/>
                      <w:sz w:val="22"/>
                      <w:szCs w:val="22"/>
                    </w:rPr>
                    <w:t xml:space="preserve">The Committee, therefore, recommended for a more liberal operational regime for companies. To provide for this, the Committee recommended that Section 4(1)(c) should be amended appropriately, to allow companies the additional option to have a generic object clause, i.e., </w:t>
                  </w:r>
                  <w:r w:rsidRPr="00763AFD">
                    <w:rPr>
                      <w:b/>
                      <w:bCs/>
                      <w:i/>
                      <w:iCs/>
                      <w:color w:val="auto"/>
                      <w:sz w:val="22"/>
                      <w:szCs w:val="22"/>
                    </w:rPr>
                    <w:t xml:space="preserve">“to engage in any lawful act or activity or business as per the law for the time being in force” </w:t>
                  </w:r>
                  <w:r w:rsidRPr="00763AFD">
                    <w:rPr>
                      <w:b/>
                      <w:bCs/>
                      <w:color w:val="auto"/>
                      <w:sz w:val="22"/>
                      <w:szCs w:val="22"/>
                    </w:rPr>
                    <w:t xml:space="preserve">in the MOA.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7.</w:t>
                  </w:r>
                </w:p>
              </w:tc>
              <w:tc>
                <w:tcPr>
                  <w:tcW w:w="1418" w:type="dxa"/>
                  <w:vMerge/>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ind w:right="339"/>
                    <w:rPr>
                      <w:rFonts w:ascii="Arial" w:eastAsia="Times New Roman" w:hAnsi="Arial" w:cs="Arial"/>
                    </w:rPr>
                  </w:pP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name reserved by the </w:t>
                  </w:r>
                  <w:proofErr w:type="spellStart"/>
                  <w:r w:rsidRPr="00763AFD">
                    <w:rPr>
                      <w:rFonts w:ascii="Arial" w:eastAsia="Times New Roman" w:hAnsi="Arial" w:cs="Arial"/>
                      <w:sz w:val="22"/>
                      <w:szCs w:val="22"/>
                    </w:rPr>
                    <w:t>RoC</w:t>
                  </w:r>
                  <w:proofErr w:type="spellEnd"/>
                  <w:r w:rsidRPr="00763AFD">
                    <w:rPr>
                      <w:rFonts w:ascii="Arial" w:eastAsia="Times New Roman" w:hAnsi="Arial" w:cs="Arial"/>
                      <w:sz w:val="22"/>
                      <w:szCs w:val="22"/>
                    </w:rPr>
                    <w:t xml:space="preserve"> shall be valid for 20 days from date of the approval instead of 60 days from the date of application, as currently provided.</w:t>
                  </w:r>
                </w:p>
              </w:tc>
              <w:tc>
                <w:tcPr>
                  <w:tcW w:w="8505" w:type="dxa"/>
                  <w:tcBorders>
                    <w:top w:val="outset" w:sz="6" w:space="0" w:color="auto"/>
                    <w:left w:val="outset" w:sz="6" w:space="0" w:color="auto"/>
                    <w:bottom w:val="outset" w:sz="6" w:space="0" w:color="auto"/>
                    <w:right w:val="outset" w:sz="6" w:space="0" w:color="auto"/>
                  </w:tcBorders>
                </w:tcPr>
                <w:p w:rsidR="004F6175" w:rsidRPr="00763AFD" w:rsidRDefault="004F6175" w:rsidP="00763AFD">
                  <w:pPr>
                    <w:pStyle w:val="Default"/>
                    <w:ind w:right="339"/>
                    <w:rPr>
                      <w:color w:val="auto"/>
                      <w:sz w:val="22"/>
                      <w:szCs w:val="22"/>
                    </w:rPr>
                  </w:pPr>
                  <w:r w:rsidRPr="00763AFD">
                    <w:rPr>
                      <w:color w:val="auto"/>
                      <w:sz w:val="22"/>
                      <w:szCs w:val="22"/>
                    </w:rPr>
                    <w:t>2.2 Suggestions were received from the stakeholders that the period of currency of name approved be sixty days from the date of approval and not from the date of application. However, considering the ground realities, the fact that a changed process for centralised processing of name reservation/approval has already been implemented, as well as the fact that only one re-submission is allowed, the Committee felt that there is a case for building in efficiency in the system and reduce misuse by reducing the period of reservation to 20 days by amending Section 4(5)(</w:t>
                  </w:r>
                  <w:proofErr w:type="spellStart"/>
                  <w:r w:rsidRPr="00763AFD">
                    <w:rPr>
                      <w:color w:val="auto"/>
                      <w:sz w:val="22"/>
                      <w:szCs w:val="22"/>
                    </w:rPr>
                    <w:t>i</w:t>
                  </w:r>
                  <w:proofErr w:type="spellEnd"/>
                  <w:r w:rsidRPr="00763AFD">
                    <w:rPr>
                      <w:color w:val="auto"/>
                      <w:sz w:val="22"/>
                      <w:szCs w:val="22"/>
                    </w:rPr>
                    <w:t xml:space="preserve">). </w:t>
                  </w:r>
                  <w:r w:rsidRPr="00763AFD">
                    <w:rPr>
                      <w:b/>
                      <w:bCs/>
                      <w:color w:val="auto"/>
                      <w:sz w:val="22"/>
                      <w:szCs w:val="22"/>
                    </w:rPr>
                    <w:t xml:space="preserve">The Committee, therefore, recommended that the period of name reservation should be reduced from 60 days to 20 days from the date of approval, and simultaneously, the fees for such reservation be reduced to Rupees Five Hundred.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8.</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12- Registered office of company</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the company shall within </w:t>
                  </w:r>
                  <w:r w:rsidRPr="001933E7">
                    <w:rPr>
                      <w:rFonts w:ascii="Arial" w:eastAsia="Times New Roman" w:hAnsi="Arial" w:cs="Arial"/>
                      <w:b/>
                      <w:sz w:val="22"/>
                      <w:szCs w:val="22"/>
                    </w:rPr>
                    <w:t xml:space="preserve">30 </w:t>
                  </w:r>
                  <w:r w:rsidRPr="00763AFD">
                    <w:rPr>
                      <w:rFonts w:ascii="Arial" w:eastAsia="Times New Roman" w:hAnsi="Arial" w:cs="Arial"/>
                      <w:sz w:val="22"/>
                      <w:szCs w:val="22"/>
                    </w:rPr>
                    <w:t xml:space="preserve">of its incorporation having a registered office instead of current requirement of </w:t>
                  </w:r>
                  <w:r w:rsidRPr="001933E7">
                    <w:rPr>
                      <w:rFonts w:ascii="Arial" w:eastAsia="Times New Roman" w:hAnsi="Arial" w:cs="Arial"/>
                      <w:b/>
                      <w:sz w:val="22"/>
                      <w:szCs w:val="22"/>
                    </w:rPr>
                    <w:t xml:space="preserve">15 </w:t>
                  </w:r>
                  <w:r w:rsidRPr="00763AFD">
                    <w:rPr>
                      <w:rFonts w:ascii="Arial" w:eastAsia="Times New Roman" w:hAnsi="Arial" w:cs="Arial"/>
                      <w:sz w:val="22"/>
                      <w:szCs w:val="22"/>
                    </w:rPr>
                    <w:t>days.</w:t>
                  </w:r>
                </w:p>
              </w:tc>
              <w:tc>
                <w:tcPr>
                  <w:tcW w:w="8505" w:type="dxa"/>
                  <w:tcBorders>
                    <w:top w:val="outset" w:sz="6" w:space="0" w:color="auto"/>
                    <w:left w:val="outset" w:sz="6" w:space="0" w:color="auto"/>
                    <w:bottom w:val="outset" w:sz="6" w:space="0" w:color="auto"/>
                    <w:right w:val="outset" w:sz="6" w:space="0" w:color="auto"/>
                  </w:tcBorders>
                </w:tcPr>
                <w:p w:rsidR="004F6175" w:rsidRPr="00763AFD" w:rsidRDefault="004F6175" w:rsidP="00763AFD">
                  <w:pPr>
                    <w:pStyle w:val="Default"/>
                    <w:ind w:right="339"/>
                    <w:rPr>
                      <w:color w:val="auto"/>
                      <w:sz w:val="22"/>
                      <w:szCs w:val="22"/>
                    </w:rPr>
                  </w:pPr>
                  <w:r w:rsidRPr="00763AFD">
                    <w:rPr>
                      <w:i/>
                      <w:iCs/>
                      <w:color w:val="auto"/>
                      <w:sz w:val="22"/>
                      <w:szCs w:val="22"/>
                    </w:rPr>
                    <w:t xml:space="preserve">Registered Office of Company </w:t>
                  </w:r>
                </w:p>
                <w:p w:rsidR="004F6175" w:rsidRPr="00763AFD" w:rsidRDefault="004F6175" w:rsidP="00763AFD">
                  <w:pPr>
                    <w:pStyle w:val="Default"/>
                    <w:ind w:right="339"/>
                    <w:rPr>
                      <w:color w:val="auto"/>
                      <w:sz w:val="22"/>
                      <w:szCs w:val="22"/>
                    </w:rPr>
                  </w:pPr>
                  <w:r w:rsidRPr="00763AFD">
                    <w:rPr>
                      <w:color w:val="auto"/>
                      <w:sz w:val="22"/>
                      <w:szCs w:val="22"/>
                    </w:rPr>
                    <w:t xml:space="preserve">2.4 Section 12 of the Act governs the provisions relating to the registered office of a company. Section 12(1) seems to require that a company shall, on and from the fifteenth day of its incorporation, and at all times thereafter, have a registered office. Technically, this interpretation would not allow a company to have its registered office immediately on incorporation, or earlier than the fifteenth day of its incorporation, whereas a company could have its office from the day of its incorporation. </w:t>
                  </w:r>
                  <w:r w:rsidRPr="00763AFD">
                    <w:rPr>
                      <w:b/>
                      <w:bCs/>
                      <w:color w:val="auto"/>
                      <w:sz w:val="22"/>
                      <w:szCs w:val="22"/>
                    </w:rPr>
                    <w:t xml:space="preserve">The Committee felt that this sub-section may be amended to provide for a company to have its registered office within thirty days of its incorporation. </w:t>
                  </w:r>
                </w:p>
                <w:p w:rsidR="004F6175" w:rsidRPr="00763AFD" w:rsidRDefault="004F6175" w:rsidP="00763AFD">
                  <w:pPr>
                    <w:pStyle w:val="Default"/>
                    <w:ind w:right="339"/>
                    <w:rPr>
                      <w:color w:val="auto"/>
                      <w:sz w:val="22"/>
                      <w:szCs w:val="22"/>
                    </w:rPr>
                  </w:pPr>
                </w:p>
                <w:p w:rsidR="004F6175" w:rsidRPr="00763AFD" w:rsidRDefault="004F6175" w:rsidP="00763AFD">
                  <w:pPr>
                    <w:pStyle w:val="Default"/>
                    <w:ind w:right="339"/>
                    <w:rPr>
                      <w:color w:val="auto"/>
                      <w:sz w:val="22"/>
                      <w:szCs w:val="22"/>
                    </w:rPr>
                  </w:pPr>
                  <w:r w:rsidRPr="00763AFD">
                    <w:rPr>
                      <w:color w:val="auto"/>
                      <w:sz w:val="22"/>
                      <w:szCs w:val="22"/>
                    </w:rPr>
                    <w:t xml:space="preserve">2.5 Section 12(4) provides for the recording of the change of the registered office of a company by the Registrar, after being given notice of the same by the company within fifteen days of such change. The Committee noted the concern expressed by stakeholders that in respect of certain documents like lease deeds, rent agreements and other related documents that are required to be submitted, the prescribed time period of fifteen days is insufficient, especially where various approvals may have to be obtained. </w:t>
                  </w:r>
                  <w:r w:rsidRPr="00763AFD">
                    <w:rPr>
                      <w:b/>
                      <w:bCs/>
                      <w:color w:val="auto"/>
                      <w:sz w:val="22"/>
                      <w:szCs w:val="22"/>
                    </w:rPr>
                    <w:t xml:space="preserve">The Committee recommended that the time limit for registering change in registered office be increased to thirty days.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9.</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 xml:space="preserve">Section 21- Authentication </w:t>
                  </w:r>
                  <w:r w:rsidRPr="00763AFD">
                    <w:rPr>
                      <w:rStyle w:val="Strong"/>
                      <w:rFonts w:ascii="Arial" w:eastAsia="Times New Roman" w:hAnsi="Arial" w:cs="Arial"/>
                      <w:sz w:val="22"/>
                      <w:szCs w:val="22"/>
                    </w:rPr>
                    <w:lastRenderedPageBreak/>
                    <w:t xml:space="preserve">of documents, proceedings and contracts </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Apart from KMP and any Officer of the Company, it is proposed that an employee can also be authorized to authenticate documents on behalf of the Company.</w:t>
                  </w:r>
                </w:p>
              </w:tc>
              <w:tc>
                <w:tcPr>
                  <w:tcW w:w="8505" w:type="dxa"/>
                  <w:tcBorders>
                    <w:top w:val="outset" w:sz="6" w:space="0" w:color="auto"/>
                    <w:left w:val="outset" w:sz="6" w:space="0" w:color="auto"/>
                    <w:bottom w:val="outset" w:sz="6" w:space="0" w:color="auto"/>
                    <w:right w:val="outset" w:sz="6" w:space="0" w:color="auto"/>
                  </w:tcBorders>
                </w:tcPr>
                <w:p w:rsidR="004F6175" w:rsidRPr="00763AFD" w:rsidRDefault="004F6175" w:rsidP="00763AFD">
                  <w:pPr>
                    <w:pStyle w:val="Default"/>
                    <w:ind w:right="339"/>
                    <w:rPr>
                      <w:color w:val="auto"/>
                      <w:sz w:val="22"/>
                      <w:szCs w:val="22"/>
                    </w:rPr>
                  </w:pPr>
                  <w:r w:rsidRPr="00763AFD">
                    <w:rPr>
                      <w:i/>
                      <w:iCs/>
                      <w:color w:val="auto"/>
                      <w:sz w:val="22"/>
                      <w:szCs w:val="22"/>
                    </w:rPr>
                    <w:t xml:space="preserve">Authentication of documents, proceedings and contracts </w:t>
                  </w:r>
                </w:p>
                <w:p w:rsidR="004F6175" w:rsidRPr="00763AFD" w:rsidRDefault="004F6175" w:rsidP="00763AFD">
                  <w:pPr>
                    <w:pStyle w:val="Default"/>
                    <w:ind w:right="339"/>
                    <w:rPr>
                      <w:color w:val="auto"/>
                      <w:sz w:val="22"/>
                      <w:szCs w:val="22"/>
                    </w:rPr>
                  </w:pPr>
                  <w:r w:rsidRPr="00763AFD">
                    <w:rPr>
                      <w:color w:val="auto"/>
                      <w:sz w:val="22"/>
                      <w:szCs w:val="22"/>
                    </w:rPr>
                    <w:t xml:space="preserve">2.6 Section 21 of the Act provides that a document requiring authentication by a company, or contracts made by, or on behalf of a company, may be signed by any key managerial personnel or an officer of the company duly authorized by the Board in this behalf. It was stated before the Committee that since the definition of </w:t>
                  </w:r>
                  <w:r w:rsidRPr="00763AFD">
                    <w:rPr>
                      <w:i/>
                      <w:iCs/>
                      <w:color w:val="auto"/>
                      <w:sz w:val="22"/>
                      <w:szCs w:val="22"/>
                    </w:rPr>
                    <w:t xml:space="preserve">“officer” </w:t>
                  </w:r>
                  <w:r w:rsidRPr="00763AFD">
                    <w:rPr>
                      <w:color w:val="auto"/>
                      <w:sz w:val="22"/>
                      <w:szCs w:val="22"/>
                    </w:rPr>
                    <w:t xml:space="preserve">under Section 2(59) </w:t>
                  </w:r>
                  <w:r w:rsidRPr="00763AFD">
                    <w:rPr>
                      <w:color w:val="auto"/>
                      <w:sz w:val="22"/>
                      <w:szCs w:val="22"/>
                    </w:rPr>
                    <w:lastRenderedPageBreak/>
                    <w:t xml:space="preserve">included top level management persons in a company, it would be practically very difficult for only such top level persons to sign the documents, without providing for any other employee to sign, even with a board resolution. Suggestions were made for such authentication to be allowed under the signature of ‘any employee of the company duly authorised by the Board’. The Committee noted that since any authorization for employees would be backed by a board resolution, it would be expected of the Board to exercise due care while authorizing any such employee. </w:t>
                  </w:r>
                  <w:r w:rsidRPr="00763AFD">
                    <w:rPr>
                      <w:b/>
                      <w:bCs/>
                      <w:color w:val="auto"/>
                      <w:sz w:val="22"/>
                      <w:szCs w:val="22"/>
                    </w:rPr>
                    <w:t xml:space="preserve">Accordingly, the Committee recommended an amendment to Section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8F415F">
                  <w:pPr>
                    <w:spacing w:line="330" w:lineRule="atLeast"/>
                    <w:ind w:right="52"/>
                    <w:jc w:val="both"/>
                    <w:rPr>
                      <w:rFonts w:ascii="Arial" w:eastAsia="Times New Roman" w:hAnsi="Arial" w:cs="Arial"/>
                    </w:rPr>
                  </w:pPr>
                  <w:r w:rsidRPr="00763AFD">
                    <w:rPr>
                      <w:rFonts w:ascii="Arial" w:eastAsia="Times New Roman" w:hAnsi="Arial" w:cs="Arial"/>
                      <w:sz w:val="22"/>
                      <w:szCs w:val="22"/>
                    </w:rPr>
                    <w:lastRenderedPageBreak/>
                    <w:t>10.</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42- Private placement</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Proposed changes related to private placement </w:t>
                  </w:r>
                </w:p>
                <w:p w:rsidR="009F1DFD" w:rsidRPr="00763AFD" w:rsidRDefault="009F1DFD" w:rsidP="00763AFD">
                  <w:pPr>
                    <w:numPr>
                      <w:ilvl w:val="0"/>
                      <w:numId w:val="1"/>
                    </w:numPr>
                    <w:spacing w:line="330" w:lineRule="atLeast"/>
                    <w:ind w:left="0" w:right="339" w:firstLine="0"/>
                    <w:jc w:val="both"/>
                    <w:rPr>
                      <w:rFonts w:ascii="Arial" w:eastAsia="Times New Roman" w:hAnsi="Arial" w:cs="Arial"/>
                    </w:rPr>
                  </w:pPr>
                  <w:r w:rsidRPr="00763AFD">
                    <w:rPr>
                      <w:rFonts w:ascii="Arial" w:eastAsia="Times New Roman" w:hAnsi="Arial" w:cs="Arial"/>
                      <w:sz w:val="22"/>
                      <w:szCs w:val="22"/>
                    </w:rPr>
                    <w:t>Return of allotment has to be filed within 15 days instead of 30 days.</w:t>
                  </w:r>
                </w:p>
                <w:p w:rsidR="009F1DFD" w:rsidRPr="00763AFD" w:rsidRDefault="009F1DFD" w:rsidP="00763AFD">
                  <w:pPr>
                    <w:numPr>
                      <w:ilvl w:val="0"/>
                      <w:numId w:val="1"/>
                    </w:numPr>
                    <w:spacing w:line="330" w:lineRule="atLeast"/>
                    <w:ind w:left="0" w:right="339" w:firstLine="0"/>
                    <w:jc w:val="both"/>
                    <w:rPr>
                      <w:rFonts w:ascii="Arial" w:eastAsia="Times New Roman" w:hAnsi="Arial" w:cs="Arial"/>
                    </w:rPr>
                  </w:pPr>
                  <w:r w:rsidRPr="00763AFD">
                    <w:rPr>
                      <w:rFonts w:ascii="Arial" w:eastAsia="Times New Roman" w:hAnsi="Arial" w:cs="Arial"/>
                      <w:sz w:val="22"/>
                      <w:szCs w:val="22"/>
                    </w:rPr>
                    <w:t xml:space="preserve">Money received under the private placement shall not be utilized unless the return of allotment is filed with the </w:t>
                  </w:r>
                  <w:proofErr w:type="spellStart"/>
                  <w:r w:rsidRPr="00763AFD">
                    <w:rPr>
                      <w:rFonts w:ascii="Arial" w:eastAsia="Times New Roman" w:hAnsi="Arial" w:cs="Arial"/>
                      <w:sz w:val="22"/>
                      <w:szCs w:val="22"/>
                    </w:rPr>
                    <w:t>RoC</w:t>
                  </w:r>
                  <w:proofErr w:type="spellEnd"/>
                  <w:r w:rsidRPr="00763AFD">
                    <w:rPr>
                      <w:rFonts w:ascii="Arial" w:eastAsia="Times New Roman" w:hAnsi="Arial" w:cs="Arial"/>
                      <w:sz w:val="22"/>
                      <w:szCs w:val="22"/>
                    </w:rPr>
                    <w:t>.</w:t>
                  </w:r>
                </w:p>
                <w:p w:rsidR="009F1DFD" w:rsidRPr="00763AFD" w:rsidRDefault="009F1DFD" w:rsidP="00763AFD">
                  <w:pPr>
                    <w:numPr>
                      <w:ilvl w:val="0"/>
                      <w:numId w:val="1"/>
                    </w:numPr>
                    <w:spacing w:line="330" w:lineRule="atLeast"/>
                    <w:ind w:left="0" w:right="339" w:firstLine="0"/>
                    <w:jc w:val="both"/>
                    <w:rPr>
                      <w:rFonts w:ascii="Arial" w:eastAsia="Times New Roman" w:hAnsi="Arial" w:cs="Arial"/>
                    </w:rPr>
                  </w:pPr>
                  <w:r w:rsidRPr="00763AFD">
                    <w:rPr>
                      <w:rFonts w:ascii="Arial" w:eastAsia="Times New Roman" w:hAnsi="Arial" w:cs="Arial"/>
                      <w:sz w:val="22"/>
                      <w:szCs w:val="22"/>
                    </w:rPr>
                    <w:t xml:space="preserve">Private Placement offer letter shall not contain any right of renunciation. </w:t>
                  </w:r>
                </w:p>
              </w:tc>
              <w:tc>
                <w:tcPr>
                  <w:tcW w:w="8505" w:type="dxa"/>
                  <w:tcBorders>
                    <w:top w:val="outset" w:sz="6" w:space="0" w:color="auto"/>
                    <w:left w:val="outset" w:sz="6" w:space="0" w:color="auto"/>
                    <w:bottom w:val="outset" w:sz="6" w:space="0" w:color="auto"/>
                    <w:right w:val="outset" w:sz="6" w:space="0" w:color="auto"/>
                  </w:tcBorders>
                </w:tcPr>
                <w:p w:rsidR="009F1DFD" w:rsidRPr="00763AFD" w:rsidRDefault="009F1DFD" w:rsidP="00763AFD">
                  <w:pPr>
                    <w:spacing w:line="330" w:lineRule="atLeast"/>
                    <w:ind w:right="339"/>
                    <w:jc w:val="both"/>
                    <w:rPr>
                      <w:rFonts w:ascii="Arial" w:eastAsia="Times New Roman" w:hAnsi="Arial" w:cs="Arial"/>
                    </w:rPr>
                  </w:pPr>
                  <w:r w:rsidRPr="00763AFD">
                    <w:rPr>
                      <w:sz w:val="22"/>
                      <w:szCs w:val="22"/>
                    </w:rPr>
                    <w:t xml:space="preserve">Streamlining the private placement mechanism and synchronising the provisions of the Act with the regulations issued by other </w:t>
                  </w:r>
                  <w:proofErr w:type="spellStart"/>
                  <w:r w:rsidRPr="00763AFD">
                    <w:rPr>
                      <w:sz w:val="22"/>
                      <w:szCs w:val="22"/>
                    </w:rPr>
                    <w:t>sectoral</w:t>
                  </w:r>
                  <w:proofErr w:type="spellEnd"/>
                  <w:r w:rsidRPr="00763AFD">
                    <w:rPr>
                      <w:sz w:val="22"/>
                      <w:szCs w:val="22"/>
                    </w:rPr>
                    <w:t xml:space="preserve"> regulators. While the changes proposed in relation to these provisions are expected to help businesses in raising capital, they also take into account the interests of all stakeholders by ensuring that adequate disclosures and appropriate safeguards against misuse are retained.</w:t>
                  </w:r>
                </w:p>
              </w:tc>
            </w:tr>
            <w:tr w:rsidR="008F415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11.</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54- Issue of Sweat Equity Shares</w:t>
                  </w:r>
                  <w:r>
                    <w:rPr>
                      <w:rStyle w:val="Strong"/>
                      <w:rFonts w:ascii="Arial" w:eastAsia="Times New Roman" w:hAnsi="Arial" w:cs="Arial"/>
                      <w:sz w:val="22"/>
                      <w:szCs w:val="22"/>
                    </w:rPr>
                    <w:t xml:space="preserve"> -</w:t>
                  </w:r>
                  <w:r w:rsidRPr="00763AFD">
                    <w:rPr>
                      <w:rFonts w:ascii="Arial" w:eastAsia="Times New Roman" w:hAnsi="Arial" w:cs="Arial"/>
                      <w:sz w:val="22"/>
                      <w:szCs w:val="22"/>
                    </w:rPr>
                    <w:t xml:space="preserve"> It is proposed to </w:t>
                  </w:r>
                  <w:r w:rsidRPr="008F415F">
                    <w:rPr>
                      <w:rFonts w:ascii="Arial" w:eastAsia="Times New Roman" w:hAnsi="Arial" w:cs="Arial"/>
                      <w:b/>
                      <w:sz w:val="22"/>
                      <w:szCs w:val="22"/>
                    </w:rPr>
                    <w:t>allow issue of Sweat equity shares at an time after registration</w:t>
                  </w:r>
                  <w:r w:rsidRPr="00763AFD">
                    <w:rPr>
                      <w:rFonts w:ascii="Arial" w:eastAsia="Times New Roman" w:hAnsi="Arial" w:cs="Arial"/>
                      <w:sz w:val="22"/>
                      <w:szCs w:val="22"/>
                    </w:rPr>
                    <w:t xml:space="preserve"> of the Company. Currently such shares can be issued only after the expiry of one year from the date of commencement of business.</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12.</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62- Further issue of share capital</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Right issue offer letter </w:t>
                  </w:r>
                  <w:r w:rsidRPr="001933E7">
                    <w:rPr>
                      <w:rFonts w:ascii="Arial" w:eastAsia="Times New Roman" w:hAnsi="Arial" w:cs="Arial"/>
                      <w:b/>
                      <w:sz w:val="22"/>
                      <w:szCs w:val="22"/>
                    </w:rPr>
                    <w:t>can be sent through courier.</w:t>
                  </w:r>
                </w:p>
              </w:tc>
              <w:tc>
                <w:tcPr>
                  <w:tcW w:w="8505" w:type="dxa"/>
                  <w:tcBorders>
                    <w:top w:val="outset" w:sz="6" w:space="0" w:color="auto"/>
                    <w:left w:val="outset" w:sz="6" w:space="0" w:color="auto"/>
                    <w:bottom w:val="outset" w:sz="6" w:space="0" w:color="auto"/>
                    <w:right w:val="outset" w:sz="6" w:space="0" w:color="auto"/>
                  </w:tcBorders>
                </w:tcPr>
                <w:p w:rsidR="004F6175" w:rsidRPr="00763AFD" w:rsidRDefault="004F6175" w:rsidP="00763AFD">
                  <w:pPr>
                    <w:pStyle w:val="Default"/>
                    <w:ind w:right="339"/>
                    <w:rPr>
                      <w:color w:val="auto"/>
                      <w:sz w:val="22"/>
                      <w:szCs w:val="22"/>
                    </w:rPr>
                  </w:pPr>
                  <w:r w:rsidRPr="00763AFD">
                    <w:rPr>
                      <w:i/>
                      <w:iCs/>
                      <w:color w:val="auto"/>
                      <w:sz w:val="22"/>
                      <w:szCs w:val="22"/>
                    </w:rPr>
                    <w:t xml:space="preserve">Further Issue of Share Capital </w:t>
                  </w:r>
                </w:p>
                <w:p w:rsidR="004F6175" w:rsidRPr="00763AFD" w:rsidRDefault="004F6175" w:rsidP="00763AFD">
                  <w:pPr>
                    <w:pStyle w:val="Default"/>
                    <w:ind w:right="339"/>
                    <w:rPr>
                      <w:color w:val="auto"/>
                      <w:sz w:val="22"/>
                      <w:szCs w:val="22"/>
                    </w:rPr>
                  </w:pPr>
                  <w:r w:rsidRPr="00763AFD">
                    <w:rPr>
                      <w:color w:val="auto"/>
                      <w:sz w:val="22"/>
                      <w:szCs w:val="22"/>
                    </w:rPr>
                    <w:t xml:space="preserve">4.3 Section 62 of the Act deals with the further issue of share capital. Sub-section (2) requires the notice with regard to offers on rights basis to be despatched through registered post, or speed post, or an electronic mode. The stakeholders had suggested additionally allowing courier and hand delivery as a mode. The Committee felt that with multiple modes of delivery being allowed, companies would be able to leverage these, without undermining the requirement of ensuring delivery. </w:t>
                  </w:r>
                  <w:r w:rsidRPr="00763AFD">
                    <w:rPr>
                      <w:b/>
                      <w:bCs/>
                      <w:color w:val="auto"/>
                      <w:sz w:val="22"/>
                      <w:szCs w:val="22"/>
                    </w:rPr>
                    <w:t xml:space="preserve">Thus, it was recommended that any mode of delivery that would provide irrefutable/certain proof of delivery, be allowed. </w:t>
                  </w:r>
                </w:p>
                <w:p w:rsidR="009F1DFD" w:rsidRPr="00763AFD" w:rsidRDefault="009F1DFD" w:rsidP="00763AFD">
                  <w:pPr>
                    <w:spacing w:line="330" w:lineRule="atLeast"/>
                    <w:ind w:right="339"/>
                    <w:jc w:val="both"/>
                    <w:rPr>
                      <w:rFonts w:ascii="Arial" w:eastAsia="Times New Roman" w:hAnsi="Arial" w:cs="Arial"/>
                    </w:rPr>
                  </w:pPr>
                </w:p>
              </w:tc>
            </w:tr>
            <w:tr w:rsidR="008F415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13.</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w:t>
                  </w:r>
                </w:p>
                <w:p w:rsidR="008F415F" w:rsidRPr="00763AFD" w:rsidRDefault="008F415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73- Prohibition on acceptance of deposits from public</w:t>
                  </w:r>
                  <w:r>
                    <w:rPr>
                      <w:rStyle w:val="Strong"/>
                      <w:rFonts w:ascii="Arial" w:eastAsia="Times New Roman" w:hAnsi="Arial" w:cs="Arial"/>
                      <w:sz w:val="22"/>
                      <w:szCs w:val="22"/>
                    </w:rPr>
                    <w:t xml:space="preserve"> -</w:t>
                  </w:r>
                  <w:r w:rsidRPr="00763AFD">
                    <w:rPr>
                      <w:rFonts w:ascii="Arial" w:eastAsia="Times New Roman" w:hAnsi="Arial" w:cs="Arial"/>
                      <w:sz w:val="22"/>
                      <w:szCs w:val="22"/>
                    </w:rPr>
                    <w:t xml:space="preserve">In case of deposits, it is proposed that an amount </w:t>
                  </w:r>
                  <w:r w:rsidRPr="00763AFD">
                    <w:rPr>
                      <w:rFonts w:ascii="Arial" w:eastAsia="Times New Roman" w:hAnsi="Arial" w:cs="Arial"/>
                      <w:b/>
                      <w:sz w:val="22"/>
                      <w:szCs w:val="22"/>
                    </w:rPr>
                    <w:t>not less than 20% of the amount of depositing</w:t>
                  </w:r>
                  <w:r w:rsidRPr="00763AFD">
                    <w:rPr>
                      <w:rFonts w:ascii="Arial" w:eastAsia="Times New Roman" w:hAnsi="Arial" w:cs="Arial"/>
                      <w:sz w:val="22"/>
                      <w:szCs w:val="22"/>
                    </w:rPr>
                    <w:t xml:space="preserve">, on or before the 30th day of April each year, such sum </w:t>
                  </w:r>
                  <w:r w:rsidRPr="00763AFD">
                    <w:rPr>
                      <w:rFonts w:ascii="Arial" w:eastAsia="Times New Roman" w:hAnsi="Arial" w:cs="Arial"/>
                      <w:b/>
                      <w:sz w:val="22"/>
                      <w:szCs w:val="22"/>
                    </w:rPr>
                    <w:t xml:space="preserve">which shall not be less than twenty per cent. of the amount of </w:t>
                  </w:r>
                  <w:r w:rsidRPr="00763AFD">
                    <w:rPr>
                      <w:rFonts w:ascii="Arial" w:eastAsia="Times New Roman" w:hAnsi="Arial" w:cs="Arial"/>
                      <w:b/>
                      <w:sz w:val="22"/>
                      <w:szCs w:val="22"/>
                    </w:rPr>
                    <w:lastRenderedPageBreak/>
                    <w:t>its deposits maturing during the following financial year and kept in a scheduled bank in a separate bank account to be called deposit repayment reserve account.</w:t>
                  </w:r>
                  <w:r w:rsidRPr="00763AFD">
                    <w:rPr>
                      <w:rFonts w:ascii="Arial" w:eastAsia="Times New Roman" w:hAnsi="Arial" w:cs="Arial"/>
                      <w:sz w:val="22"/>
                      <w:szCs w:val="22"/>
                    </w:rPr>
                    <w:t xml:space="preserve"> Currently at least 15% of such amount is required to be deposited</w:t>
                  </w:r>
                </w:p>
              </w:tc>
            </w:tr>
            <w:tr w:rsidR="008F415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14.</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8F415F">
                  <w:pPr>
                    <w:pStyle w:val="Default"/>
                    <w:ind w:right="339"/>
                    <w:rPr>
                      <w:color w:val="auto"/>
                      <w:sz w:val="22"/>
                      <w:szCs w:val="22"/>
                    </w:rPr>
                  </w:pPr>
                  <w:r>
                    <w:rPr>
                      <w:rFonts w:ascii="Arial" w:eastAsia="Times New Roman" w:hAnsi="Arial" w:cs="Arial"/>
                      <w:sz w:val="22"/>
                      <w:szCs w:val="22"/>
                    </w:rPr>
                    <w:t xml:space="preserve"> </w:t>
                  </w:r>
                  <w:r w:rsidRPr="00763AFD">
                    <w:rPr>
                      <w:rStyle w:val="Strong"/>
                      <w:rFonts w:ascii="Arial" w:eastAsia="Times New Roman" w:hAnsi="Arial" w:cs="Arial"/>
                      <w:sz w:val="22"/>
                      <w:szCs w:val="22"/>
                    </w:rPr>
                    <w:t>Section 73- Prohibition on acceptance of deposits from public</w:t>
                  </w:r>
                  <w:r w:rsidRPr="00763AFD">
                    <w:rPr>
                      <w:rFonts w:ascii="Arial" w:eastAsia="Times New Roman" w:hAnsi="Arial" w:cs="Arial"/>
                      <w:sz w:val="22"/>
                      <w:szCs w:val="22"/>
                    </w:rPr>
                    <w:t xml:space="preserve"> </w:t>
                  </w:r>
                  <w:r>
                    <w:rPr>
                      <w:rFonts w:ascii="Arial" w:eastAsia="Times New Roman" w:hAnsi="Arial" w:cs="Arial"/>
                      <w:sz w:val="22"/>
                      <w:szCs w:val="22"/>
                    </w:rPr>
                    <w:t xml:space="preserve">- </w:t>
                  </w:r>
                  <w:r w:rsidRPr="00763AFD">
                    <w:rPr>
                      <w:rFonts w:ascii="Arial" w:eastAsia="Times New Roman" w:hAnsi="Arial" w:cs="Arial"/>
                      <w:sz w:val="22"/>
                      <w:szCs w:val="22"/>
                    </w:rPr>
                    <w:t>It is proposed to omit the requirement of deposit insurance.</w:t>
                  </w:r>
                  <w:r w:rsidRPr="00763AFD">
                    <w:rPr>
                      <w:b/>
                      <w:bCs/>
                      <w:color w:val="auto"/>
                      <w:sz w:val="22"/>
                      <w:szCs w:val="22"/>
                    </w:rPr>
                    <w:t xml:space="preserve"> It was also noted by the Committee that as on date none of the insurance companies is offering such insurance products. Considering the above situation, the Committee felt that the provisions of Section 73(2)(d) along with relevant Rules be omitted. </w:t>
                  </w:r>
                </w:p>
                <w:p w:rsidR="008F415F" w:rsidRPr="00763AFD" w:rsidRDefault="008F415F" w:rsidP="008F415F">
                  <w:pPr>
                    <w:pStyle w:val="Default"/>
                    <w:ind w:right="339"/>
                    <w:rPr>
                      <w:rFonts w:ascii="Arial" w:eastAsia="Times New Roman" w:hAnsi="Arial" w:cs="Arial"/>
                      <w:sz w:val="22"/>
                      <w:szCs w:val="22"/>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15.</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73- Prohibition on acceptance of deposits from public</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It is proposed that in case a company has made default in repayment of deposits and period of 5 years has elapsed since the date of making the default good, then such company can accept the deposits further.</w:t>
                  </w:r>
                </w:p>
              </w:tc>
              <w:tc>
                <w:tcPr>
                  <w:tcW w:w="8505" w:type="dxa"/>
                  <w:tcBorders>
                    <w:top w:val="outset" w:sz="6" w:space="0" w:color="auto"/>
                    <w:left w:val="outset" w:sz="6" w:space="0" w:color="auto"/>
                    <w:bottom w:val="outset" w:sz="6" w:space="0" w:color="auto"/>
                    <w:right w:val="outset" w:sz="6" w:space="0" w:color="auto"/>
                  </w:tcBorders>
                </w:tcPr>
                <w:p w:rsidR="009F1DFD" w:rsidRPr="00763AFD" w:rsidRDefault="00D463F6" w:rsidP="00763AFD">
                  <w:pPr>
                    <w:pStyle w:val="Default"/>
                    <w:ind w:right="339"/>
                    <w:rPr>
                      <w:rFonts w:ascii="Arial" w:eastAsia="Times New Roman" w:hAnsi="Arial" w:cs="Arial"/>
                      <w:sz w:val="22"/>
                      <w:szCs w:val="22"/>
                    </w:rPr>
                  </w:pPr>
                  <w:r w:rsidRPr="00763AFD">
                    <w:rPr>
                      <w:color w:val="auto"/>
                      <w:sz w:val="22"/>
                      <w:szCs w:val="22"/>
                    </w:rPr>
                    <w:t xml:space="preserve">Section 73(2)(e) requires a certification from the company that no default has been committed in the repayment of deposits, accepted either before or after the commencement of the Act, or the payment of interest on such deposits. It was stated that this requirement was harsh on companies which might have defaulted due to reasons beyond their control, such as industry conditions at some point of time in the past, but repaid such deposits with earnest efforts thereafter. The Committee noted that imposing a lifelong ban for a default anytime in the past would be harsh. </w:t>
                  </w:r>
                  <w:r w:rsidRPr="00763AFD">
                    <w:rPr>
                      <w:b/>
                      <w:bCs/>
                      <w:color w:val="auto"/>
                      <w:sz w:val="22"/>
                      <w:szCs w:val="22"/>
                    </w:rPr>
                    <w:t>Therefore, it was recommended that the prohibition on accepting further deposits should apply indefinitely only to a company that had not rectified/made good earlier defaults. However, in case a company had made good an earlier default in the repayment of deposits and the payment of interest due thereon, then it should be allowed to accept further deposits after a period of five years from the date it repaid the earlier defaulting amounts with full disclosures.</w:t>
                  </w:r>
                </w:p>
              </w:tc>
            </w:tr>
            <w:tr w:rsidR="008F415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1933E7">
                  <w:pPr>
                    <w:spacing w:line="330" w:lineRule="atLeast"/>
                    <w:ind w:right="193"/>
                    <w:jc w:val="both"/>
                    <w:rPr>
                      <w:rFonts w:ascii="Arial" w:eastAsia="Times New Roman" w:hAnsi="Arial" w:cs="Arial"/>
                    </w:rPr>
                  </w:pPr>
                  <w:r w:rsidRPr="00763AFD">
                    <w:rPr>
                      <w:rFonts w:ascii="Arial" w:eastAsia="Times New Roman" w:hAnsi="Arial" w:cs="Arial"/>
                      <w:sz w:val="22"/>
                      <w:szCs w:val="22"/>
                    </w:rPr>
                    <w:t>16.</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74- Repayment of Deposits, etc., accepted before commencement of this act</w:t>
                  </w:r>
                  <w:r w:rsidRPr="00763AFD">
                    <w:rPr>
                      <w:rFonts w:ascii="Arial" w:eastAsia="Times New Roman" w:hAnsi="Arial" w:cs="Arial"/>
                      <w:sz w:val="22"/>
                      <w:szCs w:val="22"/>
                    </w:rPr>
                    <w:t xml:space="preserve"> </w:t>
                  </w:r>
                  <w:r>
                    <w:rPr>
                      <w:rFonts w:ascii="Arial" w:eastAsia="Times New Roman" w:hAnsi="Arial" w:cs="Arial"/>
                      <w:sz w:val="22"/>
                      <w:szCs w:val="22"/>
                    </w:rPr>
                    <w:t xml:space="preserve"> - </w:t>
                  </w:r>
                  <w:r w:rsidRPr="00763AFD">
                    <w:rPr>
                      <w:rFonts w:ascii="Arial" w:eastAsia="Times New Roman" w:hAnsi="Arial" w:cs="Arial"/>
                      <w:sz w:val="22"/>
                      <w:szCs w:val="22"/>
                    </w:rPr>
                    <w:t xml:space="preserve">Where any amount of such </w:t>
                  </w:r>
                  <w:r w:rsidRPr="00763AFD">
                    <w:rPr>
                      <w:rFonts w:ascii="Arial" w:eastAsia="Times New Roman" w:hAnsi="Arial" w:cs="Arial"/>
                      <w:b/>
                      <w:sz w:val="22"/>
                      <w:szCs w:val="22"/>
                    </w:rPr>
                    <w:t>deposit or part thereof or interest thereof remains unpaid</w:t>
                  </w:r>
                  <w:r w:rsidRPr="00763AFD">
                    <w:rPr>
                      <w:rFonts w:ascii="Arial" w:eastAsia="Times New Roman" w:hAnsi="Arial" w:cs="Arial"/>
                      <w:sz w:val="22"/>
                      <w:szCs w:val="22"/>
                    </w:rPr>
                    <w:t xml:space="preserve"> on the commencement of the Companies Act 2013, it is proposed that such amount </w:t>
                  </w:r>
                  <w:r w:rsidRPr="00763AFD">
                    <w:rPr>
                      <w:rFonts w:ascii="Arial" w:eastAsia="Times New Roman" w:hAnsi="Arial" w:cs="Arial"/>
                      <w:b/>
                      <w:sz w:val="22"/>
                      <w:szCs w:val="22"/>
                    </w:rPr>
                    <w:t>shall be repaid within 3 years from the date of commencement or before the expiry of the period for which the deposit was accepted, whichever is earlier</w:t>
                  </w:r>
                  <w:r w:rsidRPr="00763AFD">
                    <w:rPr>
                      <w:rFonts w:ascii="Arial" w:eastAsia="Times New Roman" w:hAnsi="Arial" w:cs="Arial"/>
                      <w:sz w:val="22"/>
                      <w:szCs w:val="22"/>
                    </w:rPr>
                    <w:t xml:space="preserve">. Currently the amount has to be repaid </w:t>
                  </w:r>
                  <w:r w:rsidRPr="00763AFD">
                    <w:rPr>
                      <w:rFonts w:ascii="Arial" w:eastAsia="Times New Roman" w:hAnsi="Arial" w:cs="Arial"/>
                      <w:b/>
                      <w:sz w:val="22"/>
                      <w:szCs w:val="22"/>
                    </w:rPr>
                    <w:t xml:space="preserve">within 1 year or before the expiry of the period for </w:t>
                  </w:r>
                  <w:r w:rsidRPr="00763AFD">
                    <w:rPr>
                      <w:rFonts w:ascii="Arial" w:eastAsia="Times New Roman" w:hAnsi="Arial" w:cs="Arial"/>
                      <w:sz w:val="22"/>
                      <w:szCs w:val="22"/>
                    </w:rPr>
                    <w:t>which the deposit was accepted, whichever is earlier.</w:t>
                  </w:r>
                </w:p>
              </w:tc>
            </w:tr>
            <w:tr w:rsidR="004070A1"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4070A1" w:rsidRPr="00763AFD" w:rsidRDefault="004070A1" w:rsidP="00763AFD">
                  <w:pPr>
                    <w:spacing w:line="330" w:lineRule="atLeast"/>
                    <w:ind w:right="339"/>
                    <w:jc w:val="both"/>
                    <w:rPr>
                      <w:rFonts w:ascii="Arial" w:eastAsia="Times New Roman" w:hAnsi="Arial" w:cs="Arial"/>
                    </w:rPr>
                  </w:pPr>
                </w:p>
              </w:tc>
              <w:tc>
                <w:tcPr>
                  <w:tcW w:w="1418" w:type="dxa"/>
                  <w:tcBorders>
                    <w:top w:val="outset" w:sz="6" w:space="0" w:color="auto"/>
                    <w:left w:val="outset" w:sz="6" w:space="0" w:color="auto"/>
                    <w:bottom w:val="outset" w:sz="6" w:space="0" w:color="auto"/>
                    <w:right w:val="outset" w:sz="6" w:space="0" w:color="auto"/>
                  </w:tcBorders>
                  <w:vAlign w:val="center"/>
                  <w:hideMark/>
                </w:tcPr>
                <w:p w:rsidR="004070A1" w:rsidRPr="00763AFD" w:rsidRDefault="008B16D2" w:rsidP="00763AFD">
                  <w:pPr>
                    <w:spacing w:line="330" w:lineRule="atLeast"/>
                    <w:ind w:right="339"/>
                    <w:jc w:val="both"/>
                    <w:rPr>
                      <w:rStyle w:val="Strong"/>
                      <w:rFonts w:ascii="Arial" w:eastAsia="Times New Roman" w:hAnsi="Arial" w:cs="Arial"/>
                    </w:rPr>
                  </w:pPr>
                  <w:r w:rsidRPr="00763AFD">
                    <w:rPr>
                      <w:rStyle w:val="Strong"/>
                      <w:rFonts w:ascii="Arial" w:eastAsia="Times New Roman" w:hAnsi="Arial" w:cs="Arial"/>
                      <w:sz w:val="22"/>
                      <w:szCs w:val="22"/>
                    </w:rPr>
                    <w:t>Sec. 77 -Charge</w:t>
                  </w:r>
                </w:p>
              </w:tc>
              <w:tc>
                <w:tcPr>
                  <w:tcW w:w="4819" w:type="dxa"/>
                  <w:tcBorders>
                    <w:top w:val="outset" w:sz="6" w:space="0" w:color="auto"/>
                    <w:left w:val="outset" w:sz="6" w:space="0" w:color="auto"/>
                    <w:bottom w:val="outset" w:sz="6" w:space="0" w:color="auto"/>
                    <w:right w:val="outset" w:sz="6" w:space="0" w:color="auto"/>
                  </w:tcBorders>
                  <w:vAlign w:val="center"/>
                  <w:hideMark/>
                </w:tcPr>
                <w:p w:rsidR="008B16D2" w:rsidRPr="00763AFD" w:rsidRDefault="008B16D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 xml:space="preserve">In section 77 of the principal </w:t>
                  </w:r>
                  <w:proofErr w:type="spellStart"/>
                  <w:r w:rsidRPr="00763AFD">
                    <w:rPr>
                      <w:rFonts w:ascii="Times-Roman" w:eastAsiaTheme="minorHAnsi" w:hAnsi="Times-Roman" w:cs="Times-Roman"/>
                      <w:sz w:val="22"/>
                      <w:szCs w:val="22"/>
                      <w:lang w:eastAsia="en-US"/>
                    </w:rPr>
                    <w:t>Act,in</w:t>
                  </w:r>
                  <w:proofErr w:type="spellEnd"/>
                  <w:r w:rsidRPr="00763AFD">
                    <w:rPr>
                      <w:rFonts w:ascii="Times-Roman" w:eastAsiaTheme="minorHAnsi" w:hAnsi="Times-Roman" w:cs="Times-Roman"/>
                      <w:sz w:val="22"/>
                      <w:szCs w:val="22"/>
                      <w:lang w:eastAsia="en-US"/>
                    </w:rPr>
                    <w:t xml:space="preserve"> sub-section (</w:t>
                  </w:r>
                  <w:r w:rsidRPr="00763AFD">
                    <w:rPr>
                      <w:rFonts w:ascii="Times-Italic" w:eastAsiaTheme="minorHAnsi" w:hAnsi="Times-Italic" w:cs="Times-Italic"/>
                      <w:i/>
                      <w:iCs/>
                      <w:sz w:val="22"/>
                      <w:szCs w:val="22"/>
                      <w:lang w:eastAsia="en-US"/>
                    </w:rPr>
                    <w:t>1</w:t>
                  </w:r>
                  <w:r w:rsidRPr="00763AFD">
                    <w:rPr>
                      <w:rFonts w:ascii="Times-Roman" w:eastAsiaTheme="minorHAnsi" w:hAnsi="Times-Roman" w:cs="Times-Roman"/>
                      <w:sz w:val="22"/>
                      <w:szCs w:val="22"/>
                      <w:lang w:eastAsia="en-US"/>
                    </w:rPr>
                    <w:t>), after the third proviso, the</w:t>
                  </w:r>
                </w:p>
                <w:p w:rsidR="008B16D2" w:rsidRPr="00763AFD" w:rsidRDefault="008B16D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following proviso shall be inserted, namely:—</w:t>
                  </w:r>
                </w:p>
                <w:p w:rsidR="008B16D2" w:rsidRPr="00763AFD" w:rsidRDefault="008B16D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"Provided also that this section shall not apply to such charges as may be</w:t>
                  </w:r>
                </w:p>
                <w:p w:rsidR="008B16D2" w:rsidRPr="00763AFD" w:rsidRDefault="008B16D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prescribed in consultation with the Reserve Bank of India.".</w:t>
                  </w:r>
                </w:p>
                <w:p w:rsidR="008B16D2" w:rsidRPr="00763AFD" w:rsidRDefault="008B16D2" w:rsidP="00763AFD">
                  <w:pPr>
                    <w:autoSpaceDE w:val="0"/>
                    <w:autoSpaceDN w:val="0"/>
                    <w:adjustRightInd w:val="0"/>
                    <w:ind w:right="339"/>
                    <w:rPr>
                      <w:rFonts w:ascii="Times-Roman" w:eastAsiaTheme="minorHAnsi" w:hAnsi="Times-Roman" w:cs="Times-Roman"/>
                      <w:lang w:eastAsia="en-US"/>
                    </w:rPr>
                  </w:pPr>
                  <w:r w:rsidRPr="00763AFD">
                    <w:rPr>
                      <w:rFonts w:ascii="Times-Bold" w:eastAsiaTheme="minorHAnsi" w:hAnsi="Times-Bold" w:cs="Times-Bold"/>
                      <w:b/>
                      <w:bCs/>
                      <w:sz w:val="22"/>
                      <w:szCs w:val="22"/>
                      <w:lang w:eastAsia="en-US"/>
                    </w:rPr>
                    <w:t xml:space="preserve">19. </w:t>
                  </w:r>
                  <w:r w:rsidRPr="00763AFD">
                    <w:rPr>
                      <w:rFonts w:ascii="Times-Roman" w:eastAsiaTheme="minorHAnsi" w:hAnsi="Times-Roman" w:cs="Times-Roman"/>
                      <w:sz w:val="22"/>
                      <w:szCs w:val="22"/>
                      <w:lang w:eastAsia="en-US"/>
                    </w:rPr>
                    <w:t>In section 78 of the principal Act, for the words "register the charge within the</w:t>
                  </w:r>
                </w:p>
                <w:p w:rsidR="008B16D2" w:rsidRPr="00763AFD" w:rsidRDefault="008B16D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period specified in section 77", the words "register the charge within the period of thirty</w:t>
                  </w:r>
                </w:p>
                <w:p w:rsidR="004070A1" w:rsidRPr="00763AFD" w:rsidRDefault="008B16D2" w:rsidP="00763AFD">
                  <w:pPr>
                    <w:spacing w:line="330" w:lineRule="atLeast"/>
                    <w:ind w:right="339"/>
                    <w:jc w:val="both"/>
                    <w:rPr>
                      <w:rFonts w:ascii="Arial" w:eastAsia="Times New Roman" w:hAnsi="Arial" w:cs="Arial"/>
                    </w:rPr>
                  </w:pPr>
                  <w:r w:rsidRPr="00763AFD">
                    <w:rPr>
                      <w:rFonts w:ascii="Times-Roman" w:eastAsiaTheme="minorHAnsi" w:hAnsi="Times-Roman" w:cs="Times-Roman"/>
                      <w:sz w:val="22"/>
                      <w:szCs w:val="22"/>
                      <w:lang w:eastAsia="en-US"/>
                    </w:rPr>
                    <w:t>days referred to in sub-section (</w:t>
                  </w:r>
                  <w:r w:rsidRPr="00763AFD">
                    <w:rPr>
                      <w:rFonts w:ascii="Times-Italic" w:eastAsiaTheme="minorHAnsi" w:hAnsi="Times-Italic" w:cs="Times-Italic"/>
                      <w:i/>
                      <w:iCs/>
                      <w:sz w:val="22"/>
                      <w:szCs w:val="22"/>
                      <w:lang w:eastAsia="en-US"/>
                    </w:rPr>
                    <w:t>1</w:t>
                  </w:r>
                  <w:r w:rsidRPr="00763AFD">
                    <w:rPr>
                      <w:rFonts w:ascii="Times-Roman" w:eastAsiaTheme="minorHAnsi" w:hAnsi="Times-Roman" w:cs="Times-Roman"/>
                      <w:sz w:val="22"/>
                      <w:szCs w:val="22"/>
                      <w:lang w:eastAsia="en-US"/>
                    </w:rPr>
                    <w:t>) of section 77" shall be substituted.</w:t>
                  </w:r>
                </w:p>
              </w:tc>
              <w:tc>
                <w:tcPr>
                  <w:tcW w:w="8505" w:type="dxa"/>
                  <w:tcBorders>
                    <w:top w:val="outset" w:sz="6" w:space="0" w:color="auto"/>
                    <w:left w:val="outset" w:sz="6" w:space="0" w:color="auto"/>
                    <w:bottom w:val="outset" w:sz="6" w:space="0" w:color="auto"/>
                    <w:right w:val="outset" w:sz="6" w:space="0" w:color="auto"/>
                  </w:tcBorders>
                </w:tcPr>
                <w:p w:rsidR="00146C1D" w:rsidRPr="00763AFD" w:rsidRDefault="00146C1D" w:rsidP="00763AFD">
                  <w:pPr>
                    <w:pStyle w:val="Default"/>
                    <w:ind w:right="339"/>
                    <w:rPr>
                      <w:color w:val="auto"/>
                      <w:sz w:val="22"/>
                      <w:szCs w:val="22"/>
                    </w:rPr>
                  </w:pPr>
                  <w:r w:rsidRPr="00763AFD">
                    <w:rPr>
                      <w:b/>
                      <w:bCs/>
                      <w:color w:val="auto"/>
                      <w:sz w:val="22"/>
                      <w:szCs w:val="22"/>
                    </w:rPr>
                    <w:t xml:space="preserve">REGISTRATION OF CHARGES </w:t>
                  </w:r>
                </w:p>
                <w:p w:rsidR="00146C1D" w:rsidRPr="00763AFD" w:rsidRDefault="00146C1D" w:rsidP="00763AFD">
                  <w:pPr>
                    <w:pStyle w:val="Default"/>
                    <w:ind w:right="339"/>
                    <w:rPr>
                      <w:color w:val="auto"/>
                      <w:sz w:val="22"/>
                      <w:szCs w:val="22"/>
                    </w:rPr>
                  </w:pPr>
                  <w:r w:rsidRPr="00763AFD">
                    <w:rPr>
                      <w:i/>
                      <w:iCs/>
                      <w:color w:val="auto"/>
                      <w:sz w:val="22"/>
                      <w:szCs w:val="22"/>
                    </w:rPr>
                    <w:t xml:space="preserve">Duty to Register Charges, etc. </w:t>
                  </w:r>
                </w:p>
                <w:p w:rsidR="00146C1D" w:rsidRPr="00763AFD" w:rsidRDefault="00146C1D" w:rsidP="00763AFD">
                  <w:pPr>
                    <w:pStyle w:val="Default"/>
                    <w:ind w:right="339"/>
                    <w:rPr>
                      <w:color w:val="auto"/>
                      <w:sz w:val="22"/>
                      <w:szCs w:val="22"/>
                    </w:rPr>
                  </w:pPr>
                  <w:r w:rsidRPr="00763AFD">
                    <w:rPr>
                      <w:color w:val="auto"/>
                      <w:sz w:val="22"/>
                      <w:szCs w:val="22"/>
                    </w:rPr>
                    <w:t xml:space="preserve">6.1 Section 77 of the Act mandates registration of charges with the Registrar. During the process of public consultation, it was pointed out that unlike the Companies Act, </w:t>
                  </w:r>
                </w:p>
                <w:p w:rsidR="00146C1D" w:rsidRPr="00763AFD" w:rsidRDefault="00146C1D" w:rsidP="00763AFD">
                  <w:pPr>
                    <w:pStyle w:val="Default"/>
                    <w:ind w:right="339"/>
                    <w:rPr>
                      <w:color w:val="auto"/>
                      <w:sz w:val="22"/>
                      <w:szCs w:val="22"/>
                    </w:rPr>
                  </w:pPr>
                  <w:r w:rsidRPr="00763AFD">
                    <w:rPr>
                      <w:rFonts w:ascii="Calibri" w:hAnsi="Calibri" w:cs="Calibri"/>
                      <w:color w:val="auto"/>
                      <w:sz w:val="22"/>
                      <w:szCs w:val="22"/>
                    </w:rPr>
                    <w:t xml:space="preserve">32 </w:t>
                  </w:r>
                </w:p>
                <w:p w:rsidR="00146C1D" w:rsidRPr="00763AFD" w:rsidRDefault="00146C1D" w:rsidP="00763AFD">
                  <w:pPr>
                    <w:pStyle w:val="Default"/>
                    <w:ind w:right="339"/>
                    <w:rPr>
                      <w:color w:val="auto"/>
                      <w:sz w:val="22"/>
                      <w:szCs w:val="22"/>
                    </w:rPr>
                  </w:pPr>
                  <w:r w:rsidRPr="00763AFD">
                    <w:rPr>
                      <w:color w:val="auto"/>
                      <w:sz w:val="22"/>
                      <w:szCs w:val="22"/>
                    </w:rPr>
                    <w:t xml:space="preserve">1956, a specific list of charges to be so registered had not been included in the new Act or the Rules. Thus, in the absence of a specific list of charges to be registered, and the wide definition of the word </w:t>
                  </w:r>
                  <w:r w:rsidRPr="00763AFD">
                    <w:rPr>
                      <w:i/>
                      <w:iCs/>
                      <w:color w:val="auto"/>
                      <w:sz w:val="22"/>
                      <w:szCs w:val="22"/>
                    </w:rPr>
                    <w:t xml:space="preserve">“charge”, </w:t>
                  </w:r>
                  <w:r w:rsidRPr="00763AFD">
                    <w:rPr>
                      <w:color w:val="auto"/>
                      <w:sz w:val="22"/>
                      <w:szCs w:val="22"/>
                    </w:rPr>
                    <w:t>‘pledges’ and ‘liens’ were also required to be registered. These were earlier exempted from registration requirements under the previous Act. It was stated before the Committee that registration of pledges and liens created various practical difficulties, relating to the quantum and frequency of registrations required, etc. for example members of the ‘Clearing Corporation’ (</w:t>
                  </w:r>
                  <w:r w:rsidRPr="00763AFD">
                    <w:rPr>
                      <w:b/>
                      <w:bCs/>
                      <w:i/>
                      <w:iCs/>
                      <w:color w:val="auto"/>
                      <w:sz w:val="22"/>
                      <w:szCs w:val="22"/>
                    </w:rPr>
                    <w:t>CC</w:t>
                  </w:r>
                  <w:r w:rsidRPr="00763AFD">
                    <w:rPr>
                      <w:color w:val="auto"/>
                      <w:sz w:val="22"/>
                      <w:szCs w:val="22"/>
                    </w:rPr>
                    <w:t xml:space="preserve">) deposited cash, bank guarantees, FDRs, approved securities etc. with the Corporation towards meeting the margin and security deposit requirements would require registration of charges, creating operational </w:t>
                  </w:r>
                  <w:r w:rsidRPr="00763AFD">
                    <w:rPr>
                      <w:color w:val="auto"/>
                      <w:sz w:val="22"/>
                      <w:szCs w:val="22"/>
                    </w:rPr>
                    <w:lastRenderedPageBreak/>
                    <w:t xml:space="preserve">difficulties. </w:t>
                  </w:r>
                </w:p>
                <w:p w:rsidR="00146C1D" w:rsidRPr="00763AFD" w:rsidRDefault="00146C1D" w:rsidP="00763AFD">
                  <w:pPr>
                    <w:pStyle w:val="Default"/>
                    <w:ind w:right="339"/>
                    <w:rPr>
                      <w:color w:val="auto"/>
                      <w:sz w:val="22"/>
                      <w:szCs w:val="22"/>
                    </w:rPr>
                  </w:pPr>
                </w:p>
                <w:p w:rsidR="00146C1D" w:rsidRPr="00763AFD" w:rsidRDefault="00146C1D" w:rsidP="00763AFD">
                  <w:pPr>
                    <w:pStyle w:val="Default"/>
                    <w:ind w:right="339"/>
                    <w:rPr>
                      <w:color w:val="auto"/>
                      <w:sz w:val="22"/>
                      <w:szCs w:val="22"/>
                    </w:rPr>
                  </w:pPr>
                  <w:r w:rsidRPr="00763AFD">
                    <w:rPr>
                      <w:color w:val="auto"/>
                      <w:sz w:val="22"/>
                      <w:szCs w:val="22"/>
                    </w:rPr>
                    <w:t xml:space="preserve">6.2 </w:t>
                  </w:r>
                  <w:r w:rsidRPr="00763AFD">
                    <w:rPr>
                      <w:b/>
                      <w:bCs/>
                      <w:color w:val="auto"/>
                      <w:sz w:val="22"/>
                      <w:szCs w:val="22"/>
                    </w:rPr>
                    <w:t xml:space="preserve">In this regard, the Committee felt that there was no need for the definition of the term ‘charge’ to be changed, since relevant judicial precedents specified that charges included pledges. However, Section 77(3) may provide for prescriptive powers to allow certain liens or securities or pledges to be exempted from filing. </w:t>
                  </w:r>
                  <w:r w:rsidRPr="00763AFD">
                    <w:rPr>
                      <w:color w:val="auto"/>
                      <w:sz w:val="22"/>
                      <w:szCs w:val="22"/>
                    </w:rPr>
                    <w:t xml:space="preserve">This would address the practical problems in case of transactions by NBFCs engaged in financing of assets, and for members/agents of the Clearing Corporation, etc. </w:t>
                  </w:r>
                </w:p>
                <w:p w:rsidR="00146C1D" w:rsidRPr="00763AFD" w:rsidRDefault="00146C1D" w:rsidP="00763AFD">
                  <w:pPr>
                    <w:pStyle w:val="Default"/>
                    <w:ind w:right="339"/>
                    <w:rPr>
                      <w:color w:val="auto"/>
                      <w:sz w:val="22"/>
                      <w:szCs w:val="22"/>
                    </w:rPr>
                  </w:pPr>
                </w:p>
                <w:p w:rsidR="00146C1D" w:rsidRPr="00763AFD" w:rsidRDefault="00146C1D" w:rsidP="00763AFD">
                  <w:pPr>
                    <w:pStyle w:val="Default"/>
                    <w:ind w:right="339"/>
                    <w:rPr>
                      <w:color w:val="auto"/>
                      <w:sz w:val="22"/>
                      <w:szCs w:val="22"/>
                    </w:rPr>
                  </w:pPr>
                  <w:r w:rsidRPr="00763AFD">
                    <w:rPr>
                      <w:i/>
                      <w:iCs/>
                      <w:color w:val="auto"/>
                      <w:sz w:val="22"/>
                      <w:szCs w:val="22"/>
                    </w:rPr>
                    <w:t xml:space="preserve">Company to report satisfaction of charge </w:t>
                  </w:r>
                </w:p>
                <w:p w:rsidR="00146C1D" w:rsidRPr="00763AFD" w:rsidRDefault="00146C1D" w:rsidP="00763AFD">
                  <w:pPr>
                    <w:pStyle w:val="Default"/>
                    <w:ind w:right="339"/>
                    <w:rPr>
                      <w:color w:val="auto"/>
                      <w:sz w:val="22"/>
                      <w:szCs w:val="22"/>
                    </w:rPr>
                  </w:pPr>
                  <w:r w:rsidRPr="00763AFD">
                    <w:rPr>
                      <w:color w:val="auto"/>
                      <w:sz w:val="22"/>
                      <w:szCs w:val="22"/>
                    </w:rPr>
                    <w:t xml:space="preserve">6.3 Section 82 of the Act provides that a company shall give intimation to the Registrar of the payment or satisfaction in full, of any registered charge so registered within thirty days from the date of such payment or satisfaction. Further, sub-section (1) of Section 77 shall, as far as may be, apply to an intimation given under this Section. It has been suggested to the Committee that similar time limits, as provided for under Section 77 for registration of charge, ought to be allowed for reporting satisfaction of charges under Section 82 too. </w:t>
                  </w:r>
                  <w:r w:rsidRPr="00763AFD">
                    <w:rPr>
                      <w:b/>
                      <w:bCs/>
                      <w:color w:val="auto"/>
                      <w:sz w:val="22"/>
                      <w:szCs w:val="22"/>
                    </w:rPr>
                    <w:t xml:space="preserve">The Committee felt that, as it would generally be in a company’s interest to report satisfaction of charges, there should not be any regulatory concern in allowing similar timelines as allowed for registering a charge and, therefore, recommended for the same. </w:t>
                  </w:r>
                </w:p>
                <w:p w:rsidR="004070A1" w:rsidRPr="00763AFD" w:rsidRDefault="004070A1"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17.</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89- Declaration in respect of beneficial interest in any share</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For the purpose of </w:t>
                  </w:r>
                  <w:r w:rsidRPr="00763AFD">
                    <w:rPr>
                      <w:rFonts w:ascii="Arial" w:eastAsia="Times New Roman" w:hAnsi="Arial" w:cs="Arial"/>
                      <w:b/>
                      <w:sz w:val="22"/>
                      <w:szCs w:val="22"/>
                    </w:rPr>
                    <w:t>declaration of beneficial interest</w:t>
                  </w:r>
                  <w:r w:rsidRPr="00763AFD">
                    <w:rPr>
                      <w:rFonts w:ascii="Arial" w:eastAsia="Times New Roman" w:hAnsi="Arial" w:cs="Arial"/>
                      <w:sz w:val="22"/>
                      <w:szCs w:val="22"/>
                    </w:rPr>
                    <w:t xml:space="preserve"> , it is proposed that beneficial interest in a share includes, directly or indirectly, through any contract, arrangement or otherwise, the right or entitlement of a person alone or together with any other person to— </w:t>
                  </w:r>
                </w:p>
                <w:p w:rsidR="009F1DFD" w:rsidRPr="00763AFD" w:rsidRDefault="009F1DFD" w:rsidP="00763AFD">
                  <w:pPr>
                    <w:numPr>
                      <w:ilvl w:val="0"/>
                      <w:numId w:val="2"/>
                    </w:numPr>
                    <w:spacing w:before="100" w:beforeAutospacing="1" w:after="100" w:afterAutospacing="1" w:line="330" w:lineRule="atLeast"/>
                    <w:ind w:left="0" w:right="339" w:firstLine="0"/>
                    <w:jc w:val="both"/>
                    <w:rPr>
                      <w:rFonts w:ascii="Arial" w:eastAsia="Times New Roman" w:hAnsi="Arial" w:cs="Arial"/>
                    </w:rPr>
                  </w:pPr>
                  <w:r w:rsidRPr="00763AFD">
                    <w:rPr>
                      <w:rFonts w:ascii="Arial" w:eastAsia="Times New Roman" w:hAnsi="Arial" w:cs="Arial"/>
                      <w:sz w:val="22"/>
                      <w:szCs w:val="22"/>
                    </w:rPr>
                    <w:t>exercise or cause to be exercised any or all of the rights attached to such share; or</w:t>
                  </w:r>
                </w:p>
                <w:p w:rsidR="009F1DFD" w:rsidRPr="00763AFD" w:rsidRDefault="009F1DFD" w:rsidP="00763AFD">
                  <w:pPr>
                    <w:numPr>
                      <w:ilvl w:val="0"/>
                      <w:numId w:val="2"/>
                    </w:numPr>
                    <w:spacing w:before="100" w:beforeAutospacing="1" w:after="100" w:afterAutospacing="1" w:line="330" w:lineRule="atLeast"/>
                    <w:ind w:left="0" w:right="339" w:firstLine="0"/>
                    <w:jc w:val="both"/>
                    <w:rPr>
                      <w:rFonts w:ascii="Arial" w:eastAsia="Times New Roman" w:hAnsi="Arial" w:cs="Arial"/>
                    </w:rPr>
                  </w:pPr>
                  <w:r w:rsidRPr="00763AFD">
                    <w:rPr>
                      <w:rFonts w:ascii="Arial" w:eastAsia="Times New Roman" w:hAnsi="Arial" w:cs="Arial"/>
                      <w:sz w:val="22"/>
                      <w:szCs w:val="22"/>
                    </w:rPr>
                    <w:t>receive or participate in any dividend or other distribution in respect of such share.</w:t>
                  </w:r>
                </w:p>
              </w:tc>
              <w:tc>
                <w:tcPr>
                  <w:tcW w:w="8505" w:type="dxa"/>
                  <w:tcBorders>
                    <w:top w:val="outset" w:sz="6" w:space="0" w:color="auto"/>
                    <w:left w:val="outset" w:sz="6" w:space="0" w:color="auto"/>
                    <w:bottom w:val="outset" w:sz="6" w:space="0" w:color="auto"/>
                    <w:right w:val="outset" w:sz="6" w:space="0" w:color="auto"/>
                  </w:tcBorders>
                </w:tcPr>
                <w:p w:rsidR="009F1DFD" w:rsidRPr="00763AFD" w:rsidRDefault="006612E3"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Definition of “Beneficial interest in a share.</w:t>
                  </w:r>
                </w:p>
                <w:p w:rsidR="00764E92" w:rsidRPr="00763AFD" w:rsidRDefault="00764E92" w:rsidP="00763AFD">
                  <w:pPr>
                    <w:autoSpaceDE w:val="0"/>
                    <w:autoSpaceDN w:val="0"/>
                    <w:adjustRightInd w:val="0"/>
                    <w:ind w:right="339"/>
                    <w:rPr>
                      <w:rFonts w:ascii="Times-Roman" w:eastAsiaTheme="minorHAnsi" w:hAnsi="Times-Roman" w:cs="Times-Roman"/>
                      <w:lang w:eastAsia="en-US"/>
                    </w:rPr>
                  </w:pP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Bill seeks to replace section 90 of the Act to provide that a declaration</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is to be given to the company by every individual acting alone or together or through one or</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more person including a trust and persons resident outside India, who holds beneficial</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interest of not less than twenty-five per cent or other prescribed percentage in shares of a</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company or the right to exercise or the actual exercising of significant influence or control</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under clause (</w:t>
                  </w:r>
                  <w:r w:rsidRPr="00763AFD">
                    <w:rPr>
                      <w:rFonts w:ascii="Times-Italic" w:eastAsiaTheme="minorHAnsi" w:hAnsi="Times-Italic" w:cs="Times-Italic"/>
                      <w:i/>
                      <w:iCs/>
                      <w:sz w:val="22"/>
                      <w:szCs w:val="22"/>
                      <w:lang w:eastAsia="en-US"/>
                    </w:rPr>
                    <w:t>27</w:t>
                  </w:r>
                  <w:r w:rsidRPr="00763AFD">
                    <w:rPr>
                      <w:rFonts w:ascii="Times-Roman" w:eastAsiaTheme="minorHAnsi" w:hAnsi="Times-Roman" w:cs="Times-Roman"/>
                      <w:sz w:val="22"/>
                      <w:szCs w:val="22"/>
                      <w:lang w:eastAsia="en-US"/>
                    </w:rPr>
                    <w:t>) of section 2 of the Act (to be called as significant beneficial owner). Further</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the significant beneficial owner shall while making the declaration specify the nature of</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interest and other particulars in prescribed manner and time to the company. It also seeks to</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empower the Central Government to specify class or classes or persons who shall not be</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required to make the said declaration. Further company shall maintain and keep available for</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inspection, by any member of the company, a register of significant beneficial owners. Further</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company shall file a return of significant beneficial owners of the company and changes</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lastRenderedPageBreak/>
                    <w:t>therein with the Registrar. This clause also provides that company may give notice to any</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person whom the company knows or believes to be a significant beneficial owner of the</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company or who has knowledge of the identity of a significant beneficial owner or another</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person likely to have such knowledge or who has been a significant beneficial owner of the</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company at any time during the immediately preceding three years. Further, if the person fails</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to give information required by the notice, the company shall apply to the Tribunal within a</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period of fifteen days for an order. The Tribunal may make an order restricting the rights</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attached with the shares in question. If any person fails to make a declaration, he shall be</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punishable with fine. Similarly, where a company fails to maintain the register or file the</w:t>
                  </w:r>
                </w:p>
                <w:p w:rsidR="00764E92" w:rsidRPr="00763AFD" w:rsidRDefault="00764E92"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return, the company and every officer of the company in default shall be punishable with</w:t>
                  </w:r>
                </w:p>
                <w:p w:rsidR="00764E92" w:rsidRPr="00763AFD" w:rsidRDefault="00764E92" w:rsidP="00763AFD">
                  <w:pPr>
                    <w:spacing w:line="330" w:lineRule="atLeast"/>
                    <w:ind w:right="339"/>
                    <w:jc w:val="both"/>
                    <w:rPr>
                      <w:rFonts w:ascii="Arial" w:eastAsia="Times New Roman" w:hAnsi="Arial" w:cs="Arial"/>
                    </w:rPr>
                  </w:pPr>
                  <w:r w:rsidRPr="00763AFD">
                    <w:rPr>
                      <w:rFonts w:ascii="Times-Roman" w:eastAsiaTheme="minorHAnsi" w:hAnsi="Times-Roman" w:cs="Times-Roman"/>
                      <w:sz w:val="22"/>
                      <w:szCs w:val="22"/>
                      <w:lang w:eastAsia="en-US"/>
                    </w:rPr>
                    <w:t>fine.</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18.</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90- Investigation of beneficial ownership of shares in certain cases</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The provisions are proposed to be revamped.</w:t>
                  </w:r>
                </w:p>
              </w:tc>
              <w:tc>
                <w:tcPr>
                  <w:tcW w:w="8505" w:type="dxa"/>
                  <w:tcBorders>
                    <w:top w:val="outset" w:sz="6" w:space="0" w:color="auto"/>
                    <w:left w:val="outset" w:sz="6" w:space="0" w:color="auto"/>
                    <w:bottom w:val="outset" w:sz="6" w:space="0" w:color="auto"/>
                    <w:right w:val="outset" w:sz="6" w:space="0" w:color="auto"/>
                  </w:tcBorders>
                </w:tcPr>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 xml:space="preserve">For section 90 of the </w:t>
                  </w:r>
                  <w:proofErr w:type="spellStart"/>
                  <w:r w:rsidRPr="00763AFD">
                    <w:rPr>
                      <w:rFonts w:ascii="Times-Roman" w:eastAsiaTheme="minorHAnsi" w:hAnsi="Times-Roman" w:cs="Times-Roman"/>
                      <w:sz w:val="22"/>
                      <w:szCs w:val="22"/>
                      <w:lang w:eastAsia="en-US"/>
                    </w:rPr>
                    <w:t>pricinipal</w:t>
                  </w:r>
                  <w:proofErr w:type="spellEnd"/>
                  <w:r w:rsidRPr="00763AFD">
                    <w:rPr>
                      <w:rFonts w:ascii="Times-Roman" w:eastAsiaTheme="minorHAnsi" w:hAnsi="Times-Roman" w:cs="Times-Roman"/>
                      <w:sz w:val="22"/>
                      <w:szCs w:val="22"/>
                      <w:lang w:eastAsia="en-US"/>
                    </w:rPr>
                    <w:t xml:space="preserve"> Act, the following section shall be substituted,</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namely:—</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'90. (</w:t>
                  </w:r>
                  <w:r w:rsidRPr="00763AFD">
                    <w:rPr>
                      <w:rFonts w:ascii="Times-Italic" w:eastAsiaTheme="minorHAnsi" w:hAnsi="Times-Italic" w:cs="Times-Italic"/>
                      <w:i/>
                      <w:iCs/>
                      <w:sz w:val="22"/>
                      <w:szCs w:val="22"/>
                      <w:lang w:eastAsia="en-US"/>
                    </w:rPr>
                    <w:t>1</w:t>
                  </w:r>
                  <w:r w:rsidRPr="00763AFD">
                    <w:rPr>
                      <w:rFonts w:ascii="Times-Roman" w:eastAsiaTheme="minorHAnsi" w:hAnsi="Times-Roman" w:cs="Times-Roman"/>
                      <w:sz w:val="22"/>
                      <w:szCs w:val="22"/>
                      <w:lang w:eastAsia="en-US"/>
                    </w:rPr>
                    <w:t>) Every individual, who acting alone or together, or through one or more</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persons or trust, including a trust and persons resident outside India, holds beneficial</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 xml:space="preserve">interests, of </w:t>
                  </w:r>
                  <w:r w:rsidRPr="00763AFD">
                    <w:rPr>
                      <w:rFonts w:ascii="Times-Roman" w:eastAsiaTheme="minorHAnsi" w:hAnsi="Times-Roman" w:cs="Times-Roman"/>
                      <w:b/>
                      <w:sz w:val="22"/>
                      <w:szCs w:val="22"/>
                      <w:lang w:eastAsia="en-US"/>
                    </w:rPr>
                    <w:t>not less than twenty-five per cent.</w:t>
                  </w:r>
                  <w:r w:rsidRPr="00763AFD">
                    <w:rPr>
                      <w:rFonts w:ascii="Times-Roman" w:eastAsiaTheme="minorHAnsi" w:hAnsi="Times-Roman" w:cs="Times-Roman"/>
                      <w:sz w:val="22"/>
                      <w:szCs w:val="22"/>
                      <w:lang w:eastAsia="en-US"/>
                    </w:rPr>
                    <w:t xml:space="preserve"> or such other percentage as may be</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prescribed, in shares of a company or the right to exercise, or the actual exercising of</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significant influence or control as defined in clause (27) of section 2, over the company</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(herein referred to as "significant beneficial owner"), shall make a declaration to the</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company, specifying the nature of his interest and other particulars, in such manner</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and within such period of acquisition of the beneficial interest or rights and any</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change thereof, as may be prescribed:</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Provided that the Central Government may prescribe a class or classes of persons</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who shall not be required to make declaration under this sub-section.</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w:t>
                  </w:r>
                  <w:r w:rsidRPr="00763AFD">
                    <w:rPr>
                      <w:rFonts w:ascii="Times-Italic" w:eastAsiaTheme="minorHAnsi" w:hAnsi="Times-Italic" w:cs="Times-Italic"/>
                      <w:i/>
                      <w:iCs/>
                      <w:sz w:val="22"/>
                      <w:szCs w:val="22"/>
                      <w:lang w:eastAsia="en-US"/>
                    </w:rPr>
                    <w:t>2</w:t>
                  </w:r>
                  <w:r w:rsidRPr="00763AFD">
                    <w:rPr>
                      <w:rFonts w:ascii="Times-Roman" w:eastAsiaTheme="minorHAnsi" w:hAnsi="Times-Roman" w:cs="Times-Roman"/>
                      <w:sz w:val="22"/>
                      <w:szCs w:val="22"/>
                      <w:lang w:eastAsia="en-US"/>
                    </w:rPr>
                    <w:t>) Every company shall maintain a register of the interest declared by individuals</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under sub-section (</w:t>
                  </w:r>
                  <w:r w:rsidRPr="00763AFD">
                    <w:rPr>
                      <w:rFonts w:ascii="Times-Italic" w:eastAsiaTheme="minorHAnsi" w:hAnsi="Times-Italic" w:cs="Times-Italic"/>
                      <w:i/>
                      <w:iCs/>
                      <w:sz w:val="22"/>
                      <w:szCs w:val="22"/>
                      <w:lang w:eastAsia="en-US"/>
                    </w:rPr>
                    <w:t>1</w:t>
                  </w:r>
                  <w:r w:rsidRPr="00763AFD">
                    <w:rPr>
                      <w:rFonts w:ascii="Times-Roman" w:eastAsiaTheme="minorHAnsi" w:hAnsi="Times-Roman" w:cs="Times-Roman"/>
                      <w:sz w:val="22"/>
                      <w:szCs w:val="22"/>
                      <w:lang w:eastAsia="en-US"/>
                    </w:rPr>
                    <w:t>) and changes therein which shall include the name of individual,</w:t>
                  </w:r>
                </w:p>
                <w:p w:rsidR="008F2973" w:rsidRPr="00763AFD" w:rsidRDefault="008F2973"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his date of birth, address, details of ownership in the company and such other details</w:t>
                  </w:r>
                </w:p>
                <w:p w:rsidR="009F1DFD" w:rsidRPr="00763AFD" w:rsidRDefault="008F2973" w:rsidP="00763AFD">
                  <w:pPr>
                    <w:spacing w:line="330" w:lineRule="atLeast"/>
                    <w:ind w:right="339"/>
                    <w:jc w:val="both"/>
                    <w:rPr>
                      <w:rFonts w:ascii="Arial" w:eastAsia="Times New Roman" w:hAnsi="Arial" w:cs="Arial"/>
                    </w:rPr>
                  </w:pPr>
                  <w:r w:rsidRPr="00763AFD">
                    <w:rPr>
                      <w:rFonts w:ascii="Times-Roman" w:eastAsiaTheme="minorHAnsi" w:hAnsi="Times-Roman" w:cs="Times-Roman"/>
                      <w:sz w:val="22"/>
                      <w:szCs w:val="22"/>
                      <w:lang w:eastAsia="en-US"/>
                    </w:rPr>
                    <w:t>as may be prescribed.</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19.</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92- Annual Return</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The requirement of MGT-9 is proposed to be omitted. The copy of annual return shall be uploaded on the website of the Company, if any, and its link shall be disclosed in the director’s report.</w:t>
                  </w:r>
                </w:p>
              </w:tc>
              <w:tc>
                <w:tcPr>
                  <w:tcW w:w="8505" w:type="dxa"/>
                  <w:tcBorders>
                    <w:top w:val="outset" w:sz="6" w:space="0" w:color="auto"/>
                    <w:left w:val="outset" w:sz="6" w:space="0" w:color="auto"/>
                    <w:bottom w:val="outset" w:sz="6" w:space="0" w:color="auto"/>
                    <w:right w:val="outset" w:sz="6" w:space="0" w:color="auto"/>
                  </w:tcBorders>
                </w:tcPr>
                <w:p w:rsidR="004E05F7" w:rsidRPr="00763AFD" w:rsidRDefault="004E05F7" w:rsidP="00763AFD">
                  <w:pPr>
                    <w:pStyle w:val="Default"/>
                    <w:ind w:right="339"/>
                    <w:rPr>
                      <w:color w:val="auto"/>
                      <w:sz w:val="22"/>
                      <w:szCs w:val="22"/>
                    </w:rPr>
                  </w:pPr>
                  <w:r w:rsidRPr="00763AFD">
                    <w:rPr>
                      <w:b/>
                      <w:bCs/>
                      <w:color w:val="auto"/>
                      <w:sz w:val="22"/>
                      <w:szCs w:val="22"/>
                    </w:rPr>
                    <w:t xml:space="preserve">The Committee also noted that the Board’s Report and the Financial Statements and the Corporate Governance reporting requirements of SEBI, which together are also called the Annual Report of the company, have duplication in disclosures. It recommended that these need to be harmonized so that the Report is structured, repetition is avoided and made more readable.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20.</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96- Annual General Meeting</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w:t>
                  </w:r>
                  <w:r w:rsidRPr="00763AFD">
                    <w:rPr>
                      <w:rFonts w:ascii="Arial" w:eastAsia="Times New Roman" w:hAnsi="Arial" w:cs="Arial"/>
                      <w:b/>
                      <w:sz w:val="22"/>
                      <w:szCs w:val="22"/>
                    </w:rPr>
                    <w:t>proposed AGM</w:t>
                  </w:r>
                  <w:r w:rsidRPr="00763AFD">
                    <w:rPr>
                      <w:rFonts w:ascii="Arial" w:eastAsia="Times New Roman" w:hAnsi="Arial" w:cs="Arial"/>
                      <w:sz w:val="22"/>
                      <w:szCs w:val="22"/>
                    </w:rPr>
                    <w:t xml:space="preserve"> of unlisted company may be held </w:t>
                  </w:r>
                  <w:r w:rsidRPr="00763AFD">
                    <w:rPr>
                      <w:rFonts w:ascii="Arial" w:eastAsia="Times New Roman" w:hAnsi="Arial" w:cs="Arial"/>
                      <w:b/>
                      <w:sz w:val="22"/>
                      <w:szCs w:val="22"/>
                    </w:rPr>
                    <w:t>at any place in India</w:t>
                  </w:r>
                  <w:r w:rsidRPr="00763AFD">
                    <w:rPr>
                      <w:rFonts w:ascii="Arial" w:eastAsia="Times New Roman" w:hAnsi="Arial" w:cs="Arial"/>
                      <w:sz w:val="22"/>
                      <w:szCs w:val="22"/>
                    </w:rPr>
                    <w:t xml:space="preserve"> if consent is given is writing or by electronic mode by all the members in advance.</w:t>
                  </w:r>
                </w:p>
              </w:tc>
              <w:tc>
                <w:tcPr>
                  <w:tcW w:w="8505" w:type="dxa"/>
                  <w:tcBorders>
                    <w:top w:val="outset" w:sz="6" w:space="0" w:color="auto"/>
                    <w:left w:val="outset" w:sz="6" w:space="0" w:color="auto"/>
                    <w:bottom w:val="outset" w:sz="6" w:space="0" w:color="auto"/>
                    <w:right w:val="outset" w:sz="6" w:space="0" w:color="auto"/>
                  </w:tcBorders>
                </w:tcPr>
                <w:p w:rsidR="009F1DFD" w:rsidRPr="00763AFD" w:rsidRDefault="009F1DFD" w:rsidP="00763AFD">
                  <w:pPr>
                    <w:spacing w:line="330" w:lineRule="atLeast"/>
                    <w:ind w:right="339"/>
                    <w:jc w:val="both"/>
                    <w:rPr>
                      <w:rFonts w:ascii="Arial" w:eastAsia="Times New Roman" w:hAnsi="Arial" w:cs="Arial"/>
                    </w:rPr>
                  </w:pPr>
                </w:p>
              </w:tc>
            </w:tr>
            <w:tr w:rsidR="008F415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21.</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8F415F" w:rsidRPr="00763AFD" w:rsidRDefault="008F415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100- Calling of Extraordinary General Meeting</w:t>
                  </w:r>
                  <w:r w:rsidRPr="00763AFD">
                    <w:rPr>
                      <w:rFonts w:ascii="Arial" w:eastAsia="Times New Roman" w:hAnsi="Arial" w:cs="Arial"/>
                      <w:sz w:val="22"/>
                      <w:szCs w:val="22"/>
                    </w:rPr>
                    <w:t xml:space="preserve"> </w:t>
                  </w:r>
                  <w:r>
                    <w:rPr>
                      <w:rFonts w:ascii="Arial" w:eastAsia="Times New Roman" w:hAnsi="Arial" w:cs="Arial"/>
                      <w:sz w:val="22"/>
                      <w:szCs w:val="22"/>
                    </w:rPr>
                    <w:t xml:space="preserve">- </w:t>
                  </w:r>
                  <w:r w:rsidRPr="00763AFD">
                    <w:rPr>
                      <w:rFonts w:ascii="Arial" w:eastAsia="Times New Roman" w:hAnsi="Arial" w:cs="Arial"/>
                      <w:sz w:val="22"/>
                      <w:szCs w:val="22"/>
                    </w:rPr>
                    <w:t>It is proposed that EGM of wholly owned subsidiary of a company incorporated outside India can be held outside India.</w:t>
                  </w:r>
                </w:p>
              </w:tc>
            </w:tr>
            <w:tr w:rsidR="00B0080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22.</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123- Declaration of dividend</w:t>
                  </w:r>
                  <w:r w:rsidRPr="00763AFD">
                    <w:rPr>
                      <w:rFonts w:ascii="Arial" w:eastAsia="Times New Roman" w:hAnsi="Arial" w:cs="Arial"/>
                      <w:sz w:val="22"/>
                      <w:szCs w:val="22"/>
                    </w:rPr>
                    <w:t xml:space="preserve"> </w:t>
                  </w:r>
                  <w:r>
                    <w:rPr>
                      <w:rFonts w:ascii="Arial" w:eastAsia="Times New Roman" w:hAnsi="Arial" w:cs="Arial"/>
                      <w:sz w:val="22"/>
                      <w:szCs w:val="22"/>
                    </w:rPr>
                    <w:t xml:space="preserve"> -</w:t>
                  </w:r>
                  <w:r w:rsidRPr="00763AFD">
                    <w:rPr>
                      <w:rFonts w:ascii="Arial" w:eastAsia="Times New Roman" w:hAnsi="Arial" w:cs="Arial"/>
                      <w:sz w:val="22"/>
                      <w:szCs w:val="22"/>
                    </w:rPr>
                    <w:t xml:space="preserve">It is proposed that the Board of Directors of a company </w:t>
                  </w:r>
                  <w:r w:rsidRPr="00763AFD">
                    <w:rPr>
                      <w:rFonts w:ascii="Arial" w:eastAsia="Times New Roman" w:hAnsi="Arial" w:cs="Arial"/>
                      <w:b/>
                      <w:sz w:val="22"/>
                      <w:szCs w:val="22"/>
                    </w:rPr>
                    <w:t xml:space="preserve">may declare interim dividend during any financial year or at any time during the period from closure of financial year till holding of the annual general meeting </w:t>
                  </w:r>
                  <w:r w:rsidRPr="00763AFD">
                    <w:rPr>
                      <w:rFonts w:ascii="Arial" w:eastAsia="Times New Roman" w:hAnsi="Arial" w:cs="Arial"/>
                      <w:sz w:val="22"/>
                      <w:szCs w:val="22"/>
                    </w:rPr>
                    <w:t>out of the surplus in the profit and loss account or out of profits of the financial year for which such interim dividend is sought to be declared or out of profits generated in the financial year till the quarter preceding the date of declaration of the interim dividend:</w:t>
                  </w:r>
                  <w:r w:rsidRPr="00763AFD">
                    <w:rPr>
                      <w:rFonts w:ascii="Arial" w:eastAsia="Times New Roman" w:hAnsi="Arial" w:cs="Arial"/>
                      <w:sz w:val="22"/>
                      <w:szCs w:val="22"/>
                    </w:rPr>
                    <w:br/>
                  </w:r>
                  <w:r w:rsidRPr="00763AFD">
                    <w:rPr>
                      <w:rFonts w:ascii="Arial" w:eastAsia="Times New Roman" w:hAnsi="Arial" w:cs="Arial"/>
                      <w:sz w:val="22"/>
                      <w:szCs w:val="22"/>
                    </w:rPr>
                    <w:br/>
                    <w:t>Provided that in case the company has incurred loss during the current financial year up to the end of the quarter immediately preceding the date of declaration of interim dividend, such interim dividend shall not be declared at a rate higher than the average dividends declared by the company during immediately preceding three financial years.</w:t>
                  </w:r>
                </w:p>
              </w:tc>
            </w:tr>
            <w:tr w:rsidR="00B0080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23.</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129- Financial Statement</w:t>
                  </w:r>
                  <w:r w:rsidRPr="00763AFD">
                    <w:rPr>
                      <w:rFonts w:ascii="Arial" w:eastAsia="Times New Roman" w:hAnsi="Arial" w:cs="Arial"/>
                      <w:sz w:val="22"/>
                      <w:szCs w:val="22"/>
                    </w:rPr>
                    <w:t xml:space="preserve"> </w:t>
                  </w:r>
                  <w:r>
                    <w:rPr>
                      <w:rFonts w:ascii="Arial" w:eastAsia="Times New Roman" w:hAnsi="Arial" w:cs="Arial"/>
                      <w:sz w:val="22"/>
                      <w:szCs w:val="22"/>
                    </w:rPr>
                    <w:t xml:space="preserve"> -</w:t>
                  </w:r>
                  <w:r w:rsidRPr="00763AFD">
                    <w:rPr>
                      <w:rFonts w:ascii="Arial" w:eastAsia="Times New Roman" w:hAnsi="Arial" w:cs="Arial"/>
                      <w:sz w:val="22"/>
                      <w:szCs w:val="22"/>
                    </w:rPr>
                    <w:t xml:space="preserve">The requirement of consolidating the accounts of a </w:t>
                  </w:r>
                  <w:r w:rsidRPr="00763AFD">
                    <w:rPr>
                      <w:rFonts w:ascii="Arial" w:eastAsia="Times New Roman" w:hAnsi="Arial" w:cs="Arial"/>
                      <w:b/>
                      <w:sz w:val="22"/>
                      <w:szCs w:val="22"/>
                    </w:rPr>
                    <w:t>joint venture is proposed to be omitted.</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24.</w:t>
                  </w:r>
                </w:p>
              </w:tc>
              <w:tc>
                <w:tcPr>
                  <w:tcW w:w="1418" w:type="dxa"/>
                  <w:vMerge w:val="restart"/>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134- Financial Statement, Board’s report, etc.</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w:t>
                  </w:r>
                  <w:r w:rsidRPr="00763AFD">
                    <w:rPr>
                      <w:rFonts w:ascii="Arial" w:eastAsia="Times New Roman" w:hAnsi="Arial" w:cs="Arial"/>
                      <w:b/>
                      <w:sz w:val="22"/>
                      <w:szCs w:val="22"/>
                    </w:rPr>
                    <w:t xml:space="preserve">CEO whether appointed as a Director or not, will sign </w:t>
                  </w:r>
                  <w:r w:rsidRPr="00763AFD">
                    <w:rPr>
                      <w:rFonts w:ascii="Arial" w:eastAsia="Times New Roman" w:hAnsi="Arial" w:cs="Arial"/>
                      <w:sz w:val="22"/>
                      <w:szCs w:val="22"/>
                    </w:rPr>
                    <w:t>the financial statement. Currently CEO is required to sign, only if he is also acting as a director.</w:t>
                  </w:r>
                </w:p>
              </w:tc>
              <w:tc>
                <w:tcPr>
                  <w:tcW w:w="8505" w:type="dxa"/>
                  <w:tcBorders>
                    <w:top w:val="outset" w:sz="6" w:space="0" w:color="auto"/>
                    <w:left w:val="outset" w:sz="6" w:space="0" w:color="auto"/>
                    <w:bottom w:val="outset" w:sz="6" w:space="0" w:color="auto"/>
                    <w:right w:val="outset" w:sz="6" w:space="0" w:color="auto"/>
                  </w:tcBorders>
                </w:tcPr>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25.</w:t>
                  </w:r>
                </w:p>
              </w:tc>
              <w:tc>
                <w:tcPr>
                  <w:tcW w:w="1418" w:type="dxa"/>
                  <w:vMerge/>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ind w:right="339"/>
                    <w:rPr>
                      <w:rFonts w:ascii="Arial" w:eastAsia="Times New Roman" w:hAnsi="Arial" w:cs="Arial"/>
                    </w:rPr>
                  </w:pP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In case of </w:t>
                  </w:r>
                  <w:r w:rsidRPr="00763AFD">
                    <w:rPr>
                      <w:rFonts w:ascii="Arial" w:eastAsia="Times New Roman" w:hAnsi="Arial" w:cs="Arial"/>
                      <w:b/>
                      <w:sz w:val="22"/>
                      <w:szCs w:val="22"/>
                    </w:rPr>
                    <w:t>Directors reports,</w:t>
                  </w:r>
                  <w:r w:rsidRPr="00763AFD">
                    <w:rPr>
                      <w:rFonts w:ascii="Arial" w:eastAsia="Times New Roman" w:hAnsi="Arial" w:cs="Arial"/>
                      <w:sz w:val="22"/>
                      <w:szCs w:val="22"/>
                    </w:rPr>
                    <w:t xml:space="preserve"> it is proposed that disclosures which has been </w:t>
                  </w:r>
                  <w:r w:rsidRPr="00763AFD">
                    <w:rPr>
                      <w:rFonts w:ascii="Arial" w:eastAsia="Times New Roman" w:hAnsi="Arial" w:cs="Arial"/>
                      <w:b/>
                      <w:sz w:val="22"/>
                      <w:szCs w:val="22"/>
                    </w:rPr>
                    <w:t xml:space="preserve">provided in the financial statement shall not be required to be reproduced </w:t>
                  </w:r>
                  <w:r w:rsidRPr="00763AFD">
                    <w:rPr>
                      <w:rFonts w:ascii="Arial" w:eastAsia="Times New Roman" w:hAnsi="Arial" w:cs="Arial"/>
                      <w:sz w:val="22"/>
                      <w:szCs w:val="22"/>
                    </w:rPr>
                    <w:t xml:space="preserve">in the report again. Further instead of </w:t>
                  </w:r>
                  <w:r w:rsidRPr="00763AFD">
                    <w:rPr>
                      <w:rFonts w:ascii="Arial" w:eastAsia="Times New Roman" w:hAnsi="Arial" w:cs="Arial"/>
                      <w:b/>
                      <w:sz w:val="22"/>
                      <w:szCs w:val="22"/>
                    </w:rPr>
                    <w:t>exact text of the policies, key feature of policies along with its web link</w:t>
                  </w:r>
                  <w:r w:rsidRPr="00763AFD">
                    <w:rPr>
                      <w:rFonts w:ascii="Arial" w:eastAsia="Times New Roman" w:hAnsi="Arial" w:cs="Arial"/>
                      <w:sz w:val="22"/>
                      <w:szCs w:val="22"/>
                    </w:rPr>
                    <w:t xml:space="preserve"> shall be disclosed.</w:t>
                  </w:r>
                </w:p>
              </w:tc>
              <w:tc>
                <w:tcPr>
                  <w:tcW w:w="8505" w:type="dxa"/>
                  <w:tcBorders>
                    <w:top w:val="outset" w:sz="6" w:space="0" w:color="auto"/>
                    <w:left w:val="outset" w:sz="6" w:space="0" w:color="auto"/>
                    <w:bottom w:val="outset" w:sz="6" w:space="0" w:color="auto"/>
                    <w:right w:val="outset" w:sz="6" w:space="0" w:color="auto"/>
                  </w:tcBorders>
                </w:tcPr>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26.</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135- Corporate Social Responsibility</w:t>
                  </w:r>
                  <w:r w:rsidRPr="00763AFD">
                    <w:rPr>
                      <w:rFonts w:ascii="Arial" w:eastAsia="Times New Roman" w:hAnsi="Arial" w:cs="Arial"/>
                      <w:sz w:val="22"/>
                      <w:szCs w:val="22"/>
                    </w:rPr>
                    <w:t xml:space="preserve"> </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Eligibility criteria for the purpose of constituting the corporate social responsibility committee and incurring expenditure towards CSR is proposed to be calculated </w:t>
                  </w:r>
                  <w:r w:rsidRPr="00763AFD">
                    <w:rPr>
                      <w:rFonts w:ascii="Arial" w:eastAsia="Times New Roman" w:hAnsi="Arial" w:cs="Arial"/>
                      <w:b/>
                      <w:sz w:val="22"/>
                      <w:szCs w:val="22"/>
                    </w:rPr>
                    <w:t>based on immediately preceding financial year</w:t>
                  </w:r>
                  <w:r w:rsidRPr="00763AFD">
                    <w:rPr>
                      <w:rFonts w:ascii="Arial" w:eastAsia="Times New Roman" w:hAnsi="Arial" w:cs="Arial"/>
                      <w:sz w:val="22"/>
                      <w:szCs w:val="22"/>
                    </w:rPr>
                    <w:t xml:space="preserve">. Currently this eligibility is decided based </w:t>
                  </w:r>
                  <w:r w:rsidRPr="00763AFD">
                    <w:rPr>
                      <w:rFonts w:ascii="Arial" w:eastAsia="Times New Roman" w:hAnsi="Arial" w:cs="Arial"/>
                      <w:b/>
                      <w:sz w:val="22"/>
                      <w:szCs w:val="22"/>
                    </w:rPr>
                    <w:t>on preceding three financial years.</w:t>
                  </w:r>
                  <w:r w:rsidRPr="00763AFD">
                    <w:rPr>
                      <w:rFonts w:ascii="Arial" w:eastAsia="Times New Roman" w:hAnsi="Arial" w:cs="Arial"/>
                      <w:sz w:val="22"/>
                      <w:szCs w:val="22"/>
                    </w:rPr>
                    <w:t xml:space="preserve"> Further it also proposed to empower the Central Government to prescribe sums which shall not be included for calculating 'net profit' of a company under section 135. </w:t>
                  </w:r>
                </w:p>
              </w:tc>
              <w:tc>
                <w:tcPr>
                  <w:tcW w:w="8505" w:type="dxa"/>
                  <w:tcBorders>
                    <w:top w:val="outset" w:sz="6" w:space="0" w:color="auto"/>
                    <w:left w:val="outset" w:sz="6" w:space="0" w:color="auto"/>
                    <w:bottom w:val="outset" w:sz="6" w:space="0" w:color="auto"/>
                    <w:right w:val="outset" w:sz="6" w:space="0" w:color="auto"/>
                  </w:tcBorders>
                </w:tcPr>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28.</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137- Copy of Financial Statement to be filed with Registrar</w:t>
                  </w:r>
                  <w:r w:rsidRPr="00763AFD">
                    <w:rPr>
                      <w:rFonts w:ascii="Arial" w:eastAsia="Times New Roman" w:hAnsi="Arial" w:cs="Arial"/>
                      <w:sz w:val="22"/>
                      <w:szCs w:val="22"/>
                    </w:rPr>
                    <w:t xml:space="preserve"> </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to enable the filing of unaudited financial statements of foreign subsidiaries which is not required to get its accounts audited. </w:t>
                  </w:r>
                </w:p>
              </w:tc>
              <w:tc>
                <w:tcPr>
                  <w:tcW w:w="8505" w:type="dxa"/>
                  <w:tcBorders>
                    <w:top w:val="outset" w:sz="6" w:space="0" w:color="auto"/>
                    <w:left w:val="outset" w:sz="6" w:space="0" w:color="auto"/>
                    <w:bottom w:val="outset" w:sz="6" w:space="0" w:color="auto"/>
                    <w:right w:val="outset" w:sz="6" w:space="0" w:color="auto"/>
                  </w:tcBorders>
                </w:tcPr>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29.</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139- Appointment of Auditors</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The requirement related to </w:t>
                  </w:r>
                  <w:r w:rsidRPr="00763AFD">
                    <w:rPr>
                      <w:rFonts w:ascii="Arial" w:eastAsia="Times New Roman" w:hAnsi="Arial" w:cs="Arial"/>
                      <w:b/>
                      <w:sz w:val="22"/>
                      <w:szCs w:val="22"/>
                    </w:rPr>
                    <w:t>annual ratification of appointment of auditors</w:t>
                  </w:r>
                  <w:r w:rsidRPr="00763AFD">
                    <w:rPr>
                      <w:rFonts w:ascii="Arial" w:eastAsia="Times New Roman" w:hAnsi="Arial" w:cs="Arial"/>
                      <w:sz w:val="22"/>
                      <w:szCs w:val="22"/>
                    </w:rPr>
                    <w:t xml:space="preserve"> by members is proposed to </w:t>
                  </w:r>
                  <w:r w:rsidRPr="00763AFD">
                    <w:rPr>
                      <w:rFonts w:ascii="Arial" w:eastAsia="Times New Roman" w:hAnsi="Arial" w:cs="Arial"/>
                      <w:b/>
                      <w:sz w:val="22"/>
                      <w:szCs w:val="22"/>
                    </w:rPr>
                    <w:t>be omitted.</w:t>
                  </w:r>
                  <w:r w:rsidRPr="00763AFD">
                    <w:rPr>
                      <w:rFonts w:ascii="Arial" w:eastAsia="Times New Roman" w:hAnsi="Arial" w:cs="Arial"/>
                      <w:sz w:val="22"/>
                      <w:szCs w:val="22"/>
                    </w:rPr>
                    <w:t xml:space="preserve"> </w:t>
                  </w:r>
                </w:p>
              </w:tc>
              <w:tc>
                <w:tcPr>
                  <w:tcW w:w="8505" w:type="dxa"/>
                  <w:tcBorders>
                    <w:top w:val="outset" w:sz="6" w:space="0" w:color="auto"/>
                    <w:left w:val="outset" w:sz="6" w:space="0" w:color="auto"/>
                    <w:bottom w:val="outset" w:sz="6" w:space="0" w:color="auto"/>
                    <w:right w:val="outset" w:sz="6" w:space="0" w:color="auto"/>
                  </w:tcBorders>
                </w:tcPr>
                <w:p w:rsidR="00B71A99" w:rsidRPr="00763AFD" w:rsidRDefault="00B71A99" w:rsidP="00763AFD">
                  <w:pPr>
                    <w:pStyle w:val="Default"/>
                    <w:ind w:right="339"/>
                    <w:rPr>
                      <w:color w:val="auto"/>
                      <w:sz w:val="22"/>
                      <w:szCs w:val="22"/>
                    </w:rPr>
                  </w:pPr>
                  <w:r w:rsidRPr="00763AFD">
                    <w:rPr>
                      <w:b/>
                      <w:bCs/>
                      <w:color w:val="auto"/>
                      <w:sz w:val="22"/>
                      <w:szCs w:val="22"/>
                    </w:rPr>
                    <w:t xml:space="preserve">There is an inconsistency due to the two provisions, wherein removal would require a special resolution and approval of the Central Government while removal through non-ratification would need a resolution. The Committee felt that it would be advisable to omit the provisions with respect to ratification, as it defeats the objective of giving five year term to the auditors. This would also remove the inconsistency in the Act. </w:t>
                  </w:r>
                </w:p>
                <w:p w:rsidR="00B71A99" w:rsidRPr="00763AFD" w:rsidRDefault="00B71A99" w:rsidP="00763AFD">
                  <w:pPr>
                    <w:pStyle w:val="Default"/>
                    <w:ind w:right="339"/>
                    <w:rPr>
                      <w:color w:val="auto"/>
                      <w:sz w:val="22"/>
                      <w:szCs w:val="22"/>
                    </w:rPr>
                  </w:pPr>
                </w:p>
                <w:p w:rsidR="00B71A99" w:rsidRPr="00763AFD" w:rsidRDefault="00B71A99" w:rsidP="00763AFD">
                  <w:pPr>
                    <w:pStyle w:val="Default"/>
                    <w:ind w:right="339"/>
                    <w:rPr>
                      <w:color w:val="auto"/>
                      <w:sz w:val="22"/>
                      <w:szCs w:val="22"/>
                    </w:rPr>
                  </w:pPr>
                  <w:r w:rsidRPr="00763AFD">
                    <w:rPr>
                      <w:color w:val="auto"/>
                      <w:sz w:val="22"/>
                      <w:szCs w:val="22"/>
                    </w:rPr>
                    <w:t xml:space="preserve">10.3 </w:t>
                  </w:r>
                  <w:r w:rsidRPr="00763AFD">
                    <w:rPr>
                      <w:b/>
                      <w:bCs/>
                      <w:color w:val="auto"/>
                      <w:sz w:val="22"/>
                      <w:szCs w:val="22"/>
                    </w:rPr>
                    <w:t xml:space="preserve">The Committee felt that if the auditor was unwilling to continue at any stage before completion of his five-year term, it should be treated as a case of resignation, and the provisions of Section 139(8) for the filling up such casual </w:t>
                  </w:r>
                </w:p>
                <w:p w:rsidR="00B71A99" w:rsidRPr="00763AFD" w:rsidRDefault="00B71A99" w:rsidP="00763AFD">
                  <w:pPr>
                    <w:pStyle w:val="Default"/>
                    <w:ind w:right="339"/>
                    <w:rPr>
                      <w:color w:val="auto"/>
                      <w:sz w:val="22"/>
                      <w:szCs w:val="22"/>
                    </w:rPr>
                  </w:pPr>
                  <w:r w:rsidRPr="00763AFD">
                    <w:rPr>
                      <w:rFonts w:ascii="Calibri" w:hAnsi="Calibri" w:cs="Calibri"/>
                      <w:color w:val="auto"/>
                      <w:sz w:val="22"/>
                      <w:szCs w:val="22"/>
                    </w:rPr>
                    <w:lastRenderedPageBreak/>
                    <w:t xml:space="preserve"> </w:t>
                  </w:r>
                </w:p>
                <w:p w:rsidR="00B71A99" w:rsidRPr="00763AFD" w:rsidRDefault="00B71A99" w:rsidP="00763AFD">
                  <w:pPr>
                    <w:pStyle w:val="Default"/>
                    <w:ind w:right="339"/>
                    <w:rPr>
                      <w:color w:val="auto"/>
                      <w:sz w:val="22"/>
                      <w:szCs w:val="22"/>
                    </w:rPr>
                  </w:pPr>
                  <w:r w:rsidRPr="00763AFD">
                    <w:rPr>
                      <w:b/>
                      <w:bCs/>
                      <w:color w:val="auto"/>
                      <w:sz w:val="22"/>
                      <w:szCs w:val="22"/>
                    </w:rPr>
                    <w:t xml:space="preserve">vacancy arising due to resignation should apply. This may be made explicit in the section itself.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30.</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149- Company to have Board of Directors</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182 days for determining whether a </w:t>
                  </w:r>
                  <w:r w:rsidRPr="00763AFD">
                    <w:rPr>
                      <w:rFonts w:ascii="Arial" w:eastAsia="Times New Roman" w:hAnsi="Arial" w:cs="Arial"/>
                      <w:b/>
                      <w:sz w:val="22"/>
                      <w:szCs w:val="22"/>
                    </w:rPr>
                    <w:t>director is resident in India shall be computed with reference to the financial year.</w:t>
                  </w:r>
                  <w:r w:rsidRPr="00763AFD">
                    <w:rPr>
                      <w:rFonts w:ascii="Arial" w:eastAsia="Times New Roman" w:hAnsi="Arial" w:cs="Arial"/>
                      <w:sz w:val="22"/>
                      <w:szCs w:val="22"/>
                    </w:rPr>
                    <w:t xml:space="preserve"> Currently it is calculated in reference to </w:t>
                  </w:r>
                  <w:r w:rsidRPr="00763AFD">
                    <w:rPr>
                      <w:rFonts w:ascii="Arial" w:eastAsia="Times New Roman" w:hAnsi="Arial" w:cs="Arial"/>
                      <w:b/>
                      <w:sz w:val="22"/>
                      <w:szCs w:val="22"/>
                    </w:rPr>
                    <w:t>previous calendar year.</w:t>
                  </w:r>
                  <w:r w:rsidRPr="00763AFD">
                    <w:rPr>
                      <w:rFonts w:ascii="Arial" w:eastAsia="Times New Roman" w:hAnsi="Arial" w:cs="Arial"/>
                      <w:sz w:val="22"/>
                      <w:szCs w:val="22"/>
                    </w:rPr>
                    <w:t xml:space="preserve"> </w:t>
                  </w:r>
                  <w:r w:rsidRPr="00763AFD">
                    <w:rPr>
                      <w:rFonts w:ascii="Arial" w:eastAsia="Times New Roman" w:hAnsi="Arial" w:cs="Arial"/>
                      <w:sz w:val="22"/>
                      <w:szCs w:val="22"/>
                    </w:rPr>
                    <w:br/>
                  </w:r>
                  <w:r w:rsidRPr="00763AFD">
                    <w:rPr>
                      <w:rFonts w:ascii="Arial" w:eastAsia="Times New Roman" w:hAnsi="Arial" w:cs="Arial"/>
                      <w:sz w:val="22"/>
                      <w:szCs w:val="22"/>
                    </w:rPr>
                    <w:br/>
                    <w:t xml:space="preserve">Further it is proposed that in case of new companies, the requirement of </w:t>
                  </w:r>
                  <w:r w:rsidRPr="00763AFD">
                    <w:rPr>
                      <w:rFonts w:ascii="Arial" w:eastAsia="Times New Roman" w:hAnsi="Arial" w:cs="Arial"/>
                      <w:b/>
                      <w:sz w:val="22"/>
                      <w:szCs w:val="22"/>
                    </w:rPr>
                    <w:t xml:space="preserve">period of 182 days shall apply proportionately. </w:t>
                  </w:r>
                  <w:r w:rsidRPr="00763AFD">
                    <w:rPr>
                      <w:rFonts w:ascii="Arial" w:eastAsia="Times New Roman" w:hAnsi="Arial" w:cs="Arial"/>
                      <w:b/>
                      <w:sz w:val="22"/>
                      <w:szCs w:val="22"/>
                    </w:rPr>
                    <w:br/>
                  </w:r>
                  <w:r w:rsidRPr="00763AFD">
                    <w:rPr>
                      <w:rFonts w:ascii="Arial" w:eastAsia="Times New Roman" w:hAnsi="Arial" w:cs="Arial"/>
                      <w:sz w:val="22"/>
                      <w:szCs w:val="22"/>
                    </w:rPr>
                    <w:br/>
                    <w:t xml:space="preserve">In the definition of Independent Director , the words ‘pecuniary interest’ is proposed to be substituted by "pecuniary relationship, other than remuneration as such director or having transaction not exceeding ten per cent. of his total income or such amount as may be prescribed” </w:t>
                  </w:r>
                </w:p>
              </w:tc>
              <w:tc>
                <w:tcPr>
                  <w:tcW w:w="8505" w:type="dxa"/>
                  <w:tcBorders>
                    <w:top w:val="outset" w:sz="6" w:space="0" w:color="auto"/>
                    <w:left w:val="outset" w:sz="6" w:space="0" w:color="auto"/>
                    <w:bottom w:val="outset" w:sz="6" w:space="0" w:color="auto"/>
                    <w:right w:val="outset" w:sz="6" w:space="0" w:color="auto"/>
                  </w:tcBorders>
                </w:tcPr>
                <w:p w:rsidR="000141C3" w:rsidRPr="00763AFD" w:rsidRDefault="000141C3" w:rsidP="00763AFD">
                  <w:pPr>
                    <w:pStyle w:val="Default"/>
                    <w:ind w:right="339"/>
                    <w:rPr>
                      <w:color w:val="auto"/>
                      <w:sz w:val="22"/>
                      <w:szCs w:val="22"/>
                    </w:rPr>
                  </w:pPr>
                  <w:r w:rsidRPr="00763AFD">
                    <w:rPr>
                      <w:i/>
                      <w:iCs/>
                      <w:color w:val="auto"/>
                      <w:sz w:val="22"/>
                      <w:szCs w:val="22"/>
                    </w:rPr>
                    <w:t xml:space="preserve">Residence requirement for Directors </w:t>
                  </w:r>
                </w:p>
                <w:p w:rsidR="000141C3" w:rsidRPr="00763AFD" w:rsidRDefault="000141C3" w:rsidP="00763AFD">
                  <w:pPr>
                    <w:pStyle w:val="Default"/>
                    <w:ind w:right="339"/>
                    <w:rPr>
                      <w:color w:val="auto"/>
                      <w:sz w:val="22"/>
                      <w:szCs w:val="22"/>
                    </w:rPr>
                  </w:pPr>
                  <w:r w:rsidRPr="00763AFD">
                    <w:rPr>
                      <w:color w:val="auto"/>
                      <w:sz w:val="22"/>
                      <w:szCs w:val="22"/>
                    </w:rPr>
                    <w:t xml:space="preserve">11.1 Section 149(3) requires a company to have at least one Director to have stayed in India for a total period of not less than one hundred and eighty-two days in the previous calendar year. </w:t>
                  </w:r>
                  <w:r w:rsidRPr="00763AFD">
                    <w:rPr>
                      <w:b/>
                      <w:bCs/>
                      <w:color w:val="auto"/>
                      <w:sz w:val="22"/>
                      <w:szCs w:val="22"/>
                    </w:rPr>
                    <w:t xml:space="preserve">The Committee felt that it would be more appropriate that </w:t>
                  </w:r>
                </w:p>
                <w:p w:rsidR="000141C3" w:rsidRPr="00763AFD" w:rsidRDefault="000141C3" w:rsidP="00763AFD">
                  <w:pPr>
                    <w:pStyle w:val="Default"/>
                    <w:ind w:right="339"/>
                    <w:rPr>
                      <w:color w:val="auto"/>
                      <w:sz w:val="22"/>
                      <w:szCs w:val="22"/>
                    </w:rPr>
                  </w:pPr>
                  <w:r w:rsidRPr="00763AFD">
                    <w:rPr>
                      <w:rFonts w:ascii="Calibri" w:hAnsi="Calibri" w:cs="Calibri"/>
                      <w:color w:val="auto"/>
                      <w:sz w:val="22"/>
                      <w:szCs w:val="22"/>
                    </w:rPr>
                    <w:t xml:space="preserve">52 </w:t>
                  </w:r>
                </w:p>
                <w:p w:rsidR="000141C3" w:rsidRPr="00763AFD" w:rsidRDefault="000141C3" w:rsidP="00763AFD">
                  <w:pPr>
                    <w:pStyle w:val="Default"/>
                    <w:ind w:right="339"/>
                    <w:rPr>
                      <w:color w:val="auto"/>
                      <w:sz w:val="22"/>
                      <w:szCs w:val="22"/>
                    </w:rPr>
                  </w:pPr>
                  <w:r w:rsidRPr="00763AFD">
                    <w:rPr>
                      <w:b/>
                      <w:bCs/>
                      <w:color w:val="auto"/>
                      <w:sz w:val="22"/>
                      <w:szCs w:val="22"/>
                    </w:rPr>
                    <w:t xml:space="preserve">such a requirement is in relation to the director’s stay in India during the financial year and not the calendar year, with the requirement effective after a period of six months from incorporation. </w:t>
                  </w:r>
                  <w:r w:rsidRPr="00763AFD">
                    <w:rPr>
                      <w:color w:val="auto"/>
                      <w:sz w:val="22"/>
                      <w:szCs w:val="22"/>
                    </w:rPr>
                    <w:t xml:space="preserve">It was also pointed out that the requirements for residency in the previous year forces a new subsidiary of a company incorporated outside India to appoint an individual/professional unconnected with the company as Director, which did not aid in any way in Board decision making and many a time leads to unnecessary disputes. </w:t>
                  </w:r>
                  <w:r w:rsidRPr="00763AFD">
                    <w:rPr>
                      <w:b/>
                      <w:bCs/>
                      <w:color w:val="auto"/>
                      <w:sz w:val="22"/>
                      <w:szCs w:val="22"/>
                    </w:rPr>
                    <w:t xml:space="preserve">The Committee recommended that it would be more appropriate that the residence requirement is for the current financial year. On the suggestion to align the requirements of residency with that of the Income Tax Act, 1961, the Committee felt that it may not be appropriate as its requirements are more expansive rather than restrictive and would defeat the purpose of prescribing the residency criteria.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31.</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153- Application for allotment of Director Identification Number</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to empower the Central Government to recognize </w:t>
                  </w:r>
                  <w:r w:rsidRPr="00763AFD">
                    <w:rPr>
                      <w:rFonts w:ascii="Arial" w:eastAsia="Times New Roman" w:hAnsi="Arial" w:cs="Arial"/>
                      <w:b/>
                      <w:sz w:val="22"/>
                      <w:szCs w:val="22"/>
                    </w:rPr>
                    <w:t>any other identification number to be treated as director identification number</w:t>
                  </w:r>
                  <w:r w:rsidRPr="00763AFD">
                    <w:rPr>
                      <w:rFonts w:ascii="Arial" w:eastAsia="Times New Roman" w:hAnsi="Arial" w:cs="Arial"/>
                      <w:sz w:val="22"/>
                      <w:szCs w:val="22"/>
                    </w:rPr>
                    <w:t>.</w:t>
                  </w:r>
                </w:p>
              </w:tc>
              <w:tc>
                <w:tcPr>
                  <w:tcW w:w="8505" w:type="dxa"/>
                  <w:tcBorders>
                    <w:top w:val="outset" w:sz="6" w:space="0" w:color="auto"/>
                    <w:left w:val="outset" w:sz="6" w:space="0" w:color="auto"/>
                    <w:bottom w:val="outset" w:sz="6" w:space="0" w:color="auto"/>
                    <w:right w:val="outset" w:sz="6" w:space="0" w:color="auto"/>
                  </w:tcBorders>
                </w:tcPr>
                <w:p w:rsidR="009F1DFD" w:rsidRPr="00763AFD" w:rsidRDefault="009F1DFD" w:rsidP="00763AFD">
                  <w:pPr>
                    <w:spacing w:line="330" w:lineRule="atLeast"/>
                    <w:ind w:right="339"/>
                    <w:jc w:val="both"/>
                    <w:rPr>
                      <w:rFonts w:ascii="Arial" w:eastAsia="Times New Roman" w:hAnsi="Arial" w:cs="Arial"/>
                    </w:rPr>
                  </w:pPr>
                </w:p>
              </w:tc>
            </w:tr>
            <w:tr w:rsidR="00B0080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32.</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160- Right of persons other than retiring directors to stand for directorship</w:t>
                  </w:r>
                  <w:r w:rsidRPr="00763AFD">
                    <w:rPr>
                      <w:rFonts w:ascii="Arial" w:eastAsia="Times New Roman" w:hAnsi="Arial" w:cs="Arial"/>
                      <w:sz w:val="22"/>
                      <w:szCs w:val="22"/>
                    </w:rPr>
                    <w:t xml:space="preserve"> </w:t>
                  </w:r>
                  <w:r>
                    <w:rPr>
                      <w:rFonts w:ascii="Arial" w:eastAsia="Times New Roman" w:hAnsi="Arial" w:cs="Arial"/>
                      <w:sz w:val="22"/>
                      <w:szCs w:val="22"/>
                    </w:rPr>
                    <w:t xml:space="preserve">- </w:t>
                  </w:r>
                  <w:r w:rsidRPr="00763AFD">
                    <w:rPr>
                      <w:rFonts w:ascii="Arial" w:eastAsia="Times New Roman" w:hAnsi="Arial" w:cs="Arial"/>
                      <w:sz w:val="22"/>
                      <w:szCs w:val="22"/>
                    </w:rPr>
                    <w:t xml:space="preserve">It is proposed that the requirement of deposit of </w:t>
                  </w:r>
                  <w:r w:rsidRPr="00763AFD">
                    <w:rPr>
                      <w:rFonts w:ascii="Arial" w:eastAsia="Times New Roman" w:hAnsi="Arial" w:cs="Arial"/>
                      <w:b/>
                      <w:sz w:val="22"/>
                      <w:szCs w:val="22"/>
                    </w:rPr>
                    <w:t xml:space="preserve">rupees one </w:t>
                  </w:r>
                  <w:proofErr w:type="spellStart"/>
                  <w:r w:rsidRPr="00763AFD">
                    <w:rPr>
                      <w:rFonts w:ascii="Arial" w:eastAsia="Times New Roman" w:hAnsi="Arial" w:cs="Arial"/>
                      <w:b/>
                      <w:sz w:val="22"/>
                      <w:szCs w:val="22"/>
                    </w:rPr>
                    <w:t>lakh</w:t>
                  </w:r>
                  <w:proofErr w:type="spellEnd"/>
                  <w:r w:rsidRPr="00763AFD">
                    <w:rPr>
                      <w:rFonts w:ascii="Arial" w:eastAsia="Times New Roman" w:hAnsi="Arial" w:cs="Arial"/>
                      <w:b/>
                      <w:sz w:val="22"/>
                      <w:szCs w:val="22"/>
                    </w:rPr>
                    <w:t xml:space="preserve"> with respect to nomination of directors shall not be applicable </w:t>
                  </w:r>
                  <w:r w:rsidRPr="00763AFD">
                    <w:rPr>
                      <w:rFonts w:ascii="Arial" w:eastAsia="Times New Roman" w:hAnsi="Arial" w:cs="Arial"/>
                      <w:sz w:val="22"/>
                      <w:szCs w:val="22"/>
                    </w:rPr>
                    <w:t xml:space="preserve">in case of appointment of independent directors or directors nominated by nomination and remuneration committee. </w:t>
                  </w:r>
                </w:p>
              </w:tc>
            </w:tr>
            <w:tr w:rsidR="00B0080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33.</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165- Number of Directorship</w:t>
                  </w:r>
                  <w:r w:rsidRPr="00763AFD">
                    <w:rPr>
                      <w:rFonts w:ascii="Arial" w:eastAsia="Times New Roman" w:hAnsi="Arial" w:cs="Arial"/>
                      <w:sz w:val="22"/>
                      <w:szCs w:val="22"/>
                    </w:rPr>
                    <w:t xml:space="preserve"> </w:t>
                  </w:r>
                  <w:r>
                    <w:rPr>
                      <w:rFonts w:ascii="Arial" w:eastAsia="Times New Roman" w:hAnsi="Arial" w:cs="Arial"/>
                      <w:sz w:val="22"/>
                      <w:szCs w:val="22"/>
                    </w:rPr>
                    <w:t>-</w:t>
                  </w:r>
                  <w:r w:rsidRPr="00763AFD">
                    <w:rPr>
                      <w:rFonts w:ascii="Arial" w:eastAsia="Times New Roman" w:hAnsi="Arial" w:cs="Arial"/>
                      <w:sz w:val="22"/>
                      <w:szCs w:val="22"/>
                    </w:rPr>
                    <w:t xml:space="preserve">It is proposed that the directorship in </w:t>
                  </w:r>
                  <w:r w:rsidRPr="00763AFD">
                    <w:rPr>
                      <w:rFonts w:ascii="Arial" w:eastAsia="Times New Roman" w:hAnsi="Arial" w:cs="Arial"/>
                      <w:b/>
                      <w:sz w:val="22"/>
                      <w:szCs w:val="22"/>
                    </w:rPr>
                    <w:t xml:space="preserve">a dormant company shall not </w:t>
                  </w:r>
                  <w:r w:rsidRPr="00763AFD">
                    <w:rPr>
                      <w:rFonts w:ascii="Arial" w:eastAsia="Times New Roman" w:hAnsi="Arial" w:cs="Arial"/>
                      <w:sz w:val="22"/>
                      <w:szCs w:val="22"/>
                    </w:rPr>
                    <w:t xml:space="preserve">be included in the limit of directorships of </w:t>
                  </w:r>
                  <w:r w:rsidRPr="00763AFD">
                    <w:rPr>
                      <w:rFonts w:ascii="Arial" w:eastAsia="Times New Roman" w:hAnsi="Arial" w:cs="Arial"/>
                      <w:b/>
                      <w:sz w:val="22"/>
                      <w:szCs w:val="22"/>
                    </w:rPr>
                    <w:t>20</w:t>
                  </w:r>
                  <w:r w:rsidRPr="00763AFD">
                    <w:rPr>
                      <w:rFonts w:ascii="Arial" w:eastAsia="Times New Roman" w:hAnsi="Arial" w:cs="Arial"/>
                      <w:sz w:val="22"/>
                      <w:szCs w:val="22"/>
                    </w:rPr>
                    <w:t xml:space="preserve"> companies. </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34.</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167- Vacation of office of director</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in case a director incurs any of disqualifications under section 164 (2), he shall </w:t>
                  </w:r>
                  <w:r w:rsidRPr="00763AFD">
                    <w:rPr>
                      <w:rFonts w:ascii="Arial" w:eastAsia="Times New Roman" w:hAnsi="Arial" w:cs="Arial"/>
                      <w:b/>
                      <w:sz w:val="22"/>
                      <w:szCs w:val="22"/>
                    </w:rPr>
                    <w:t>vacate office in companies other than the company which is in default.</w:t>
                  </w:r>
                  <w:r w:rsidRPr="00763AFD">
                    <w:rPr>
                      <w:rFonts w:ascii="Arial" w:eastAsia="Times New Roman" w:hAnsi="Arial" w:cs="Arial"/>
                      <w:sz w:val="22"/>
                      <w:szCs w:val="22"/>
                    </w:rPr>
                    <w:t xml:space="preserve"> It also seeks to amend section 167 with respect to appeal against conviction order.</w:t>
                  </w:r>
                </w:p>
              </w:tc>
              <w:tc>
                <w:tcPr>
                  <w:tcW w:w="8505" w:type="dxa"/>
                  <w:tcBorders>
                    <w:top w:val="outset" w:sz="6" w:space="0" w:color="auto"/>
                    <w:left w:val="outset" w:sz="6" w:space="0" w:color="auto"/>
                    <w:bottom w:val="outset" w:sz="6" w:space="0" w:color="auto"/>
                    <w:right w:val="outset" w:sz="6" w:space="0" w:color="auto"/>
                  </w:tcBorders>
                </w:tcPr>
                <w:p w:rsidR="008606F6" w:rsidRPr="00763AFD" w:rsidRDefault="008606F6" w:rsidP="00763AFD">
                  <w:pPr>
                    <w:pStyle w:val="Default"/>
                    <w:ind w:right="339"/>
                    <w:rPr>
                      <w:color w:val="auto"/>
                      <w:sz w:val="22"/>
                      <w:szCs w:val="22"/>
                    </w:rPr>
                  </w:pPr>
                  <w:r w:rsidRPr="00763AFD">
                    <w:rPr>
                      <w:i/>
                      <w:iCs/>
                      <w:color w:val="auto"/>
                      <w:sz w:val="22"/>
                      <w:szCs w:val="22"/>
                    </w:rPr>
                    <w:t xml:space="preserve">Disqualifications from appointment as, and vacation of office of director </w:t>
                  </w:r>
                </w:p>
                <w:p w:rsidR="008606F6" w:rsidRPr="00763AFD" w:rsidRDefault="008606F6" w:rsidP="00763AFD">
                  <w:pPr>
                    <w:pStyle w:val="Default"/>
                    <w:ind w:right="339"/>
                    <w:rPr>
                      <w:color w:val="auto"/>
                      <w:sz w:val="22"/>
                      <w:szCs w:val="22"/>
                    </w:rPr>
                  </w:pPr>
                  <w:r w:rsidRPr="00763AFD">
                    <w:rPr>
                      <w:color w:val="auto"/>
                      <w:sz w:val="22"/>
                      <w:szCs w:val="22"/>
                    </w:rPr>
                    <w:t xml:space="preserve">11.13 Section 167(1)(a) dealing with vacation of office by a director triggers an automatic vacation of office of the director if he incurs any of the disqualifications stipulated under Section 164. Section 164(1) provides for disqualifications which are incurred by a director in his personal capacity such as being an </w:t>
                  </w:r>
                  <w:proofErr w:type="spellStart"/>
                  <w:r w:rsidRPr="00763AFD">
                    <w:rPr>
                      <w:color w:val="auto"/>
                      <w:sz w:val="22"/>
                      <w:szCs w:val="22"/>
                    </w:rPr>
                    <w:t>undischarged</w:t>
                  </w:r>
                  <w:proofErr w:type="spellEnd"/>
                  <w:r w:rsidRPr="00763AFD">
                    <w:rPr>
                      <w:color w:val="auto"/>
                      <w:sz w:val="22"/>
                      <w:szCs w:val="22"/>
                    </w:rPr>
                    <w:t xml:space="preserve"> bankrupt, of unsound mind, convicted of an offence etc., and Section 164(2) lists out disqualifications related to the company such as non-compliance of annual filing requirements, etc. The Committee acknowledged that this Section created a paradoxical situation, as the office of all the directors in a Board would become vacant where they are disqualified under Section 164(2), and a new person could not be appointed as a director as they would also attract such a disqualification. </w:t>
                  </w:r>
                  <w:r w:rsidRPr="00763AFD">
                    <w:rPr>
                      <w:b/>
                      <w:bCs/>
                      <w:color w:val="auto"/>
                      <w:sz w:val="22"/>
                      <w:szCs w:val="22"/>
                    </w:rPr>
                    <w:t xml:space="preserve">In this regard, the Committee recommended that the vacancy of an office should be triggered only where a disqualification is incurred in a personal capacity and therefore, the scope of Section 167(1)(a) should be limited to only disqualifications under Section 164(1). </w:t>
                  </w:r>
                </w:p>
                <w:p w:rsidR="009F1DFD" w:rsidRPr="00763AFD" w:rsidRDefault="009F1DFD" w:rsidP="00763AFD">
                  <w:pPr>
                    <w:spacing w:line="330" w:lineRule="atLeast"/>
                    <w:ind w:right="339"/>
                    <w:jc w:val="both"/>
                    <w:rPr>
                      <w:rFonts w:ascii="Arial" w:eastAsia="Times New Roman" w:hAnsi="Arial" w:cs="Arial"/>
                    </w:rPr>
                  </w:pPr>
                </w:p>
              </w:tc>
            </w:tr>
            <w:tr w:rsidR="00B0080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35.</w:t>
                  </w:r>
                </w:p>
              </w:tc>
              <w:tc>
                <w:tcPr>
                  <w:tcW w:w="1418" w:type="dxa"/>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177- Audit Committee</w:t>
                  </w:r>
                </w:p>
              </w:tc>
              <w:tc>
                <w:tcPr>
                  <w:tcW w:w="13324" w:type="dxa"/>
                  <w:gridSpan w:val="2"/>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instead of listed company , listed public company shall constitute an audit committee. </w:t>
                  </w:r>
                  <w:r w:rsidRPr="00763AFD">
                    <w:rPr>
                      <w:rFonts w:ascii="Arial" w:eastAsia="Times New Roman" w:hAnsi="Arial" w:cs="Arial"/>
                      <w:sz w:val="22"/>
                      <w:szCs w:val="22"/>
                    </w:rPr>
                    <w:br/>
                  </w:r>
                  <w:r w:rsidRPr="00763AFD">
                    <w:rPr>
                      <w:rFonts w:ascii="Arial" w:eastAsia="Times New Roman" w:hAnsi="Arial" w:cs="Arial"/>
                      <w:sz w:val="22"/>
                      <w:szCs w:val="22"/>
                    </w:rPr>
                    <w:br/>
                    <w:t xml:space="preserve">It is proposed that related party transactions other than those prescribed under section 188, if not approved by Audit committee, will require the approval of Board of Directors. </w:t>
                  </w:r>
                </w:p>
              </w:tc>
            </w:tr>
            <w:tr w:rsidR="00B0080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36.</w:t>
                  </w:r>
                </w:p>
              </w:tc>
              <w:tc>
                <w:tcPr>
                  <w:tcW w:w="1418" w:type="dxa"/>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p>
              </w:tc>
              <w:tc>
                <w:tcPr>
                  <w:tcW w:w="13324" w:type="dxa"/>
                  <w:gridSpan w:val="2"/>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178- Nomination and remuneration Committee and Stakeholders Relationship Committee</w:t>
                  </w:r>
                  <w:r w:rsidRPr="00763AFD">
                    <w:rPr>
                      <w:rFonts w:ascii="Arial" w:eastAsia="Times New Roman" w:hAnsi="Arial" w:cs="Arial"/>
                      <w:sz w:val="22"/>
                      <w:szCs w:val="22"/>
                    </w:rPr>
                    <w:t xml:space="preserve"> </w:t>
                  </w:r>
                  <w:r>
                    <w:rPr>
                      <w:rFonts w:ascii="Arial" w:eastAsia="Times New Roman" w:hAnsi="Arial" w:cs="Arial"/>
                      <w:sz w:val="22"/>
                      <w:szCs w:val="22"/>
                    </w:rPr>
                    <w:t>-</w:t>
                  </w:r>
                  <w:r w:rsidRPr="00763AFD">
                    <w:rPr>
                      <w:rFonts w:ascii="Arial" w:eastAsia="Times New Roman" w:hAnsi="Arial" w:cs="Arial"/>
                      <w:sz w:val="22"/>
                      <w:szCs w:val="22"/>
                    </w:rPr>
                    <w:t xml:space="preserve">It is proposed that instead of listed company, listed public company shall constitute a Nomination and Remuneration Committee. </w:t>
                  </w:r>
                  <w:r w:rsidRPr="00763AFD">
                    <w:rPr>
                      <w:rFonts w:ascii="Arial" w:eastAsia="Times New Roman" w:hAnsi="Arial" w:cs="Arial"/>
                      <w:sz w:val="22"/>
                      <w:szCs w:val="22"/>
                    </w:rPr>
                    <w:br/>
                  </w:r>
                  <w:r w:rsidRPr="00763AFD">
                    <w:rPr>
                      <w:rFonts w:ascii="Arial" w:eastAsia="Times New Roman" w:hAnsi="Arial" w:cs="Arial"/>
                      <w:sz w:val="22"/>
                      <w:szCs w:val="22"/>
                    </w:rPr>
                    <w:br/>
                    <w:t xml:space="preserve">It is proposed that committee will specify methodology for effective evaluation of performance of Board and committees and individual directors either by the Board, nomination and remuneration committee or an independent external agency and for its review. </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37.</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 xml:space="preserve">Section </w:t>
                  </w:r>
                  <w:r w:rsidRPr="00763AFD">
                    <w:rPr>
                      <w:rStyle w:val="Strong"/>
                      <w:rFonts w:ascii="Arial" w:eastAsia="Times New Roman" w:hAnsi="Arial" w:cs="Arial"/>
                      <w:sz w:val="22"/>
                      <w:szCs w:val="22"/>
                    </w:rPr>
                    <w:lastRenderedPageBreak/>
                    <w:t>185- Loan to directors, etc.</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 xml:space="preserve">A completely new section 185 is proposed. </w:t>
                  </w:r>
                  <w:r w:rsidRPr="00763AFD">
                    <w:rPr>
                      <w:rFonts w:ascii="Arial" w:eastAsia="Times New Roman" w:hAnsi="Arial" w:cs="Arial"/>
                      <w:sz w:val="22"/>
                      <w:szCs w:val="22"/>
                    </w:rPr>
                    <w:lastRenderedPageBreak/>
                    <w:t xml:space="preserve">Some of the key changes are : </w:t>
                  </w:r>
                </w:p>
                <w:p w:rsidR="009F1DFD" w:rsidRPr="00763AFD" w:rsidRDefault="009F1DFD" w:rsidP="00763AFD">
                  <w:pPr>
                    <w:numPr>
                      <w:ilvl w:val="0"/>
                      <w:numId w:val="3"/>
                    </w:numPr>
                    <w:spacing w:line="330" w:lineRule="atLeast"/>
                    <w:ind w:left="0" w:right="339" w:firstLine="0"/>
                    <w:jc w:val="both"/>
                    <w:rPr>
                      <w:rFonts w:ascii="Arial" w:eastAsia="Times New Roman" w:hAnsi="Arial" w:cs="Arial"/>
                    </w:rPr>
                  </w:pPr>
                  <w:r w:rsidRPr="00763AFD">
                    <w:rPr>
                      <w:rFonts w:ascii="Arial" w:eastAsia="Times New Roman" w:hAnsi="Arial" w:cs="Arial"/>
                      <w:sz w:val="22"/>
                      <w:szCs w:val="22"/>
                    </w:rPr>
                    <w:t>Complete restriction on providing loan , guarantee or security in connection with loan to any director, director of the holding company or any partner or relative of any such director or any firm in which any such director or relative in a partner</w:t>
                  </w:r>
                </w:p>
                <w:p w:rsidR="009F1DFD" w:rsidRPr="00763AFD" w:rsidRDefault="009F1DFD" w:rsidP="00763AFD">
                  <w:pPr>
                    <w:numPr>
                      <w:ilvl w:val="0"/>
                      <w:numId w:val="3"/>
                    </w:numPr>
                    <w:spacing w:line="330" w:lineRule="atLeast"/>
                    <w:ind w:left="0" w:right="339" w:firstLine="0"/>
                    <w:jc w:val="both"/>
                    <w:rPr>
                      <w:rFonts w:ascii="Arial" w:eastAsia="Times New Roman" w:hAnsi="Arial" w:cs="Arial"/>
                    </w:rPr>
                  </w:pPr>
                  <w:r w:rsidRPr="00763AFD">
                    <w:rPr>
                      <w:rFonts w:ascii="Arial" w:eastAsia="Times New Roman" w:hAnsi="Arial" w:cs="Arial"/>
                      <w:sz w:val="22"/>
                      <w:szCs w:val="22"/>
                    </w:rPr>
                    <w:t xml:space="preserve">Loan to parties covered under clause (c) to (e) of explanation to section 185(1) is allowed subject to special resolution of shareholders and certain other prescribed conditions </w:t>
                  </w:r>
                  <w:r w:rsidRPr="00763AFD">
                    <w:rPr>
                      <w:rFonts w:ascii="Arial" w:eastAsia="Times New Roman" w:hAnsi="Arial" w:cs="Arial"/>
                      <w:sz w:val="22"/>
                      <w:szCs w:val="22"/>
                    </w:rPr>
                    <w:br/>
                  </w:r>
                  <w:r w:rsidRPr="00763AFD">
                    <w:rPr>
                      <w:rFonts w:ascii="Arial" w:eastAsia="Times New Roman" w:hAnsi="Arial" w:cs="Arial"/>
                      <w:sz w:val="22"/>
                      <w:szCs w:val="22"/>
                    </w:rPr>
                    <w:br/>
                    <w:t>Current exemption provided under section 185(1) continues to remain</w:t>
                  </w:r>
                </w:p>
              </w:tc>
              <w:tc>
                <w:tcPr>
                  <w:tcW w:w="8505" w:type="dxa"/>
                  <w:tcBorders>
                    <w:top w:val="outset" w:sz="6" w:space="0" w:color="auto"/>
                    <w:left w:val="outset" w:sz="6" w:space="0" w:color="auto"/>
                    <w:bottom w:val="outset" w:sz="6" w:space="0" w:color="auto"/>
                    <w:right w:val="outset" w:sz="6" w:space="0" w:color="auto"/>
                  </w:tcBorders>
                </w:tcPr>
                <w:p w:rsidR="00B06A2E" w:rsidRPr="00763AFD" w:rsidRDefault="00B06A2E" w:rsidP="00763AFD">
                  <w:pPr>
                    <w:pStyle w:val="Default"/>
                    <w:ind w:right="339"/>
                    <w:rPr>
                      <w:color w:val="auto"/>
                      <w:sz w:val="22"/>
                      <w:szCs w:val="22"/>
                    </w:rPr>
                  </w:pPr>
                  <w:r w:rsidRPr="00763AFD">
                    <w:rPr>
                      <w:i/>
                      <w:iCs/>
                      <w:color w:val="auto"/>
                      <w:sz w:val="22"/>
                      <w:szCs w:val="22"/>
                    </w:rPr>
                    <w:lastRenderedPageBreak/>
                    <w:t xml:space="preserve">Loans to Directors, etc. </w:t>
                  </w:r>
                </w:p>
                <w:p w:rsidR="00B06A2E" w:rsidRPr="00763AFD" w:rsidRDefault="00B06A2E" w:rsidP="00763AFD">
                  <w:pPr>
                    <w:pStyle w:val="Default"/>
                    <w:ind w:right="339"/>
                    <w:rPr>
                      <w:color w:val="auto"/>
                      <w:sz w:val="22"/>
                      <w:szCs w:val="22"/>
                    </w:rPr>
                  </w:pPr>
                  <w:r w:rsidRPr="00763AFD">
                    <w:rPr>
                      <w:color w:val="auto"/>
                      <w:sz w:val="22"/>
                      <w:szCs w:val="22"/>
                    </w:rPr>
                    <w:t xml:space="preserve">12.14 The Committee acknowledged that there are difficulties being faced in genuine </w:t>
                  </w:r>
                  <w:r w:rsidRPr="00763AFD">
                    <w:rPr>
                      <w:color w:val="auto"/>
                      <w:sz w:val="22"/>
                      <w:szCs w:val="22"/>
                    </w:rPr>
                    <w:lastRenderedPageBreak/>
                    <w:t xml:space="preserve">transactions due to the complete embargo on providing loans to subsidiaries with common directors, but at the same time there is no doubt that the route has been misused in the past for siphoning of funds by controlling shareholders. </w:t>
                  </w:r>
                  <w:r w:rsidRPr="00763AFD">
                    <w:rPr>
                      <w:b/>
                      <w:bCs/>
                      <w:color w:val="auto"/>
                      <w:sz w:val="22"/>
                      <w:szCs w:val="22"/>
                    </w:rPr>
                    <w:t xml:space="preserve">The Committee noted that limited relaxation has already been provided to private companies not having other body </w:t>
                  </w:r>
                  <w:proofErr w:type="spellStart"/>
                  <w:r w:rsidRPr="00763AFD">
                    <w:rPr>
                      <w:b/>
                      <w:bCs/>
                      <w:color w:val="auto"/>
                      <w:sz w:val="22"/>
                      <w:szCs w:val="22"/>
                    </w:rPr>
                    <w:t>corporates</w:t>
                  </w:r>
                  <w:proofErr w:type="spellEnd"/>
                  <w:r w:rsidRPr="00763AFD">
                    <w:rPr>
                      <w:b/>
                      <w:bCs/>
                      <w:color w:val="auto"/>
                      <w:sz w:val="22"/>
                      <w:szCs w:val="22"/>
                    </w:rPr>
                    <w:t xml:space="preserve"> invested in them and therefore any further relaxation should be subject to greater safeguards. The Committee, therefore, recommended, that it may be considered to allow companies to advance a loan to any other person in whom director is interested subject to prior approval of the company by a special resolution. Further, loans extended to persons, including subsidiaries, falling within the restrictive purview of Section 185 should be used by the subsidiary for its principal business activity only, and not for further investment or grant of loan. </w:t>
                  </w:r>
                </w:p>
                <w:p w:rsidR="00B06A2E" w:rsidRPr="00763AFD" w:rsidRDefault="00B06A2E" w:rsidP="00763AFD">
                  <w:pPr>
                    <w:pStyle w:val="Default"/>
                    <w:ind w:right="339"/>
                    <w:rPr>
                      <w:color w:val="auto"/>
                      <w:sz w:val="22"/>
                      <w:szCs w:val="22"/>
                    </w:rPr>
                  </w:pPr>
                </w:p>
                <w:p w:rsidR="00B06A2E" w:rsidRPr="00763AFD" w:rsidRDefault="00B06A2E" w:rsidP="00763AFD">
                  <w:pPr>
                    <w:pStyle w:val="Default"/>
                    <w:ind w:right="339"/>
                    <w:rPr>
                      <w:color w:val="auto"/>
                      <w:sz w:val="22"/>
                      <w:szCs w:val="22"/>
                    </w:rPr>
                  </w:pPr>
                  <w:r w:rsidRPr="00763AFD">
                    <w:rPr>
                      <w:color w:val="auto"/>
                      <w:sz w:val="22"/>
                      <w:szCs w:val="22"/>
                    </w:rPr>
                    <w:t xml:space="preserve">12.15 The Committee also felt that there was no rationale as to why the interest rate prescribed in the proviso (b) to Section 185(1) should not be aligned with the rate prescribed under Section 186(7). </w:t>
                  </w:r>
                  <w:r w:rsidRPr="00763AFD">
                    <w:rPr>
                      <w:b/>
                      <w:bCs/>
                      <w:color w:val="auto"/>
                      <w:sz w:val="22"/>
                      <w:szCs w:val="22"/>
                    </w:rPr>
                    <w:t xml:space="preserve">Thus, it recommended that this be aligned, keeping in mind further changes suggested to the provision, in the succeeding paragraphs dealing with other issues in Section 186.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38.</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186- Loan and investment by company</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numPr>
                      <w:ilvl w:val="0"/>
                      <w:numId w:val="4"/>
                    </w:numPr>
                    <w:spacing w:line="330" w:lineRule="atLeast"/>
                    <w:ind w:left="0" w:right="339" w:firstLine="0"/>
                    <w:jc w:val="both"/>
                    <w:rPr>
                      <w:rFonts w:ascii="Arial" w:eastAsia="Times New Roman" w:hAnsi="Arial" w:cs="Arial"/>
                    </w:rPr>
                  </w:pPr>
                  <w:r w:rsidRPr="00763AFD">
                    <w:rPr>
                      <w:rFonts w:ascii="Arial" w:eastAsia="Times New Roman" w:hAnsi="Arial" w:cs="Arial"/>
                      <w:sz w:val="22"/>
                      <w:szCs w:val="22"/>
                    </w:rPr>
                    <w:t xml:space="preserve">It is proposed to </w:t>
                  </w:r>
                  <w:r w:rsidRPr="00763AFD">
                    <w:rPr>
                      <w:rFonts w:ascii="Arial" w:eastAsia="Times New Roman" w:hAnsi="Arial" w:cs="Arial"/>
                      <w:b/>
                      <w:sz w:val="22"/>
                      <w:szCs w:val="22"/>
                    </w:rPr>
                    <w:t>omit</w:t>
                  </w:r>
                  <w:r w:rsidRPr="00763AFD">
                    <w:rPr>
                      <w:rFonts w:ascii="Arial" w:eastAsia="Times New Roman" w:hAnsi="Arial" w:cs="Arial"/>
                      <w:sz w:val="22"/>
                      <w:szCs w:val="22"/>
                    </w:rPr>
                    <w:t xml:space="preserve"> the </w:t>
                  </w:r>
                  <w:r w:rsidRPr="00763AFD">
                    <w:rPr>
                      <w:rFonts w:ascii="Arial" w:eastAsia="Times New Roman" w:hAnsi="Arial" w:cs="Arial"/>
                      <w:b/>
                      <w:sz w:val="22"/>
                      <w:szCs w:val="22"/>
                    </w:rPr>
                    <w:t>restrictions on layers of investment companies.</w:t>
                  </w:r>
                  <w:r w:rsidRPr="00763AFD">
                    <w:rPr>
                      <w:rFonts w:ascii="Arial" w:eastAsia="Times New Roman" w:hAnsi="Arial" w:cs="Arial"/>
                      <w:sz w:val="22"/>
                      <w:szCs w:val="22"/>
                    </w:rPr>
                    <w:t xml:space="preserve"> </w:t>
                  </w:r>
                </w:p>
                <w:p w:rsidR="009F1DFD" w:rsidRPr="00763AFD" w:rsidRDefault="009F1DFD" w:rsidP="00763AFD">
                  <w:pPr>
                    <w:numPr>
                      <w:ilvl w:val="0"/>
                      <w:numId w:val="4"/>
                    </w:numPr>
                    <w:spacing w:line="330" w:lineRule="atLeast"/>
                    <w:ind w:left="0" w:right="339" w:firstLine="0"/>
                    <w:jc w:val="both"/>
                    <w:rPr>
                      <w:rFonts w:ascii="Arial" w:eastAsia="Times New Roman" w:hAnsi="Arial" w:cs="Arial"/>
                    </w:rPr>
                  </w:pPr>
                  <w:r w:rsidRPr="00763AFD">
                    <w:rPr>
                      <w:rFonts w:ascii="Arial" w:eastAsia="Times New Roman" w:hAnsi="Arial" w:cs="Arial"/>
                      <w:sz w:val="22"/>
                      <w:szCs w:val="22"/>
                    </w:rPr>
                    <w:t xml:space="preserve">It also proposed  to </w:t>
                  </w:r>
                  <w:r w:rsidRPr="00763AFD">
                    <w:rPr>
                      <w:rFonts w:ascii="Arial" w:eastAsia="Times New Roman" w:hAnsi="Arial" w:cs="Arial"/>
                      <w:b/>
                      <w:sz w:val="22"/>
                      <w:szCs w:val="22"/>
                    </w:rPr>
                    <w:t>exclude employees</w:t>
                  </w:r>
                  <w:r w:rsidRPr="00763AFD">
                    <w:rPr>
                      <w:rFonts w:ascii="Arial" w:eastAsia="Times New Roman" w:hAnsi="Arial" w:cs="Arial"/>
                      <w:sz w:val="22"/>
                      <w:szCs w:val="22"/>
                    </w:rPr>
                    <w:t xml:space="preserve"> from the ambit of this section</w:t>
                  </w:r>
                </w:p>
                <w:p w:rsidR="009F1DFD" w:rsidRPr="00763AFD" w:rsidRDefault="009F1DFD" w:rsidP="00763AFD">
                  <w:pPr>
                    <w:numPr>
                      <w:ilvl w:val="0"/>
                      <w:numId w:val="4"/>
                    </w:numPr>
                    <w:spacing w:line="330" w:lineRule="atLeast"/>
                    <w:ind w:left="0" w:right="339" w:firstLine="0"/>
                    <w:jc w:val="both"/>
                    <w:rPr>
                      <w:rFonts w:ascii="Arial" w:eastAsia="Times New Roman" w:hAnsi="Arial" w:cs="Arial"/>
                    </w:rPr>
                  </w:pPr>
                  <w:r w:rsidRPr="00763AFD">
                    <w:rPr>
                      <w:rFonts w:ascii="Arial" w:eastAsia="Times New Roman" w:hAnsi="Arial" w:cs="Arial"/>
                      <w:sz w:val="22"/>
                      <w:szCs w:val="22"/>
                    </w:rPr>
                    <w:t xml:space="preserve">It is proposed that </w:t>
                  </w:r>
                  <w:r w:rsidRPr="00763AFD">
                    <w:rPr>
                      <w:rFonts w:ascii="Arial" w:eastAsia="Times New Roman" w:hAnsi="Arial" w:cs="Arial"/>
                      <w:b/>
                      <w:sz w:val="22"/>
                      <w:szCs w:val="22"/>
                    </w:rPr>
                    <w:t xml:space="preserve">shareholders’ approval will not </w:t>
                  </w:r>
                  <w:r w:rsidRPr="00763AFD">
                    <w:rPr>
                      <w:rFonts w:ascii="Arial" w:eastAsia="Times New Roman" w:hAnsi="Arial" w:cs="Arial"/>
                      <w:sz w:val="22"/>
                      <w:szCs w:val="22"/>
                    </w:rPr>
                    <w:t xml:space="preserve">be required where a </w:t>
                  </w:r>
                  <w:r w:rsidRPr="00763AFD">
                    <w:rPr>
                      <w:rFonts w:ascii="Arial" w:eastAsia="Times New Roman" w:hAnsi="Arial" w:cs="Arial"/>
                      <w:b/>
                      <w:sz w:val="22"/>
                      <w:szCs w:val="22"/>
                    </w:rPr>
                    <w:t xml:space="preserve">loan or guarantee is given or where a security has been provided by a company to its wholly owned subsidiary </w:t>
                  </w:r>
                  <w:r w:rsidRPr="00763AFD">
                    <w:rPr>
                      <w:rFonts w:ascii="Arial" w:eastAsia="Times New Roman" w:hAnsi="Arial" w:cs="Arial"/>
                      <w:sz w:val="22"/>
                      <w:szCs w:val="22"/>
                    </w:rPr>
                    <w:t xml:space="preserve">company or a joint venture company, or acquisition is made by a holding company, by way of subscription, purchase or otherwise of, the securities of its wholly owned subsidiary company. </w:t>
                  </w:r>
                </w:p>
              </w:tc>
              <w:tc>
                <w:tcPr>
                  <w:tcW w:w="8505" w:type="dxa"/>
                  <w:tcBorders>
                    <w:top w:val="outset" w:sz="6" w:space="0" w:color="auto"/>
                    <w:left w:val="outset" w:sz="6" w:space="0" w:color="auto"/>
                    <w:bottom w:val="outset" w:sz="6" w:space="0" w:color="auto"/>
                    <w:right w:val="outset" w:sz="6" w:space="0" w:color="auto"/>
                  </w:tcBorders>
                </w:tcPr>
                <w:p w:rsidR="00B06A2E" w:rsidRPr="00763AFD" w:rsidRDefault="00B06A2E" w:rsidP="00763AFD">
                  <w:pPr>
                    <w:pStyle w:val="Default"/>
                    <w:ind w:right="339"/>
                    <w:rPr>
                      <w:color w:val="auto"/>
                      <w:sz w:val="22"/>
                      <w:szCs w:val="22"/>
                    </w:rPr>
                  </w:pPr>
                  <w:r w:rsidRPr="00763AFD">
                    <w:rPr>
                      <w:i/>
                      <w:iCs/>
                      <w:color w:val="auto"/>
                      <w:sz w:val="22"/>
                      <w:szCs w:val="22"/>
                    </w:rPr>
                    <w:t xml:space="preserve">Loan and Investment by Company </w:t>
                  </w:r>
                </w:p>
                <w:p w:rsidR="009F1DFD" w:rsidRPr="00763AFD" w:rsidRDefault="00B06A2E" w:rsidP="00763AFD">
                  <w:pPr>
                    <w:numPr>
                      <w:ilvl w:val="0"/>
                      <w:numId w:val="4"/>
                    </w:numPr>
                    <w:spacing w:line="330" w:lineRule="atLeast"/>
                    <w:ind w:left="0" w:right="339" w:firstLine="0"/>
                    <w:jc w:val="both"/>
                    <w:rPr>
                      <w:rFonts w:ascii="Arial" w:eastAsia="Times New Roman" w:hAnsi="Arial" w:cs="Arial"/>
                    </w:rPr>
                  </w:pPr>
                  <w:r w:rsidRPr="00763AFD">
                    <w:rPr>
                      <w:sz w:val="22"/>
                      <w:szCs w:val="22"/>
                    </w:rPr>
                    <w:t xml:space="preserve">12.16 The Committee felt that the layering restrictions on investment companies under Section 186(1) may become too obtrusive and impractical in the modern business world. Regulatory concerns arising out of earlier scams were also noted. The Committee noted that while companies that became a subsidiary of another investment company due to any corporate action such as the non-subscription of a rights issue from the layering requirements, etc. could be exempted, it would not address the core issue that there may be several legitimate business justifications for use of a multi layered structure, and such restriction hampers the ability of a company to structure its business. </w:t>
                  </w:r>
                  <w:r w:rsidRPr="00763AFD">
                    <w:rPr>
                      <w:b/>
                      <w:bCs/>
                      <w:sz w:val="22"/>
                      <w:szCs w:val="22"/>
                    </w:rPr>
                    <w:t>The Committee felt that sufficient safeguards have been built into the oversight mechanism of SEBI and Stock Exchanges, and the recommendations on Beneficial Ownership register requirements should dispel the regulatory concerns.</w:t>
                  </w:r>
                </w:p>
                <w:p w:rsidR="008F6631" w:rsidRPr="00763AFD" w:rsidRDefault="008F6631" w:rsidP="00763AFD">
                  <w:pPr>
                    <w:pStyle w:val="Default"/>
                    <w:ind w:right="339"/>
                    <w:rPr>
                      <w:color w:val="auto"/>
                      <w:sz w:val="22"/>
                      <w:szCs w:val="22"/>
                    </w:rPr>
                  </w:pPr>
                  <w:r w:rsidRPr="00763AFD">
                    <w:rPr>
                      <w:b/>
                      <w:bCs/>
                      <w:color w:val="auto"/>
                      <w:sz w:val="22"/>
                      <w:szCs w:val="22"/>
                    </w:rPr>
                    <w:t xml:space="preserve">The Committee further recommended that the provisions of Rule 13(1) of the Companies (Meetings of Board and its Powers) Rules, 2013 relating to aggregation of loans and investments for the purpose of calculating the limits </w:t>
                  </w:r>
                </w:p>
                <w:p w:rsidR="008F6631" w:rsidRPr="00763AFD" w:rsidRDefault="008F6631" w:rsidP="00763AFD">
                  <w:pPr>
                    <w:pStyle w:val="Default"/>
                    <w:ind w:right="339"/>
                    <w:rPr>
                      <w:color w:val="auto"/>
                      <w:sz w:val="22"/>
                      <w:szCs w:val="22"/>
                    </w:rPr>
                  </w:pPr>
                  <w:r w:rsidRPr="00763AFD">
                    <w:rPr>
                      <w:rFonts w:ascii="Calibri" w:hAnsi="Calibri" w:cs="Calibri"/>
                      <w:color w:val="auto"/>
                      <w:sz w:val="22"/>
                      <w:szCs w:val="22"/>
                    </w:rPr>
                    <w:t xml:space="preserve">61  </w:t>
                  </w:r>
                </w:p>
                <w:p w:rsidR="008F6631" w:rsidRPr="00763AFD" w:rsidRDefault="008F6631" w:rsidP="00763AFD">
                  <w:pPr>
                    <w:pStyle w:val="Default"/>
                    <w:ind w:right="339"/>
                    <w:rPr>
                      <w:color w:val="auto"/>
                      <w:sz w:val="22"/>
                      <w:szCs w:val="22"/>
                    </w:rPr>
                  </w:pPr>
                  <w:r w:rsidRPr="00763AFD">
                    <w:rPr>
                      <w:b/>
                      <w:bCs/>
                      <w:color w:val="auto"/>
                      <w:sz w:val="22"/>
                      <w:szCs w:val="22"/>
                    </w:rPr>
                    <w:t xml:space="preserve">under Section 186(2) might be provided in the Act itself and consequential changes in the Rules may also be made. </w:t>
                  </w:r>
                </w:p>
                <w:p w:rsidR="008F6631" w:rsidRPr="00763AFD" w:rsidRDefault="008F6631" w:rsidP="00763AFD">
                  <w:pPr>
                    <w:pStyle w:val="Default"/>
                    <w:ind w:right="339"/>
                    <w:rPr>
                      <w:color w:val="auto"/>
                      <w:sz w:val="22"/>
                      <w:szCs w:val="22"/>
                    </w:rPr>
                  </w:pPr>
                </w:p>
                <w:p w:rsidR="008F6631" w:rsidRPr="00763AFD" w:rsidRDefault="008F6631" w:rsidP="00763AFD">
                  <w:pPr>
                    <w:pStyle w:val="Default"/>
                    <w:ind w:right="339"/>
                    <w:rPr>
                      <w:color w:val="auto"/>
                      <w:sz w:val="22"/>
                      <w:szCs w:val="22"/>
                    </w:rPr>
                  </w:pPr>
                  <w:r w:rsidRPr="00763AFD">
                    <w:rPr>
                      <w:color w:val="auto"/>
                      <w:sz w:val="22"/>
                      <w:szCs w:val="22"/>
                    </w:rPr>
                    <w:t xml:space="preserve">The Committee felt that the occurrence of the word ‘person’ in sub-section (2) of Section 186 unwittingly seems to cover employees, and suggests that it would be appropriate to clarify the usage of the word ‘person’ in that sub-section, and that the employees given loans as a part of conditions of service or pursuant to any approved scheme for all employees by the company, should not, unwittingly, be covered under this Section, as this Section was meant to cover inter-corporate loans. </w:t>
                  </w:r>
                  <w:r w:rsidRPr="00763AFD">
                    <w:rPr>
                      <w:b/>
                      <w:bCs/>
                      <w:color w:val="auto"/>
                      <w:sz w:val="22"/>
                      <w:szCs w:val="22"/>
                    </w:rPr>
                    <w:t xml:space="preserve">The Committee, therefore, recommended for the insertion of an ‘explanation’ to clarify the exclusion of employees from the requirement of the sub-section/clause. </w:t>
                  </w:r>
                </w:p>
                <w:p w:rsidR="008F6631" w:rsidRPr="00763AFD" w:rsidRDefault="008F6631" w:rsidP="00763AFD">
                  <w:pPr>
                    <w:pStyle w:val="Default"/>
                    <w:ind w:right="339"/>
                    <w:rPr>
                      <w:color w:val="auto"/>
                      <w:sz w:val="22"/>
                      <w:szCs w:val="22"/>
                    </w:rPr>
                  </w:pPr>
                </w:p>
                <w:p w:rsidR="008F6631" w:rsidRPr="00763AFD" w:rsidRDefault="008F6631" w:rsidP="00763AFD">
                  <w:pPr>
                    <w:pStyle w:val="Default"/>
                    <w:ind w:right="339"/>
                    <w:rPr>
                      <w:color w:val="auto"/>
                      <w:sz w:val="22"/>
                      <w:szCs w:val="22"/>
                    </w:rPr>
                  </w:pPr>
                  <w:r w:rsidRPr="00763AFD">
                    <w:rPr>
                      <w:color w:val="auto"/>
                      <w:sz w:val="22"/>
                      <w:szCs w:val="22"/>
                    </w:rPr>
                    <w:t xml:space="preserve">The Committee also deliberated on the suggestion to exempt the application of Section 186, except sub-Section (1), to wholly owned subsidiaries and </w:t>
                  </w:r>
                  <w:r w:rsidRPr="00763AFD">
                    <w:rPr>
                      <w:b/>
                      <w:bCs/>
                      <w:color w:val="auto"/>
                      <w:sz w:val="22"/>
                      <w:szCs w:val="22"/>
                    </w:rPr>
                    <w:t>suggests that the provisions of Rule 11 with regard to wholly owned subsidiaries may be brought into the Act</w:t>
                  </w:r>
                  <w:r w:rsidRPr="00763AFD">
                    <w:rPr>
                      <w:color w:val="auto"/>
                      <w:sz w:val="22"/>
                      <w:szCs w:val="22"/>
                    </w:rPr>
                    <w:t xml:space="preserve">. </w:t>
                  </w:r>
                  <w:r w:rsidRPr="00763AFD">
                    <w:rPr>
                      <w:b/>
                      <w:bCs/>
                      <w:color w:val="auto"/>
                      <w:sz w:val="22"/>
                      <w:szCs w:val="22"/>
                    </w:rPr>
                    <w:t xml:space="preserve">Further, consequential changes in the Rules may also be made in this regard. However, the Committee did not agree to the suggestions that interest free loans may be specifically allowed to wholly owned subsidiaries. </w:t>
                  </w:r>
                </w:p>
                <w:p w:rsidR="008F6631" w:rsidRPr="00763AFD" w:rsidRDefault="008F6631" w:rsidP="00763AFD">
                  <w:pPr>
                    <w:pStyle w:val="Default"/>
                    <w:ind w:right="339"/>
                    <w:rPr>
                      <w:color w:val="auto"/>
                      <w:sz w:val="22"/>
                      <w:szCs w:val="22"/>
                    </w:rPr>
                  </w:pPr>
                  <w:r w:rsidRPr="00763AFD">
                    <w:rPr>
                      <w:color w:val="auto"/>
                      <w:sz w:val="22"/>
                      <w:szCs w:val="22"/>
                    </w:rPr>
                    <w:t xml:space="preserve">The Committee noted that while Section 186(11)(b)(iii) provides exemption to investment in shares allotted in pursuance to rights issues by Indian companies under Section 62(1)(a) of the Act, </w:t>
                  </w:r>
                  <w:r w:rsidRPr="00763AFD">
                    <w:rPr>
                      <w:b/>
                      <w:bCs/>
                      <w:color w:val="auto"/>
                      <w:sz w:val="22"/>
                      <w:szCs w:val="22"/>
                    </w:rPr>
                    <w:t xml:space="preserve">similar exemption be also extended to investments in rights issues made by body </w:t>
                  </w:r>
                  <w:proofErr w:type="spellStart"/>
                  <w:r w:rsidRPr="00763AFD">
                    <w:rPr>
                      <w:b/>
                      <w:bCs/>
                      <w:color w:val="auto"/>
                      <w:sz w:val="22"/>
                      <w:szCs w:val="22"/>
                    </w:rPr>
                    <w:t>corporates</w:t>
                  </w:r>
                  <w:proofErr w:type="spellEnd"/>
                  <w:r w:rsidRPr="00763AFD">
                    <w:rPr>
                      <w:b/>
                      <w:bCs/>
                      <w:color w:val="auto"/>
                      <w:sz w:val="22"/>
                      <w:szCs w:val="22"/>
                    </w:rPr>
                    <w:t xml:space="preserve"> (companies incorporated outside India). The exemption provision may be aligned with Section 372A(8) of the Companies Act, 1956 in this regard. Further, the Committee recommended that the Removal of Difficulty Order for Section 186(11) with regard to Insurance and Housing finance Companies, etc. issued in January 2015, subject to legal clarification, may be included in the sub-section itself through an amendment. Language of Section 372A(8) of the Companies Act, 1956 may be used. </w:t>
                  </w:r>
                </w:p>
                <w:p w:rsidR="008F6631" w:rsidRPr="00763AFD" w:rsidRDefault="008F6631"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39.</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188- Related Party Transactions</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the requirement related to restriction on </w:t>
                  </w:r>
                  <w:r w:rsidRPr="00763AFD">
                    <w:rPr>
                      <w:rFonts w:ascii="Arial" w:eastAsia="Times New Roman" w:hAnsi="Arial" w:cs="Arial"/>
                      <w:b/>
                      <w:sz w:val="22"/>
                      <w:szCs w:val="22"/>
                    </w:rPr>
                    <w:t>voting by relatives in the general meeting shall not apply</w:t>
                  </w:r>
                  <w:r w:rsidRPr="00763AFD">
                    <w:rPr>
                      <w:rFonts w:ascii="Arial" w:eastAsia="Times New Roman" w:hAnsi="Arial" w:cs="Arial"/>
                      <w:sz w:val="22"/>
                      <w:szCs w:val="22"/>
                    </w:rPr>
                    <w:t xml:space="preserve"> to a company in which ninety per cent or more members in numbers are relatives of promoters or related parties. It also seeks to provide that non-ratification of transaction shall be voidable at the option of the Board or shareholders, as the case may be.</w:t>
                  </w:r>
                </w:p>
              </w:tc>
              <w:tc>
                <w:tcPr>
                  <w:tcW w:w="8505" w:type="dxa"/>
                  <w:tcBorders>
                    <w:top w:val="outset" w:sz="6" w:space="0" w:color="auto"/>
                    <w:left w:val="outset" w:sz="6" w:space="0" w:color="auto"/>
                    <w:bottom w:val="outset" w:sz="6" w:space="0" w:color="auto"/>
                    <w:right w:val="outset" w:sz="6" w:space="0" w:color="auto"/>
                  </w:tcBorders>
                </w:tcPr>
                <w:p w:rsidR="008F6631" w:rsidRPr="00763AFD" w:rsidRDefault="008F6631" w:rsidP="00763AFD">
                  <w:pPr>
                    <w:pStyle w:val="Default"/>
                    <w:ind w:right="339"/>
                    <w:rPr>
                      <w:color w:val="auto"/>
                      <w:sz w:val="22"/>
                      <w:szCs w:val="22"/>
                    </w:rPr>
                  </w:pPr>
                  <w:r w:rsidRPr="00763AFD">
                    <w:rPr>
                      <w:b/>
                      <w:bCs/>
                      <w:color w:val="auto"/>
                      <w:sz w:val="22"/>
                      <w:szCs w:val="22"/>
                    </w:rPr>
                    <w:t xml:space="preserve">The Committee noted that the circular no. 30/2014 issued by the MCA, clarifying requirements of second proviso to Section 188(1) had been misinterpreted, and hence, should be withdrawn. Further, as all parties in case of joint ventures and closely held public companies may be related parties, not allowing them to vote </w:t>
                  </w:r>
                  <w:r w:rsidRPr="00763AFD">
                    <w:rPr>
                      <w:rFonts w:ascii="Calibri" w:hAnsi="Calibri" w:cs="Calibri"/>
                      <w:color w:val="auto"/>
                      <w:sz w:val="22"/>
                      <w:szCs w:val="22"/>
                    </w:rPr>
                    <w:t xml:space="preserve">  </w:t>
                  </w:r>
                </w:p>
                <w:p w:rsidR="008F6631" w:rsidRPr="00763AFD" w:rsidRDefault="008F6631" w:rsidP="00763AFD">
                  <w:pPr>
                    <w:pStyle w:val="Default"/>
                    <w:ind w:right="339"/>
                    <w:rPr>
                      <w:color w:val="auto"/>
                      <w:sz w:val="22"/>
                      <w:szCs w:val="22"/>
                    </w:rPr>
                  </w:pPr>
                  <w:r w:rsidRPr="00763AFD">
                    <w:rPr>
                      <w:b/>
                      <w:bCs/>
                      <w:color w:val="auto"/>
                      <w:sz w:val="22"/>
                      <w:szCs w:val="22"/>
                    </w:rPr>
                    <w:t xml:space="preserve">may be impractical and such cases may be specifically excluded from the requirements of the second proviso. </w:t>
                  </w: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40.</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 xml:space="preserve">Section </w:t>
                  </w:r>
                  <w:r w:rsidRPr="00763AFD">
                    <w:rPr>
                      <w:rStyle w:val="Strong"/>
                      <w:rFonts w:ascii="Arial" w:eastAsia="Times New Roman" w:hAnsi="Arial" w:cs="Arial"/>
                      <w:sz w:val="22"/>
                      <w:szCs w:val="22"/>
                    </w:rPr>
                    <w:lastRenderedPageBreak/>
                    <w:t>194- Prohibition on Forward dealings in securities of company by director or Key Managerial Personnel</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 xml:space="preserve">It is proposed to omit this section </w:t>
                  </w:r>
                </w:p>
              </w:tc>
              <w:tc>
                <w:tcPr>
                  <w:tcW w:w="8505" w:type="dxa"/>
                  <w:tcBorders>
                    <w:top w:val="outset" w:sz="6" w:space="0" w:color="auto"/>
                    <w:left w:val="outset" w:sz="6" w:space="0" w:color="auto"/>
                    <w:bottom w:val="outset" w:sz="6" w:space="0" w:color="auto"/>
                    <w:right w:val="outset" w:sz="6" w:space="0" w:color="auto"/>
                  </w:tcBorders>
                </w:tcPr>
                <w:p w:rsidR="00C34E09" w:rsidRPr="00763AFD" w:rsidRDefault="00C34E09" w:rsidP="00763AFD">
                  <w:pPr>
                    <w:pStyle w:val="Default"/>
                    <w:ind w:right="339"/>
                    <w:rPr>
                      <w:color w:val="auto"/>
                      <w:sz w:val="22"/>
                      <w:szCs w:val="22"/>
                    </w:rPr>
                  </w:pPr>
                  <w:r w:rsidRPr="00763AFD">
                    <w:rPr>
                      <w:i/>
                      <w:iCs/>
                      <w:color w:val="auto"/>
                      <w:sz w:val="22"/>
                      <w:szCs w:val="22"/>
                    </w:rPr>
                    <w:t xml:space="preserve">Prohibition on forward dealing and Insider trading of securities </w:t>
                  </w:r>
                </w:p>
                <w:p w:rsidR="00C34E09" w:rsidRPr="00763AFD" w:rsidRDefault="00C34E09" w:rsidP="00763AFD">
                  <w:pPr>
                    <w:pStyle w:val="Default"/>
                    <w:ind w:right="339"/>
                    <w:rPr>
                      <w:color w:val="auto"/>
                      <w:sz w:val="22"/>
                      <w:szCs w:val="22"/>
                    </w:rPr>
                  </w:pPr>
                  <w:r w:rsidRPr="00763AFD">
                    <w:rPr>
                      <w:color w:val="auto"/>
                      <w:sz w:val="22"/>
                      <w:szCs w:val="22"/>
                    </w:rPr>
                    <w:lastRenderedPageBreak/>
                    <w:t xml:space="preserve">12.23 The Companies Act 2013 vide Sections 194 and 195 restrict forward dealing by directors and KMPs and insider trading by any person including directors and KMPs respectively. The aforesaid provisions are seemingly applicable in respect of both private and public companies. Prima facie, Section 195 seems to be applicable to private companies and restricts insider trading. However, it can be argued that since the securities in private companies would not be marketable, as a market in securities in the absence of an alternative market platform would mean a stock market on which securities of different companies are listed for the purpose of trade, they would not qualify as securities within the meaning of Section 195, and thus would exclude private companies from the ambit of the said provision. On the same basis, it would be unjustified to apply the insider trading regulations to private companies. It can also be argued, on the basis of legislation in some jurisdictions, that there are valid reasons for including the insider trading prohibitions in company law in addition to securities law, and these flow from the fiduciary responsibilities of the directors who may abuse their position and use confidential information, which have come to them through their position, for personal profit and not act in the best interests of the company. However, insider trading prohibitions can be problematic in the context of the rights of first refusal that are frequently contained in the shareholders' agreements of private companies. </w:t>
                  </w:r>
                  <w:r w:rsidRPr="00763AFD">
                    <w:rPr>
                      <w:b/>
                      <w:bCs/>
                      <w:color w:val="auto"/>
                      <w:sz w:val="22"/>
                      <w:szCs w:val="22"/>
                    </w:rPr>
                    <w:t xml:space="preserve">The Committee deliberated on the issues involved and noted that SEBI regulations are comprehensive in the matter (and also apply to companies intending to get listed), and in view of the practical difficulties expressed by stakeholders, sections 194 and 195 may be omitted from the Act. </w:t>
                  </w:r>
                </w:p>
                <w:p w:rsidR="009F1DFD" w:rsidRPr="00763AFD" w:rsidRDefault="009F1DFD" w:rsidP="00763AFD">
                  <w:pPr>
                    <w:spacing w:line="330" w:lineRule="atLeast"/>
                    <w:ind w:right="339"/>
                    <w:jc w:val="both"/>
                    <w:rPr>
                      <w:rFonts w:ascii="Arial" w:eastAsia="Times New Roman" w:hAnsi="Arial" w:cs="Arial"/>
                    </w:rPr>
                  </w:pPr>
                </w:p>
              </w:tc>
            </w:tr>
            <w:tr w:rsidR="00B0080F"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41.</w:t>
                  </w:r>
                </w:p>
              </w:tc>
              <w:tc>
                <w:tcPr>
                  <w:tcW w:w="14742" w:type="dxa"/>
                  <w:gridSpan w:val="3"/>
                  <w:tcBorders>
                    <w:top w:val="outset" w:sz="6" w:space="0" w:color="auto"/>
                    <w:left w:val="outset" w:sz="6" w:space="0" w:color="auto"/>
                    <w:bottom w:val="outset" w:sz="6" w:space="0" w:color="auto"/>
                    <w:right w:val="outset" w:sz="6" w:space="0" w:color="auto"/>
                  </w:tcBorders>
                  <w:vAlign w:val="center"/>
                  <w:hideMark/>
                </w:tcPr>
                <w:p w:rsidR="00B0080F" w:rsidRPr="00763AFD" w:rsidRDefault="00B0080F"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195- Prohibition on Insider trading of securities</w:t>
                  </w:r>
                  <w:r w:rsidRPr="00763AFD">
                    <w:rPr>
                      <w:rFonts w:ascii="Arial" w:eastAsia="Times New Roman" w:hAnsi="Arial" w:cs="Arial"/>
                      <w:sz w:val="22"/>
                      <w:szCs w:val="22"/>
                    </w:rPr>
                    <w:t xml:space="preserve"> </w:t>
                  </w:r>
                  <w:r>
                    <w:rPr>
                      <w:rFonts w:ascii="Arial" w:eastAsia="Times New Roman" w:hAnsi="Arial" w:cs="Arial"/>
                      <w:sz w:val="22"/>
                      <w:szCs w:val="22"/>
                    </w:rPr>
                    <w:t xml:space="preserve"> -</w:t>
                  </w:r>
                  <w:r w:rsidRPr="00763AFD">
                    <w:rPr>
                      <w:rFonts w:ascii="Arial" w:eastAsia="Times New Roman" w:hAnsi="Arial" w:cs="Arial"/>
                      <w:sz w:val="22"/>
                      <w:szCs w:val="22"/>
                    </w:rPr>
                    <w:t xml:space="preserve">It is proposed to omit this section </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42.</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 xml:space="preserve">Section 197- Overall maximum managerial remuneration and managerial </w:t>
                  </w:r>
                  <w:r w:rsidRPr="00763AFD">
                    <w:rPr>
                      <w:rStyle w:val="Strong"/>
                      <w:rFonts w:ascii="Arial" w:eastAsia="Times New Roman" w:hAnsi="Arial" w:cs="Arial"/>
                      <w:sz w:val="22"/>
                      <w:szCs w:val="22"/>
                    </w:rPr>
                    <w:lastRenderedPageBreak/>
                    <w:t xml:space="preserve">remuneration in case of absence or inadequacy of profits  </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It is proposed that the approval of the Central Government shall not be required at the time of the payment of remuneration exceeding 11% of the net profits of the company.</w:t>
                  </w:r>
                </w:p>
              </w:tc>
              <w:tc>
                <w:tcPr>
                  <w:tcW w:w="8505" w:type="dxa"/>
                  <w:tcBorders>
                    <w:top w:val="outset" w:sz="6" w:space="0" w:color="auto"/>
                    <w:left w:val="outset" w:sz="6" w:space="0" w:color="auto"/>
                    <w:bottom w:val="outset" w:sz="6" w:space="0" w:color="auto"/>
                    <w:right w:val="outset" w:sz="6" w:space="0" w:color="auto"/>
                  </w:tcBorders>
                </w:tcPr>
                <w:p w:rsidR="0095462F" w:rsidRPr="00763AFD" w:rsidRDefault="0095462F"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Bill seeks to amend section 197 of the Act to do away with requirement</w:t>
                  </w:r>
                </w:p>
                <w:p w:rsidR="0095462F" w:rsidRPr="00763AFD" w:rsidRDefault="0095462F"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of obtaining approval of Central Government and to require special resolution for payment of</w:t>
                  </w:r>
                </w:p>
                <w:p w:rsidR="0095462F" w:rsidRPr="00763AFD" w:rsidRDefault="0095462F"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managerial remuneration in excess of prescribed limits. It also seeks to provide that prior</w:t>
                  </w:r>
                </w:p>
                <w:p w:rsidR="0095462F" w:rsidRPr="00763AFD" w:rsidRDefault="0095462F"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approval of bank or public financial institution or non-convertible debenture holder or secured</w:t>
                  </w:r>
                </w:p>
                <w:p w:rsidR="0095462F" w:rsidRPr="00763AFD" w:rsidRDefault="0095462F"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creditor shall be obtained where any term loan is subsisting, before approval of shareholders.</w:t>
                  </w:r>
                </w:p>
                <w:p w:rsidR="0095462F" w:rsidRPr="00763AFD" w:rsidRDefault="0095462F"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It also requires auditor of the company in his report under section 143 to make a statement as</w:t>
                  </w:r>
                </w:p>
                <w:p w:rsidR="0095462F" w:rsidRPr="00763AFD" w:rsidRDefault="0095462F"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to whether the remuneration paid by the company is accordance with the provisions of</w:t>
                  </w:r>
                </w:p>
                <w:p w:rsidR="009F1DFD" w:rsidRPr="00763AFD" w:rsidRDefault="0095462F" w:rsidP="00763AFD">
                  <w:pPr>
                    <w:spacing w:line="330" w:lineRule="atLeast"/>
                    <w:ind w:right="339"/>
                    <w:jc w:val="both"/>
                    <w:rPr>
                      <w:rFonts w:ascii="Arial" w:eastAsia="Times New Roman" w:hAnsi="Arial" w:cs="Arial"/>
                    </w:rPr>
                  </w:pPr>
                  <w:r w:rsidRPr="00763AFD">
                    <w:rPr>
                      <w:rFonts w:ascii="Times-Roman" w:eastAsiaTheme="minorHAnsi" w:hAnsi="Times-Roman" w:cs="Times-Roman"/>
                      <w:sz w:val="22"/>
                      <w:szCs w:val="22"/>
                      <w:lang w:eastAsia="en-US"/>
                    </w:rPr>
                    <w:t>section 197.</w:t>
                  </w: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43.</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 xml:space="preserve">Section 366- Companies capable of being registered </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to allow conversions into companies from partnership firms, LLP, Society etc. with two or more members instead of seven or more members. </w:t>
                  </w:r>
                </w:p>
              </w:tc>
              <w:tc>
                <w:tcPr>
                  <w:tcW w:w="8505" w:type="dxa"/>
                  <w:tcBorders>
                    <w:top w:val="outset" w:sz="6" w:space="0" w:color="auto"/>
                    <w:left w:val="outset" w:sz="6" w:space="0" w:color="auto"/>
                    <w:bottom w:val="outset" w:sz="6" w:space="0" w:color="auto"/>
                    <w:right w:val="outset" w:sz="6" w:space="0" w:color="auto"/>
                  </w:tcBorders>
                </w:tcPr>
                <w:p w:rsidR="00883AD3" w:rsidRPr="00DE2DA5" w:rsidRDefault="00883AD3" w:rsidP="00883AD3">
                  <w:pPr>
                    <w:pStyle w:val="Default"/>
                    <w:rPr>
                      <w:color w:val="auto"/>
                      <w:sz w:val="20"/>
                      <w:szCs w:val="20"/>
                    </w:rPr>
                  </w:pPr>
                  <w:r w:rsidRPr="00DE2DA5">
                    <w:rPr>
                      <w:color w:val="auto"/>
                      <w:sz w:val="20"/>
                      <w:szCs w:val="20"/>
                    </w:rPr>
                    <w:t xml:space="preserve">Section 366 of the Act provides for entities such as partnership firms, limited liability partnerships, cooperative societies, or other business entities formed under any other law, to be registered as a company under the Act, provided, inter alia, that such an entity has seven or more members. It was suggested to the Committee that since various entities referred to in the Section (which can be registered under the Act) </w:t>
                  </w:r>
                  <w:r w:rsidRPr="00883AD3">
                    <w:rPr>
                      <w:b/>
                      <w:color w:val="auto"/>
                      <w:sz w:val="20"/>
                      <w:szCs w:val="20"/>
                    </w:rPr>
                    <w:t>could be formed even with less than seven persons</w:t>
                  </w:r>
                  <w:r w:rsidRPr="00DE2DA5">
                    <w:rPr>
                      <w:color w:val="auto"/>
                      <w:sz w:val="20"/>
                      <w:szCs w:val="20"/>
                    </w:rPr>
                    <w:t xml:space="preserve">, the above referred restriction for the entities to consist of seven or more members would need to be reviewed to allow registration of such entities, consisting of two or more members. Comparable provisions were also found in the English Companies Act, 2006, allowing for the formation of companies with less than seven members. </w:t>
                  </w:r>
                  <w:r w:rsidRPr="00DE2DA5">
                    <w:rPr>
                      <w:b/>
                      <w:bCs/>
                      <w:color w:val="auto"/>
                      <w:sz w:val="20"/>
                      <w:szCs w:val="20"/>
                    </w:rPr>
                    <w:t>The Committee</w:t>
                  </w:r>
                  <w:r>
                    <w:rPr>
                      <w:b/>
                      <w:bCs/>
                      <w:color w:val="auto"/>
                      <w:sz w:val="20"/>
                      <w:szCs w:val="20"/>
                    </w:rPr>
                    <w:t xml:space="preserve"> </w:t>
                  </w:r>
                  <w:r w:rsidRPr="00DE2DA5">
                    <w:rPr>
                      <w:b/>
                      <w:bCs/>
                      <w:color w:val="auto"/>
                      <w:sz w:val="20"/>
                      <w:szCs w:val="20"/>
                    </w:rPr>
                    <w:t xml:space="preserve">recommended for amending Section 366(2) of the Act, to allow for such conversions to companies from partnership firms, etc. with ‘two or more members’, provided that in case of less than seven members, the conversion would be to a private company. </w:t>
                  </w:r>
                </w:p>
                <w:p w:rsidR="00883AD3" w:rsidRPr="00DE2DA5" w:rsidRDefault="00883AD3" w:rsidP="00883AD3">
                  <w:pPr>
                    <w:pStyle w:val="Default"/>
                    <w:rPr>
                      <w:color w:val="auto"/>
                      <w:sz w:val="20"/>
                      <w:szCs w:val="20"/>
                    </w:rPr>
                  </w:pPr>
                </w:p>
                <w:p w:rsidR="009F1DFD" w:rsidRPr="00763AFD" w:rsidRDefault="009F1DFD"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44.</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403- Fee for Filings, etc.</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that only document, fact or information required to be submitted, filed, registered or recorded, as the case may be, under section 89 (Declaration in respect of beneficial interest in any share), 92 (Annual Return), 117 (Resolutions and agreements to be filed), 121 (Report on Annual General Meeting), 137 (Copy of financial statement to be filed with registrar) or 157 (Company to inform director identification number to registrar) may be submitted, filed, registered or recorded, as the case may be, within a period of two hundred and seventy </w:t>
                  </w:r>
                  <w:r w:rsidRPr="00763AFD">
                    <w:rPr>
                      <w:rFonts w:ascii="Arial" w:eastAsia="Times New Roman" w:hAnsi="Arial" w:cs="Arial"/>
                      <w:sz w:val="22"/>
                      <w:szCs w:val="22"/>
                    </w:rPr>
                    <w:lastRenderedPageBreak/>
                    <w:t>days from the expiry of the period so provided in those sections, on payment of such additional fee as may be prescribed. Further it is proposed that in case of documents referred in section 89, 92, 117, 121, 137 or 157 is not submitted, filed, registered or recorded, as the case may be, within the period of two hundred and seventy days from the expiry of the period so provided in those sections or in any other case within the period prescribed under the relevant section, then such information, document or fact can be filed on payment of such higher additional fees as may be prescribed.</w:t>
                  </w:r>
                </w:p>
              </w:tc>
              <w:tc>
                <w:tcPr>
                  <w:tcW w:w="8505" w:type="dxa"/>
                  <w:tcBorders>
                    <w:top w:val="outset" w:sz="6" w:space="0" w:color="auto"/>
                    <w:left w:val="outset" w:sz="6" w:space="0" w:color="auto"/>
                    <w:bottom w:val="outset" w:sz="6" w:space="0" w:color="auto"/>
                    <w:right w:val="outset" w:sz="6" w:space="0" w:color="auto"/>
                  </w:tcBorders>
                </w:tcPr>
                <w:p w:rsidR="00126F90" w:rsidRPr="00763AFD" w:rsidRDefault="00126F90"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lastRenderedPageBreak/>
                    <w:t>Bill seeks to amend section 403 of Act to bring more clarity with</w:t>
                  </w:r>
                </w:p>
                <w:p w:rsidR="00126F90" w:rsidRPr="00763AFD" w:rsidRDefault="00126F90" w:rsidP="00763AFD">
                  <w:pPr>
                    <w:autoSpaceDE w:val="0"/>
                    <w:autoSpaceDN w:val="0"/>
                    <w:adjustRightInd w:val="0"/>
                    <w:ind w:right="339"/>
                    <w:rPr>
                      <w:rFonts w:ascii="Times-Roman" w:eastAsiaTheme="minorHAnsi" w:hAnsi="Times-Roman" w:cs="Times-Roman"/>
                      <w:lang w:eastAsia="en-US"/>
                    </w:rPr>
                  </w:pPr>
                  <w:r w:rsidRPr="00763AFD">
                    <w:rPr>
                      <w:rFonts w:ascii="Times-Roman" w:eastAsiaTheme="minorHAnsi" w:hAnsi="Times-Roman" w:cs="Times-Roman"/>
                      <w:sz w:val="22"/>
                      <w:szCs w:val="22"/>
                      <w:lang w:eastAsia="en-US"/>
                    </w:rPr>
                    <w:t>respect to late filings of documents under sections 89, 92, 117, 121, 137 and 157 and defaults</w:t>
                  </w:r>
                </w:p>
                <w:p w:rsidR="009F1DFD" w:rsidRPr="00763AFD" w:rsidRDefault="00126F90" w:rsidP="00763AFD">
                  <w:pPr>
                    <w:spacing w:line="330" w:lineRule="atLeast"/>
                    <w:ind w:right="339"/>
                    <w:jc w:val="both"/>
                    <w:rPr>
                      <w:rFonts w:ascii="Times-Roman" w:eastAsiaTheme="minorHAnsi" w:hAnsi="Times-Roman" w:cs="Times-Roman"/>
                      <w:lang w:eastAsia="en-US"/>
                    </w:rPr>
                  </w:pPr>
                  <w:r w:rsidRPr="00763AFD">
                    <w:rPr>
                      <w:rFonts w:ascii="Times-Roman" w:eastAsiaTheme="minorHAnsi" w:hAnsi="Times-Roman" w:cs="Times-Roman"/>
                      <w:sz w:val="22"/>
                      <w:szCs w:val="22"/>
                      <w:lang w:eastAsia="en-US"/>
                    </w:rPr>
                    <w:t>in filings, consequences, etc.</w:t>
                  </w:r>
                </w:p>
                <w:p w:rsidR="004D3174" w:rsidRPr="00763AFD" w:rsidRDefault="004D3174" w:rsidP="00763AFD">
                  <w:pPr>
                    <w:spacing w:line="330" w:lineRule="atLeast"/>
                    <w:ind w:right="339"/>
                    <w:jc w:val="both"/>
                    <w:rPr>
                      <w:rFonts w:ascii="Arial" w:eastAsia="Times New Roman" w:hAnsi="Arial" w:cs="Arial"/>
                    </w:rPr>
                  </w:pPr>
                </w:p>
              </w:tc>
            </w:tr>
            <w:tr w:rsidR="009F1DFD" w:rsidRPr="00763AFD" w:rsidTr="00FC1EC2">
              <w:trPr>
                <w:tblCellSpacing w:w="0" w:type="dxa"/>
              </w:trPr>
              <w:tc>
                <w:tcPr>
                  <w:tcW w:w="843"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lastRenderedPageBreak/>
                    <w:t>45.</w:t>
                  </w:r>
                </w:p>
              </w:tc>
              <w:tc>
                <w:tcPr>
                  <w:tcW w:w="1418"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Style w:val="Strong"/>
                      <w:rFonts w:ascii="Arial" w:eastAsia="Times New Roman" w:hAnsi="Arial" w:cs="Arial"/>
                      <w:sz w:val="22"/>
                      <w:szCs w:val="22"/>
                    </w:rPr>
                    <w:t>Section 447- Punishment for Fraud</w:t>
                  </w:r>
                </w:p>
              </w:tc>
              <w:tc>
                <w:tcPr>
                  <w:tcW w:w="4819" w:type="dxa"/>
                  <w:tcBorders>
                    <w:top w:val="outset" w:sz="6" w:space="0" w:color="auto"/>
                    <w:left w:val="outset" w:sz="6" w:space="0" w:color="auto"/>
                    <w:bottom w:val="outset" w:sz="6" w:space="0" w:color="auto"/>
                    <w:right w:val="outset" w:sz="6" w:space="0" w:color="auto"/>
                  </w:tcBorders>
                  <w:vAlign w:val="center"/>
                  <w:hideMark/>
                </w:tcPr>
                <w:p w:rsidR="009F1DFD" w:rsidRPr="00763AFD" w:rsidRDefault="009F1DFD" w:rsidP="00763AFD">
                  <w:pPr>
                    <w:spacing w:line="330" w:lineRule="atLeast"/>
                    <w:ind w:right="339"/>
                    <w:jc w:val="both"/>
                    <w:rPr>
                      <w:rFonts w:ascii="Arial" w:eastAsia="Times New Roman" w:hAnsi="Arial" w:cs="Arial"/>
                    </w:rPr>
                  </w:pPr>
                  <w:r w:rsidRPr="00763AFD">
                    <w:rPr>
                      <w:rFonts w:ascii="Arial" w:eastAsia="Times New Roman" w:hAnsi="Arial" w:cs="Arial"/>
                      <w:sz w:val="22"/>
                      <w:szCs w:val="22"/>
                    </w:rPr>
                    <w:t xml:space="preserve">It is proposed </w:t>
                  </w:r>
                  <w:r w:rsidRPr="00763AFD">
                    <w:rPr>
                      <w:rFonts w:ascii="Arial" w:eastAsia="Times New Roman" w:hAnsi="Arial" w:cs="Arial"/>
                      <w:b/>
                      <w:sz w:val="22"/>
                      <w:szCs w:val="22"/>
                    </w:rPr>
                    <w:t>instead of any fraud</w:t>
                  </w:r>
                  <w:r w:rsidRPr="00763AFD">
                    <w:rPr>
                      <w:rFonts w:ascii="Arial" w:eastAsia="Times New Roman" w:hAnsi="Arial" w:cs="Arial"/>
                      <w:sz w:val="22"/>
                      <w:szCs w:val="22"/>
                    </w:rPr>
                    <w:t xml:space="preserve">, only fraud involving an amount of </w:t>
                  </w:r>
                  <w:r w:rsidRPr="00763AFD">
                    <w:rPr>
                      <w:rFonts w:ascii="Arial" w:eastAsia="Times New Roman" w:hAnsi="Arial" w:cs="Arial"/>
                      <w:b/>
                      <w:sz w:val="22"/>
                      <w:szCs w:val="22"/>
                    </w:rPr>
                    <w:t xml:space="preserve">at least ten </w:t>
                  </w:r>
                  <w:proofErr w:type="spellStart"/>
                  <w:r w:rsidRPr="00763AFD">
                    <w:rPr>
                      <w:rFonts w:ascii="Arial" w:eastAsia="Times New Roman" w:hAnsi="Arial" w:cs="Arial"/>
                      <w:b/>
                      <w:sz w:val="22"/>
                      <w:szCs w:val="22"/>
                    </w:rPr>
                    <w:t>lakh</w:t>
                  </w:r>
                  <w:proofErr w:type="spellEnd"/>
                  <w:r w:rsidRPr="00763AFD">
                    <w:rPr>
                      <w:rFonts w:ascii="Arial" w:eastAsia="Times New Roman" w:hAnsi="Arial" w:cs="Arial"/>
                      <w:b/>
                      <w:sz w:val="22"/>
                      <w:szCs w:val="22"/>
                    </w:rPr>
                    <w:t xml:space="preserve"> rupees or one percent. of the turnover of the company, whichever is lower shall be punishable </w:t>
                  </w:r>
                  <w:r w:rsidRPr="00763AFD">
                    <w:rPr>
                      <w:rFonts w:ascii="Arial" w:eastAsia="Times New Roman" w:hAnsi="Arial" w:cs="Arial"/>
                      <w:sz w:val="22"/>
                      <w:szCs w:val="22"/>
                    </w:rPr>
                    <w:t xml:space="preserve">with imprisonment for a term which shall not be less than 6 months but which may extend to ten years and shall also be liable to a fine which shall not less than the amount involved in the fraud but which may extend to three times the amount involved in the fraud. Further that where the fraud involves an amount less than ten </w:t>
                  </w:r>
                  <w:proofErr w:type="spellStart"/>
                  <w:r w:rsidRPr="00763AFD">
                    <w:rPr>
                      <w:rFonts w:ascii="Arial" w:eastAsia="Times New Roman" w:hAnsi="Arial" w:cs="Arial"/>
                      <w:sz w:val="22"/>
                      <w:szCs w:val="22"/>
                    </w:rPr>
                    <w:t>lakh</w:t>
                  </w:r>
                  <w:proofErr w:type="spellEnd"/>
                  <w:r w:rsidRPr="00763AFD">
                    <w:rPr>
                      <w:rFonts w:ascii="Arial" w:eastAsia="Times New Roman" w:hAnsi="Arial" w:cs="Arial"/>
                      <w:sz w:val="22"/>
                      <w:szCs w:val="22"/>
                    </w:rPr>
                    <w:t xml:space="preserve"> rupees or one per cent. of the turnover of the company, whichever is lower, and does not involve public interest, any person guilty of such </w:t>
                  </w:r>
                  <w:r w:rsidRPr="00763AFD">
                    <w:rPr>
                      <w:rFonts w:ascii="Arial" w:eastAsia="Times New Roman" w:hAnsi="Arial" w:cs="Arial"/>
                      <w:sz w:val="22"/>
                      <w:szCs w:val="22"/>
                    </w:rPr>
                    <w:lastRenderedPageBreak/>
                    <w:t xml:space="preserve">fraud shall be punishable with imprisonment for a term which may extend to five years or with fine which may extend to twenty </w:t>
                  </w:r>
                  <w:proofErr w:type="spellStart"/>
                  <w:r w:rsidRPr="00763AFD">
                    <w:rPr>
                      <w:rFonts w:ascii="Arial" w:eastAsia="Times New Roman" w:hAnsi="Arial" w:cs="Arial"/>
                      <w:sz w:val="22"/>
                      <w:szCs w:val="22"/>
                    </w:rPr>
                    <w:t>lakh</w:t>
                  </w:r>
                  <w:proofErr w:type="spellEnd"/>
                  <w:r w:rsidRPr="00763AFD">
                    <w:rPr>
                      <w:rFonts w:ascii="Arial" w:eastAsia="Times New Roman" w:hAnsi="Arial" w:cs="Arial"/>
                      <w:sz w:val="22"/>
                      <w:szCs w:val="22"/>
                    </w:rPr>
                    <w:t xml:space="preserve"> rupees or with both.</w:t>
                  </w:r>
                </w:p>
              </w:tc>
              <w:tc>
                <w:tcPr>
                  <w:tcW w:w="8505" w:type="dxa"/>
                  <w:tcBorders>
                    <w:top w:val="outset" w:sz="6" w:space="0" w:color="auto"/>
                    <w:left w:val="outset" w:sz="6" w:space="0" w:color="auto"/>
                    <w:bottom w:val="outset" w:sz="6" w:space="0" w:color="auto"/>
                    <w:right w:val="outset" w:sz="6" w:space="0" w:color="auto"/>
                  </w:tcBorders>
                </w:tcPr>
                <w:p w:rsidR="00130B75" w:rsidRPr="00763AFD" w:rsidRDefault="00130B75" w:rsidP="00763AFD">
                  <w:pPr>
                    <w:pStyle w:val="Default"/>
                    <w:ind w:right="339"/>
                    <w:rPr>
                      <w:color w:val="auto"/>
                      <w:sz w:val="22"/>
                      <w:szCs w:val="22"/>
                    </w:rPr>
                  </w:pPr>
                  <w:r w:rsidRPr="00763AFD">
                    <w:rPr>
                      <w:color w:val="auto"/>
                      <w:sz w:val="22"/>
                      <w:szCs w:val="22"/>
                    </w:rPr>
                    <w:lastRenderedPageBreak/>
                    <w:t xml:space="preserve">Section 447 of the Act lays down the punishment for any person found guilty of fraud to imprisonment not less than six months but which may extend to ten years and fine not less than the amount involved in fraud but which may extend to three time the amount involved. Further, in case the fraud involves public interest, the minimum imprisonment shall be not less than three years. </w:t>
                  </w:r>
                </w:p>
                <w:p w:rsidR="00130B75" w:rsidRPr="00763AFD" w:rsidRDefault="00130B75" w:rsidP="00763AFD">
                  <w:pPr>
                    <w:pStyle w:val="Default"/>
                    <w:ind w:right="339"/>
                    <w:rPr>
                      <w:color w:val="auto"/>
                      <w:sz w:val="22"/>
                      <w:szCs w:val="22"/>
                    </w:rPr>
                  </w:pPr>
                </w:p>
                <w:p w:rsidR="00130B75" w:rsidRPr="00763AFD" w:rsidRDefault="00130B75" w:rsidP="00763AFD">
                  <w:pPr>
                    <w:pStyle w:val="Default"/>
                    <w:ind w:right="339"/>
                    <w:rPr>
                      <w:color w:val="auto"/>
                      <w:sz w:val="22"/>
                      <w:szCs w:val="22"/>
                    </w:rPr>
                  </w:pPr>
                  <w:r w:rsidRPr="00763AFD">
                    <w:rPr>
                      <w:color w:val="auto"/>
                      <w:sz w:val="22"/>
                      <w:szCs w:val="22"/>
                    </w:rPr>
                    <w:t xml:space="preserve">28.15 The Committee received suggestions that the ambit of Section 447 was too broad and would result in minor infractions being punished with severe penalties, which are non-compoundable. However, it was also suggested during the discussions that once the offence of fraud is established, it would not be tenable to provide for a threshold for it to be punishable under Section 447. </w:t>
                  </w:r>
                  <w:r w:rsidRPr="00763AFD">
                    <w:rPr>
                      <w:b/>
                      <w:bCs/>
                      <w:color w:val="auto"/>
                      <w:sz w:val="22"/>
                      <w:szCs w:val="22"/>
                    </w:rPr>
                    <w:t xml:space="preserve">The Committee observed that the provision has a potential of being misused and may also have a negative impact on attracting professionals in the post of directors etc. and, therefore, recommends that only frauds, which involve at least an amount of rupees ten </w:t>
                  </w:r>
                  <w:proofErr w:type="spellStart"/>
                  <w:r w:rsidRPr="00763AFD">
                    <w:rPr>
                      <w:b/>
                      <w:bCs/>
                      <w:color w:val="auto"/>
                      <w:sz w:val="22"/>
                      <w:szCs w:val="22"/>
                    </w:rPr>
                    <w:t>lakh</w:t>
                  </w:r>
                  <w:proofErr w:type="spellEnd"/>
                  <w:r w:rsidRPr="00763AFD">
                    <w:rPr>
                      <w:b/>
                      <w:bCs/>
                      <w:color w:val="auto"/>
                      <w:sz w:val="22"/>
                      <w:szCs w:val="22"/>
                    </w:rPr>
                    <w:t xml:space="preserve"> or one percent of the turnover of the company, whichever is lower, may be punishable under Section 447 (and non-compoundable). Frauds below the limits, which do not involve public interest, may be given a differential treatment and compoundable since the cost of prosecution may exceed the quantum involved. </w:t>
                  </w:r>
                </w:p>
                <w:p w:rsidR="009F1DFD" w:rsidRPr="00763AFD" w:rsidRDefault="009F1DFD" w:rsidP="00763AFD">
                  <w:pPr>
                    <w:spacing w:line="330" w:lineRule="atLeast"/>
                    <w:ind w:right="339"/>
                    <w:jc w:val="both"/>
                    <w:rPr>
                      <w:rFonts w:ascii="Arial" w:eastAsia="Times New Roman" w:hAnsi="Arial" w:cs="Arial"/>
                    </w:rPr>
                  </w:pPr>
                </w:p>
              </w:tc>
            </w:tr>
          </w:tbl>
          <w:p w:rsidR="009F1DFD" w:rsidRPr="00763AFD" w:rsidRDefault="009F1DFD" w:rsidP="00763AFD">
            <w:pPr>
              <w:ind w:right="339"/>
              <w:rPr>
                <w:rFonts w:eastAsia="Times New Roman"/>
              </w:rPr>
            </w:pPr>
          </w:p>
          <w:p w:rsidR="009F1DFD" w:rsidRPr="00763AFD" w:rsidRDefault="00BF5756" w:rsidP="00763AFD">
            <w:pPr>
              <w:ind w:right="339"/>
              <w:rPr>
                <w:rFonts w:eastAsia="Times New Roman"/>
              </w:rPr>
            </w:pPr>
            <w:r w:rsidRPr="00BF5756">
              <w:rPr>
                <w:rFonts w:eastAsia="Times New Roman"/>
              </w:rPr>
              <w:pict>
                <v:rect id="_x0000_i1028" style="width:0;height:1.5pt" o:hralign="center" o:hrstd="t" o:hr="t" fillcolor="#a0a0a0" stroked="f"/>
              </w:pict>
            </w:r>
          </w:p>
        </w:tc>
      </w:tr>
      <w:tr w:rsidR="009F1DFD" w:rsidRPr="00763AFD" w:rsidTr="004361B1">
        <w:trPr>
          <w:tblCellSpacing w:w="15" w:type="dxa"/>
          <w:jc w:val="center"/>
        </w:trPr>
        <w:tc>
          <w:tcPr>
            <w:tcW w:w="13988" w:type="dxa"/>
            <w:vAlign w:val="center"/>
            <w:hideMark/>
          </w:tcPr>
          <w:p w:rsidR="009F1DFD" w:rsidRPr="00763AFD" w:rsidRDefault="009F1DFD" w:rsidP="00763AFD">
            <w:pPr>
              <w:ind w:right="339"/>
              <w:jc w:val="right"/>
              <w:rPr>
                <w:rFonts w:eastAsia="Times New Roman"/>
              </w:rPr>
            </w:pPr>
          </w:p>
        </w:tc>
      </w:tr>
      <w:tr w:rsidR="009F1DFD" w:rsidRPr="00763AFD" w:rsidTr="004361B1">
        <w:trPr>
          <w:tblCellSpacing w:w="15" w:type="dxa"/>
          <w:jc w:val="center"/>
        </w:trPr>
        <w:tc>
          <w:tcPr>
            <w:tcW w:w="13988" w:type="dxa"/>
            <w:vAlign w:val="center"/>
            <w:hideMark/>
          </w:tcPr>
          <w:p w:rsidR="009F1DFD" w:rsidRPr="00763AFD" w:rsidRDefault="009F1DFD" w:rsidP="00763AFD">
            <w:pPr>
              <w:ind w:right="339"/>
              <w:rPr>
                <w:rFonts w:eastAsia="Times New Roman"/>
              </w:rPr>
            </w:pPr>
          </w:p>
        </w:tc>
      </w:tr>
      <w:tr w:rsidR="009F1DFD" w:rsidRPr="00763AFD" w:rsidTr="004361B1">
        <w:trPr>
          <w:tblCellSpacing w:w="15" w:type="dxa"/>
          <w:jc w:val="center"/>
        </w:trPr>
        <w:tc>
          <w:tcPr>
            <w:tcW w:w="13988" w:type="dxa"/>
            <w:vAlign w:val="center"/>
            <w:hideMark/>
          </w:tcPr>
          <w:p w:rsidR="009F1DFD" w:rsidRPr="00763AFD" w:rsidRDefault="009F1DFD" w:rsidP="00763AFD">
            <w:pPr>
              <w:ind w:right="339"/>
              <w:rPr>
                <w:rFonts w:eastAsia="Times New Roman"/>
              </w:rPr>
            </w:pPr>
          </w:p>
        </w:tc>
      </w:tr>
      <w:tr w:rsidR="009F1DFD" w:rsidRPr="00763AFD" w:rsidTr="004361B1">
        <w:trPr>
          <w:tblCellSpacing w:w="15" w:type="dxa"/>
          <w:jc w:val="center"/>
        </w:trPr>
        <w:tc>
          <w:tcPr>
            <w:tcW w:w="13988" w:type="dxa"/>
            <w:vAlign w:val="center"/>
            <w:hideMark/>
          </w:tcPr>
          <w:p w:rsidR="009F1DFD" w:rsidRPr="00763AFD" w:rsidRDefault="009F1DFD" w:rsidP="00763AFD">
            <w:pPr>
              <w:ind w:right="339"/>
              <w:jc w:val="right"/>
              <w:rPr>
                <w:rFonts w:eastAsia="Times New Roman"/>
              </w:rPr>
            </w:pPr>
            <w:r w:rsidRPr="00763AFD">
              <w:rPr>
                <w:rFonts w:eastAsia="Times New Roman"/>
                <w:sz w:val="22"/>
                <w:szCs w:val="22"/>
              </w:rPr>
              <w:br/>
            </w:r>
            <w:r w:rsidRPr="00763AFD">
              <w:rPr>
                <w:rStyle w:val="feedback1"/>
                <w:rFonts w:eastAsia="Times New Roman"/>
                <w:sz w:val="22"/>
                <w:szCs w:val="22"/>
              </w:rPr>
              <w:t>Back</w:t>
            </w:r>
            <w:r w:rsidRPr="00763AFD">
              <w:rPr>
                <w:rFonts w:eastAsia="Times New Roman"/>
                <w:sz w:val="22"/>
                <w:szCs w:val="22"/>
              </w:rPr>
              <w:t xml:space="preserve"> </w:t>
            </w:r>
          </w:p>
        </w:tc>
      </w:tr>
    </w:tbl>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ind w:right="339"/>
        <w:rPr>
          <w:sz w:val="22"/>
          <w:szCs w:val="22"/>
        </w:rPr>
      </w:pPr>
    </w:p>
    <w:p w:rsidR="009F1DFD" w:rsidRPr="00763AFD" w:rsidRDefault="009F1DFD" w:rsidP="00763AFD">
      <w:pPr>
        <w:shd w:val="clear" w:color="auto" w:fill="FFFFFF"/>
        <w:spacing w:line="408" w:lineRule="atLeast"/>
        <w:ind w:right="339"/>
        <w:textAlignment w:val="baseline"/>
        <w:rPr>
          <w:rFonts w:ascii="Arial" w:eastAsia="Times New Roman" w:hAnsi="Arial" w:cs="Arial"/>
          <w:color w:val="000000"/>
          <w:sz w:val="22"/>
          <w:szCs w:val="22"/>
        </w:rPr>
      </w:pPr>
    </w:p>
    <w:sectPr w:rsidR="009F1DFD" w:rsidRPr="00763AFD" w:rsidSect="00FC1EC2">
      <w:pgSz w:w="16838" w:h="11906" w:orient="landscape"/>
      <w:pgMar w:top="709" w:right="539" w:bottom="28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nsid w:val="13B2416B"/>
    <w:multiLevelType w:val="multilevel"/>
    <w:tmpl w:val="C9F8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0F0841"/>
    <w:multiLevelType w:val="multilevel"/>
    <w:tmpl w:val="AFFE35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174D68"/>
    <w:multiLevelType w:val="multilevel"/>
    <w:tmpl w:val="9F4CD2F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5BF50C77"/>
    <w:multiLevelType w:val="multilevel"/>
    <w:tmpl w:val="C55AC0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2"/>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F1DFD"/>
    <w:rsid w:val="000141C3"/>
    <w:rsid w:val="00126F90"/>
    <w:rsid w:val="00130B75"/>
    <w:rsid w:val="00146C1D"/>
    <w:rsid w:val="001933E7"/>
    <w:rsid w:val="004070A1"/>
    <w:rsid w:val="004361B1"/>
    <w:rsid w:val="00487309"/>
    <w:rsid w:val="00496D48"/>
    <w:rsid w:val="004D3174"/>
    <w:rsid w:val="004E05F7"/>
    <w:rsid w:val="004E35FB"/>
    <w:rsid w:val="004F6175"/>
    <w:rsid w:val="006612E3"/>
    <w:rsid w:val="00671928"/>
    <w:rsid w:val="007229CE"/>
    <w:rsid w:val="00735A15"/>
    <w:rsid w:val="00763AFD"/>
    <w:rsid w:val="00764E92"/>
    <w:rsid w:val="008606F6"/>
    <w:rsid w:val="00883AD3"/>
    <w:rsid w:val="008B16D2"/>
    <w:rsid w:val="008F2973"/>
    <w:rsid w:val="008F3364"/>
    <w:rsid w:val="008F415F"/>
    <w:rsid w:val="008F6631"/>
    <w:rsid w:val="00924BBF"/>
    <w:rsid w:val="0095462F"/>
    <w:rsid w:val="009F1DFD"/>
    <w:rsid w:val="00AB6741"/>
    <w:rsid w:val="00B0080F"/>
    <w:rsid w:val="00B06A2E"/>
    <w:rsid w:val="00B71A99"/>
    <w:rsid w:val="00BF5756"/>
    <w:rsid w:val="00C34E09"/>
    <w:rsid w:val="00CA7EF4"/>
    <w:rsid w:val="00D463F6"/>
    <w:rsid w:val="00DA736E"/>
    <w:rsid w:val="00DD7622"/>
    <w:rsid w:val="00E5512F"/>
    <w:rsid w:val="00E65237"/>
    <w:rsid w:val="00E82384"/>
    <w:rsid w:val="00ED3D2D"/>
    <w:rsid w:val="00EF6630"/>
    <w:rsid w:val="00FB4577"/>
    <w:rsid w:val="00FC1EC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DFD"/>
    <w:pPr>
      <w:spacing w:after="0" w:line="240" w:lineRule="auto"/>
    </w:pPr>
    <w:rPr>
      <w:rFonts w:ascii="Times New Roman" w:eastAsiaTheme="minorEastAsia"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1DFD"/>
    <w:rPr>
      <w:b/>
      <w:bCs/>
    </w:rPr>
  </w:style>
  <w:style w:type="paragraph" w:styleId="NormalWeb">
    <w:name w:val="Normal (Web)"/>
    <w:basedOn w:val="Normal"/>
    <w:uiPriority w:val="99"/>
    <w:unhideWhenUsed/>
    <w:rsid w:val="009F1DFD"/>
  </w:style>
  <w:style w:type="character" w:customStyle="1" w:styleId="feedback1">
    <w:name w:val="feedback1"/>
    <w:basedOn w:val="DefaultParagraphFont"/>
    <w:rsid w:val="009F1DFD"/>
  </w:style>
  <w:style w:type="paragraph" w:styleId="BalloonText">
    <w:name w:val="Balloon Text"/>
    <w:basedOn w:val="Normal"/>
    <w:link w:val="BalloonTextChar"/>
    <w:uiPriority w:val="99"/>
    <w:semiHidden/>
    <w:unhideWhenUsed/>
    <w:rsid w:val="009F1DFD"/>
    <w:rPr>
      <w:rFonts w:ascii="Tahoma" w:hAnsi="Tahoma" w:cs="Tahoma"/>
      <w:sz w:val="16"/>
      <w:szCs w:val="16"/>
    </w:rPr>
  </w:style>
  <w:style w:type="character" w:customStyle="1" w:styleId="BalloonTextChar">
    <w:name w:val="Balloon Text Char"/>
    <w:basedOn w:val="DefaultParagraphFont"/>
    <w:link w:val="BalloonText"/>
    <w:uiPriority w:val="99"/>
    <w:semiHidden/>
    <w:rsid w:val="009F1DFD"/>
    <w:rPr>
      <w:rFonts w:ascii="Tahoma" w:eastAsiaTheme="minorEastAsia" w:hAnsi="Tahoma" w:cs="Tahoma"/>
      <w:sz w:val="16"/>
      <w:szCs w:val="16"/>
      <w:lang w:eastAsia="en-IN"/>
    </w:rPr>
  </w:style>
  <w:style w:type="paragraph" w:customStyle="1" w:styleId="Default">
    <w:name w:val="Default"/>
    <w:rsid w:val="004361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file:///C:\Users\hp%202\Desktop\Secretarial\Key%20Highlights%20of%20The%20Companies%20(Amendment)%20Bill,%202016_files\line3.p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7192</Words>
  <Characters>41001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2</dc:creator>
  <cp:lastModifiedBy>hp 2</cp:lastModifiedBy>
  <cp:revision>2</cp:revision>
  <cp:lastPrinted>2016-04-01T06:47:00Z</cp:lastPrinted>
  <dcterms:created xsi:type="dcterms:W3CDTF">2016-09-13T12:06:00Z</dcterms:created>
  <dcterms:modified xsi:type="dcterms:W3CDTF">2016-09-13T12:06:00Z</dcterms:modified>
</cp:coreProperties>
</file>