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FA3" w:rsidRPr="00164081" w:rsidRDefault="00DF264E" w:rsidP="00052FA3">
      <w:pPr>
        <w:pStyle w:val="Title"/>
        <w:rPr>
          <w:rStyle w:val="SubtleEmphasis"/>
        </w:rPr>
      </w:pPr>
      <w:r w:rsidRPr="00DF264E">
        <w:rPr>
          <w:rStyle w:val="SubtleEmphasis"/>
        </w:rPr>
        <w:t xml:space="preserve"> </w:t>
      </w:r>
      <w:r w:rsidR="00052FA3" w:rsidRPr="00164081">
        <w:rPr>
          <w:rStyle w:val="SubtleEmphasis"/>
        </w:rPr>
        <w:t>General Condition of Foreign Direct Investment (FDI)</w:t>
      </w:r>
    </w:p>
    <w:p w:rsidR="00DF264E" w:rsidRPr="00164081" w:rsidRDefault="00DF264E" w:rsidP="00052FA3">
      <w:pPr>
        <w:pStyle w:val="Heading2"/>
        <w:jc w:val="right"/>
        <w:rPr>
          <w:rStyle w:val="SubtleEmphasis"/>
        </w:rPr>
      </w:pPr>
      <w:r w:rsidRPr="00164081">
        <w:rPr>
          <w:rStyle w:val="SubtleEmphasis"/>
        </w:rPr>
        <w:t xml:space="preserve">Consolidated FDI Policy </w:t>
      </w:r>
    </w:p>
    <w:p w:rsidR="00DF264E" w:rsidRPr="00164081" w:rsidRDefault="00DF264E" w:rsidP="00052FA3">
      <w:pPr>
        <w:pStyle w:val="Heading2"/>
        <w:pBdr>
          <w:bottom w:val="double" w:sz="4" w:space="1" w:color="auto"/>
        </w:pBdr>
        <w:spacing w:before="0"/>
        <w:jc w:val="right"/>
        <w:rPr>
          <w:rStyle w:val="SubtleEmphasis"/>
        </w:rPr>
      </w:pPr>
      <w:r w:rsidRPr="00164081">
        <w:rPr>
          <w:rStyle w:val="SubtleEmphasis"/>
        </w:rPr>
        <w:t>(Effective from June 07, 2016)</w:t>
      </w:r>
    </w:p>
    <w:p w:rsidR="00395A02" w:rsidRPr="00164081" w:rsidRDefault="00DF0F58" w:rsidP="00052FA3">
      <w:pPr>
        <w:pStyle w:val="Default"/>
        <w:ind w:left="4680"/>
      </w:pPr>
      <w:r w:rsidRPr="00DF0F58">
        <w:rPr>
          <w:rFonts w:asciiTheme="majorHAnsi" w:hAnsiTheme="majorHAnsi"/>
          <w:bCs/>
          <w:noProof/>
        </w:rPr>
        <w:pict>
          <v:shapetype id="_x0000_t202" coordsize="21600,21600" o:spt="202" path="m,l,21600r21600,l21600,xe">
            <v:stroke joinstyle="miter"/>
            <v:path gradientshapeok="t" o:connecttype="rect"/>
          </v:shapetype>
          <v:shape id="Text Box 1" o:spid="_x0000_s1036" type="#_x0000_t202" style="position:absolute;left:0;text-align:left;margin-left:-39.75pt;margin-top:12.65pt;width:267.75pt;height:324.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" fillcolor="#b2a1c7 [1943]" strokecolor="#b2a1c7 [1943]" strokeweight="1pt">
            <v:fill r:id="rId8" o:title="Pink tissue paper" color2="#e5dfec [663]" rotate="t" type="tile"/>
            <v:shadow on="t" type="perspective" color="#3f3151 [1607]" opacity=".5" offset="1pt" offset2="-3pt"/>
            <v:textbox style="mso-next-textbox:#Text Box 1">
              <w:txbxContent>
                <w:p w:rsidR="00052FA3" w:rsidRPr="004543C3" w:rsidRDefault="00052FA3" w:rsidP="00052FA3">
                  <w:pPr>
                    <w:pBdr>
                      <w:top w:val="inset" w:sz="6" w:space="0" w:color="auto"/>
                      <w:left w:val="inset" w:sz="6" w:space="4" w:color="auto"/>
                      <w:bottom w:val="outset" w:sz="6" w:space="1" w:color="auto"/>
                      <w:right w:val="outset" w:sz="6" w:space="4" w:color="auto"/>
                    </w:pBdr>
                    <w:jc w:val="center"/>
                    <w:rPr>
                      <w:rFonts w:ascii="Hobo std" w:hAnsi="Hobo std"/>
                      <w:b/>
                      <w:color w:val="1D1B11" w:themeColor="background2" w:themeShade="1A"/>
                    </w:rPr>
                  </w:pPr>
                  <w:r w:rsidRPr="004543C3">
                    <w:rPr>
                      <w:rFonts w:ascii="Hobo std" w:hAnsi="Hobo std"/>
                      <w:b/>
                      <w:color w:val="1D1B11" w:themeColor="background2" w:themeShade="1A"/>
                      <w:sz w:val="30"/>
                      <w:szCs w:val="30"/>
                    </w:rPr>
                    <w:t>C</w:t>
                  </w:r>
                  <w:r w:rsidRPr="004543C3">
                    <w:rPr>
                      <w:rFonts w:ascii="Hobo std" w:hAnsi="Hobo std"/>
                      <w:b/>
                      <w:color w:val="1D1B11" w:themeColor="background2" w:themeShade="1A"/>
                    </w:rPr>
                    <w:t xml:space="preserve">ONTENT OF </w:t>
                  </w:r>
                  <w:r w:rsidRPr="004543C3">
                    <w:rPr>
                      <w:rFonts w:ascii="Hobo std" w:hAnsi="Hobo std"/>
                      <w:b/>
                      <w:color w:val="1D1B11" w:themeColor="background2" w:themeShade="1A"/>
                      <w:sz w:val="30"/>
                      <w:szCs w:val="30"/>
                    </w:rPr>
                    <w:t>A</w:t>
                  </w:r>
                  <w:r w:rsidRPr="004543C3">
                    <w:rPr>
                      <w:rFonts w:ascii="Hobo std" w:hAnsi="Hobo std"/>
                      <w:b/>
                      <w:color w:val="1D1B11" w:themeColor="background2" w:themeShade="1A"/>
                    </w:rPr>
                    <w:t>RTICLES</w:t>
                  </w:r>
                </w:p>
                <w:p w:rsidR="00052FA3" w:rsidRPr="007130D7" w:rsidRDefault="00052FA3" w:rsidP="00052FA3">
                  <w:pPr>
                    <w:pBdr>
                      <w:top w:val="thickThinLargeGap" w:sz="24" w:space="0" w:color="auto"/>
                      <w:left w:val="thickThinLargeGap" w:sz="24" w:space="0" w:color="auto"/>
                      <w:bottom w:val="thinThickLargeGap" w:sz="24" w:space="1" w:color="auto"/>
                      <w:right w:val="thinThickLargeGap" w:sz="24" w:space="1" w:color="auto"/>
                    </w:pBdr>
                    <w:spacing w:after="0" w:line="240" w:lineRule="auto"/>
                    <w:jc w:val="center"/>
                    <w:rPr>
                      <w:rFonts w:ascii="High Tower Text" w:hAnsi="High Tower Text"/>
                      <w:color w:val="1D1B11" w:themeColor="background2" w:themeShade="1A"/>
                      <w:sz w:val="32"/>
                      <w:szCs w:val="32"/>
                    </w:rPr>
                  </w:pPr>
                  <w:r w:rsidRPr="007130D7">
                    <w:rPr>
                      <w:rFonts w:ascii="High Tower Text" w:hAnsi="High Tower Text"/>
                      <w:color w:val="1D1B11" w:themeColor="background2" w:themeShade="1A"/>
                      <w:sz w:val="32"/>
                      <w:szCs w:val="32"/>
                    </w:rPr>
                    <w:t>Introduction</w:t>
                  </w:r>
                </w:p>
                <w:p w:rsidR="00052FA3" w:rsidRPr="007130D7" w:rsidRDefault="00052FA3" w:rsidP="00052FA3">
                  <w:pPr>
                    <w:pBdr>
                      <w:top w:val="thickThinLargeGap" w:sz="24" w:space="0" w:color="auto"/>
                      <w:left w:val="thickThinLargeGap" w:sz="24" w:space="0" w:color="auto"/>
                      <w:bottom w:val="thinThickLargeGap" w:sz="24" w:space="1" w:color="auto"/>
                      <w:right w:val="thinThickLargeGap" w:sz="24" w:space="1" w:color="auto"/>
                    </w:pBdr>
                    <w:spacing w:after="0" w:line="240" w:lineRule="auto"/>
                    <w:jc w:val="center"/>
                    <w:rPr>
                      <w:rFonts w:ascii="High Tower Text" w:hAnsi="High Tower Text"/>
                      <w:color w:val="1D1B11" w:themeColor="background2" w:themeShade="1A"/>
                      <w:sz w:val="32"/>
                      <w:szCs w:val="32"/>
                    </w:rPr>
                  </w:pPr>
                  <w:r>
                    <w:rPr>
                      <w:rFonts w:ascii="High Tower Text" w:hAnsi="High Tower Text"/>
                      <w:color w:val="1D1B11" w:themeColor="background2" w:themeShade="1A"/>
                      <w:sz w:val="32"/>
                      <w:szCs w:val="32"/>
                    </w:rPr>
                    <w:t>General Condition of FDI</w:t>
                  </w:r>
                </w:p>
                <w:p w:rsidR="00052FA3" w:rsidRDefault="00052FA3" w:rsidP="00052FA3">
                  <w:pPr>
                    <w:pStyle w:val="ListParagraph"/>
                    <w:numPr>
                      <w:ilvl w:val="0"/>
                      <w:numId w:val="19"/>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8"/>
                      <w:szCs w:val="28"/>
                    </w:rPr>
                  </w:pPr>
                  <w:r>
                    <w:rPr>
                      <w:rFonts w:ascii="High Tower Text" w:hAnsi="High Tower Text"/>
                      <w:color w:val="1D1B11" w:themeColor="background2" w:themeShade="1A"/>
                      <w:sz w:val="28"/>
                      <w:szCs w:val="28"/>
                    </w:rPr>
                    <w:t>Meaning of FDI</w:t>
                  </w:r>
                </w:p>
                <w:p w:rsidR="00052FA3" w:rsidRDefault="00052FA3" w:rsidP="00052FA3">
                  <w:pPr>
                    <w:pStyle w:val="ListParagraph"/>
                    <w:numPr>
                      <w:ilvl w:val="0"/>
                      <w:numId w:val="19"/>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8"/>
                      <w:szCs w:val="28"/>
                    </w:rPr>
                  </w:pPr>
                  <w:r>
                    <w:rPr>
                      <w:rFonts w:ascii="High Tower Text" w:hAnsi="High Tower Text"/>
                      <w:color w:val="1D1B11" w:themeColor="background2" w:themeShade="1A"/>
                      <w:sz w:val="28"/>
                      <w:szCs w:val="28"/>
                    </w:rPr>
                    <w:t>Objective of FDI Policy</w:t>
                  </w:r>
                </w:p>
                <w:p w:rsidR="00052FA3" w:rsidRDefault="00052FA3" w:rsidP="00052FA3">
                  <w:pPr>
                    <w:pStyle w:val="ListParagraph"/>
                    <w:numPr>
                      <w:ilvl w:val="0"/>
                      <w:numId w:val="19"/>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8"/>
                      <w:szCs w:val="28"/>
                    </w:rPr>
                  </w:pPr>
                  <w:r>
                    <w:rPr>
                      <w:rFonts w:ascii="High Tower Text" w:hAnsi="High Tower Text"/>
                      <w:color w:val="1D1B11" w:themeColor="background2" w:themeShade="1A"/>
                      <w:sz w:val="28"/>
                      <w:szCs w:val="28"/>
                    </w:rPr>
                    <w:t>Type of Securities to be issued to Foreign Person</w:t>
                  </w:r>
                </w:p>
                <w:p w:rsidR="00052FA3" w:rsidRDefault="00052FA3" w:rsidP="00052FA3">
                  <w:pPr>
                    <w:pStyle w:val="ListParagraph"/>
                    <w:numPr>
                      <w:ilvl w:val="0"/>
                      <w:numId w:val="19"/>
                    </w:num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8"/>
                      <w:szCs w:val="28"/>
                    </w:rPr>
                  </w:pPr>
                  <w:r>
                    <w:rPr>
                      <w:rFonts w:ascii="High Tower Text" w:hAnsi="High Tower Text"/>
                      <w:color w:val="1D1B11" w:themeColor="background2" w:themeShade="1A"/>
                      <w:sz w:val="28"/>
                      <w:szCs w:val="28"/>
                    </w:rPr>
                    <w:t>General Condition of FDI</w:t>
                  </w:r>
                </w:p>
                <w:p w:rsidR="00052FA3" w:rsidRDefault="00052FA3" w:rsidP="00052FA3">
                  <w:p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8"/>
                      <w:szCs w:val="28"/>
                    </w:rPr>
                  </w:pPr>
                  <w:r>
                    <w:rPr>
                      <w:rFonts w:ascii="High Tower Text" w:hAnsi="High Tower Text"/>
                      <w:color w:val="1D1B11" w:themeColor="background2" w:themeShade="1A"/>
                      <w:sz w:val="28"/>
                      <w:szCs w:val="28"/>
                    </w:rPr>
                    <w:t>- Eligible Investors</w:t>
                  </w:r>
                </w:p>
                <w:p w:rsidR="00052FA3" w:rsidRDefault="00052FA3" w:rsidP="00052FA3">
                  <w:p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8"/>
                      <w:szCs w:val="28"/>
                    </w:rPr>
                  </w:pPr>
                  <w:r>
                    <w:rPr>
                      <w:rFonts w:ascii="High Tower Text" w:hAnsi="High Tower Text"/>
                      <w:color w:val="1D1B11" w:themeColor="background2" w:themeShade="1A"/>
                      <w:sz w:val="28"/>
                      <w:szCs w:val="28"/>
                    </w:rPr>
                    <w:t>- Eligible Investee</w:t>
                  </w:r>
                </w:p>
                <w:p w:rsidR="00052FA3" w:rsidRDefault="00052FA3" w:rsidP="00052FA3">
                  <w:p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8"/>
                      <w:szCs w:val="28"/>
                    </w:rPr>
                  </w:pPr>
                  <w:r>
                    <w:rPr>
                      <w:rFonts w:ascii="High Tower Text" w:hAnsi="High Tower Text"/>
                      <w:color w:val="1D1B11" w:themeColor="background2" w:themeShade="1A"/>
                      <w:sz w:val="28"/>
                      <w:szCs w:val="28"/>
                    </w:rPr>
                    <w:t>-</w:t>
                  </w:r>
                  <w:r w:rsidRPr="00052FA3">
                    <w:rPr>
                      <w:rFonts w:ascii="High Tower Text" w:hAnsi="High Tower Text"/>
                      <w:color w:val="1D1B11" w:themeColor="background2" w:themeShade="1A"/>
                      <w:sz w:val="28"/>
                      <w:szCs w:val="28"/>
                    </w:rPr>
                    <w:t>Instruments of investments, issue/transfer of shares etc</w:t>
                  </w:r>
                </w:p>
                <w:p w:rsidR="00052FA3" w:rsidRDefault="00052FA3" w:rsidP="00052FA3">
                  <w:p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8"/>
                      <w:szCs w:val="28"/>
                    </w:rPr>
                  </w:pPr>
                  <w:r>
                    <w:rPr>
                      <w:rFonts w:ascii="High Tower Text" w:hAnsi="High Tower Text"/>
                      <w:color w:val="1D1B11" w:themeColor="background2" w:themeShade="1A"/>
                      <w:sz w:val="28"/>
                      <w:szCs w:val="28"/>
                    </w:rPr>
                    <w:t xml:space="preserve">- </w:t>
                  </w:r>
                  <w:r w:rsidRPr="00052FA3">
                    <w:rPr>
                      <w:rFonts w:ascii="High Tower Text" w:hAnsi="High Tower Text"/>
                      <w:color w:val="1D1B11" w:themeColor="background2" w:themeShade="1A"/>
                      <w:sz w:val="28"/>
                      <w:szCs w:val="28"/>
                    </w:rPr>
                    <w:t>Entry Routes for Investment</w:t>
                  </w:r>
                </w:p>
                <w:p w:rsidR="00052FA3" w:rsidRDefault="00052FA3" w:rsidP="00052FA3">
                  <w:p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8"/>
                      <w:szCs w:val="28"/>
                    </w:rPr>
                  </w:pPr>
                  <w:r>
                    <w:rPr>
                      <w:rFonts w:ascii="High Tower Text" w:hAnsi="High Tower Text"/>
                      <w:color w:val="1D1B11" w:themeColor="background2" w:themeShade="1A"/>
                      <w:sz w:val="28"/>
                      <w:szCs w:val="28"/>
                    </w:rPr>
                    <w:t xml:space="preserve">- </w:t>
                  </w:r>
                  <w:r w:rsidRPr="00052FA3">
                    <w:rPr>
                      <w:rFonts w:ascii="High Tower Text" w:hAnsi="High Tower Text"/>
                      <w:color w:val="1D1B11" w:themeColor="background2" w:themeShade="1A"/>
                      <w:sz w:val="28"/>
                      <w:szCs w:val="28"/>
                    </w:rPr>
                    <w:t>Caps on Investments</w:t>
                  </w:r>
                </w:p>
                <w:p w:rsidR="00052FA3" w:rsidRDefault="00052FA3" w:rsidP="00052FA3">
                  <w:p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rPr>
                      <w:rFonts w:ascii="High Tower Text" w:hAnsi="High Tower Text"/>
                      <w:color w:val="1D1B11" w:themeColor="background2" w:themeShade="1A"/>
                      <w:sz w:val="28"/>
                      <w:szCs w:val="28"/>
                    </w:rPr>
                  </w:pPr>
                  <w:r>
                    <w:rPr>
                      <w:rFonts w:ascii="High Tower Text" w:hAnsi="High Tower Text"/>
                      <w:color w:val="1D1B11" w:themeColor="background2" w:themeShade="1A"/>
                      <w:sz w:val="28"/>
                      <w:szCs w:val="28"/>
                    </w:rPr>
                    <w:t>- Condition for Investment</w:t>
                  </w:r>
                </w:p>
                <w:p w:rsidR="00052FA3" w:rsidRDefault="00052FA3">
                  <w:pPr>
                    <w:pBdr>
                      <w:top w:val="thickThinLargeGap" w:sz="24" w:space="0" w:color="auto"/>
                      <w:left w:val="thickThinLargeGap" w:sz="24" w:space="0" w:color="auto"/>
                      <w:bottom w:val="thinThickLargeGap" w:sz="24" w:space="1" w:color="auto"/>
                      <w:right w:val="thinThickLargeGap" w:sz="24" w:space="1" w:color="auto"/>
                    </w:pBdr>
                    <w:spacing w:after="0" w:line="240" w:lineRule="auto"/>
                    <w:jc w:val="both"/>
                  </w:pPr>
                  <w:r>
                    <w:rPr>
                      <w:rFonts w:ascii="High Tower Text" w:hAnsi="High Tower Text"/>
                      <w:color w:val="1D1B11" w:themeColor="background2" w:themeShade="1A"/>
                      <w:sz w:val="28"/>
                      <w:szCs w:val="28"/>
                    </w:rPr>
                    <w:t xml:space="preserve">- </w:t>
                  </w:r>
                  <w:r w:rsidRPr="00052FA3">
                    <w:rPr>
                      <w:rFonts w:ascii="High Tower Text" w:hAnsi="High Tower Text"/>
                      <w:color w:val="1D1B11" w:themeColor="background2" w:themeShade="1A"/>
                      <w:sz w:val="28"/>
                      <w:szCs w:val="28"/>
                    </w:rPr>
                    <w:t>Remittance, Reporting and Violation</w:t>
                  </w:r>
                  <w:r>
                    <w:t xml:space="preserve">- </w:t>
                  </w:r>
                </w:p>
              </w:txbxContent>
            </v:textbox>
          </v:shape>
        </w:pict>
      </w:r>
    </w:p>
    <w:p w:rsidR="003C2FFE" w:rsidRPr="00164081" w:rsidRDefault="00395A02" w:rsidP="003C2FFE">
      <w:pPr>
        <w:autoSpaceDE w:val="0"/>
        <w:autoSpaceDN w:val="0"/>
        <w:adjustRightInd w:val="0"/>
        <w:spacing w:after="0" w:line="240" w:lineRule="auto"/>
        <w:ind w:left="4680"/>
        <w:rPr>
          <w:rFonts w:asciiTheme="majorHAnsi" w:hAnsiTheme="majorHAnsi"/>
          <w:bCs/>
        </w:rPr>
      </w:pPr>
      <w:r w:rsidRPr="00164081">
        <w:rPr>
          <w:rFonts w:asciiTheme="majorHAnsi" w:hAnsiTheme="majorHAnsi"/>
          <w:bCs/>
        </w:rPr>
        <w:t xml:space="preserve">Department of Industrial Policy and Promotion Ministry of Commerce and Industry Government of India come with </w:t>
      </w:r>
      <w:r w:rsidR="004B429E" w:rsidRPr="00164081">
        <w:rPr>
          <w:rFonts w:asciiTheme="majorHAnsi" w:hAnsiTheme="majorHAnsi"/>
          <w:bCs/>
        </w:rPr>
        <w:t xml:space="preserve">circular for </w:t>
      </w:r>
      <w:r w:rsidRPr="00164081">
        <w:rPr>
          <w:rFonts w:asciiTheme="majorHAnsi" w:hAnsiTheme="majorHAnsi"/>
          <w:bCs/>
        </w:rPr>
        <w:t xml:space="preserve">consolidated policy of FDI. This consolidated policy effective from 7th June, 2016. </w:t>
      </w:r>
    </w:p>
    <w:p w:rsidR="003C2FFE" w:rsidRPr="00164081" w:rsidRDefault="003C2FFE" w:rsidP="003C2FFE">
      <w:pPr>
        <w:autoSpaceDE w:val="0"/>
        <w:autoSpaceDN w:val="0"/>
        <w:adjustRightInd w:val="0"/>
        <w:spacing w:after="0"/>
        <w:ind w:left="4680"/>
        <w:rPr>
          <w:rFonts w:asciiTheme="majorHAnsi" w:hAnsiTheme="majorHAnsi"/>
          <w:bCs/>
        </w:rPr>
      </w:pPr>
    </w:p>
    <w:p w:rsidR="009B2BB1" w:rsidRPr="00164081" w:rsidRDefault="003C2FFE" w:rsidP="003C2FFE">
      <w:pPr>
        <w:autoSpaceDE w:val="0"/>
        <w:autoSpaceDN w:val="0"/>
        <w:adjustRightInd w:val="0"/>
        <w:spacing w:after="0"/>
        <w:ind w:left="4680"/>
        <w:jc w:val="both"/>
        <w:rPr>
          <w:rFonts w:asciiTheme="majorHAnsi" w:hAnsiTheme="majorHAnsi"/>
          <w:bCs/>
        </w:rPr>
      </w:pPr>
      <w:r w:rsidRPr="00164081">
        <w:rPr>
          <w:rFonts w:asciiTheme="majorHAnsi" w:hAnsiTheme="majorHAnsi"/>
          <w:bCs/>
        </w:rPr>
        <w:t>Consolidated FDI Policy Circular is a policy framework on Foreign Direct Investment, which consolidates all Press Notes/Press Releases/Clarifications/ Circulars issued by DIPP, which are in force. The first Circular was issued in March, 2010, which has been updated periodically. The last such Circular was released on 12.05.2015. ‘Consolidated FDI Policy Circular of 2016’ is the ninth edition of the series.</w:t>
      </w:r>
    </w:p>
    <w:p w:rsidR="003C2FFE" w:rsidRPr="00164081" w:rsidRDefault="003C2FFE" w:rsidP="003C2FFE">
      <w:pPr>
        <w:autoSpaceDE w:val="0"/>
        <w:autoSpaceDN w:val="0"/>
        <w:adjustRightInd w:val="0"/>
        <w:spacing w:after="0"/>
        <w:ind w:left="4680"/>
        <w:jc w:val="both"/>
        <w:rPr>
          <w:rFonts w:asciiTheme="majorHAnsi" w:hAnsiTheme="majorHAnsi"/>
          <w:bCs/>
        </w:rPr>
      </w:pPr>
    </w:p>
    <w:p w:rsidR="003C2FFE" w:rsidRPr="00164081" w:rsidRDefault="003C2FFE" w:rsidP="003C2FFE">
      <w:pPr>
        <w:autoSpaceDE w:val="0"/>
        <w:autoSpaceDN w:val="0"/>
        <w:adjustRightInd w:val="0"/>
        <w:spacing w:after="0"/>
        <w:ind w:left="4680"/>
        <w:jc w:val="both"/>
        <w:rPr>
          <w:rFonts w:asciiTheme="majorHAnsi" w:hAnsiTheme="majorHAnsi"/>
          <w:bCs/>
        </w:rPr>
      </w:pPr>
      <w:r w:rsidRPr="00164081">
        <w:rPr>
          <w:rFonts w:asciiTheme="majorHAnsi" w:hAnsiTheme="majorHAnsi"/>
          <w:bCs/>
        </w:rPr>
        <w:t xml:space="preserve">FDI Policy Circular, 2016 has been made simpler and investor friendly; and will serve as a ready reference for foreign investors on various provisions of the FDI policy. </w:t>
      </w:r>
    </w:p>
    <w:p w:rsidR="004B429E" w:rsidRPr="00164081" w:rsidRDefault="004B429E" w:rsidP="00052FA3">
      <w:pPr>
        <w:pStyle w:val="Default"/>
        <w:ind w:left="4680"/>
        <w:jc w:val="both"/>
        <w:rPr>
          <w:rFonts w:asciiTheme="majorHAnsi" w:hAnsiTheme="majorHAnsi"/>
          <w:bCs/>
        </w:rPr>
      </w:pPr>
    </w:p>
    <w:p w:rsidR="00326AE1" w:rsidRPr="00164081" w:rsidRDefault="00326AE1" w:rsidP="00052FA3">
      <w:pPr>
        <w:pStyle w:val="Default"/>
        <w:ind w:left="4680"/>
        <w:jc w:val="both"/>
        <w:rPr>
          <w:rFonts w:ascii="Hobo std" w:hAnsi="Hobo std"/>
          <w:b/>
          <w:color w:val="244061" w:themeColor="accent1" w:themeShade="80"/>
          <w:u w:val="single"/>
        </w:rPr>
      </w:pPr>
    </w:p>
    <w:p w:rsidR="00326AE1" w:rsidRPr="00164081" w:rsidRDefault="00326AE1" w:rsidP="00052FA3">
      <w:pPr>
        <w:pStyle w:val="Default"/>
        <w:ind w:left="4680"/>
        <w:jc w:val="both"/>
        <w:rPr>
          <w:rFonts w:ascii="Hobo std" w:hAnsi="Hobo std"/>
          <w:b/>
          <w:color w:val="244061" w:themeColor="accent1" w:themeShade="80"/>
          <w:u w:val="single"/>
        </w:rPr>
      </w:pPr>
    </w:p>
    <w:p w:rsidR="00191E53" w:rsidRPr="00164081" w:rsidRDefault="00191E53" w:rsidP="00326AE1">
      <w:pPr>
        <w:pStyle w:val="Default"/>
        <w:jc w:val="both"/>
        <w:rPr>
          <w:rFonts w:asciiTheme="majorHAnsi" w:hAnsiTheme="majorHAnsi"/>
          <w:bCs/>
        </w:rPr>
      </w:pPr>
      <w:r w:rsidRPr="00164081">
        <w:rPr>
          <w:rFonts w:ascii="Hobo std" w:hAnsi="Hobo std"/>
          <w:b/>
          <w:color w:val="244061" w:themeColor="accent1" w:themeShade="80"/>
          <w:u w:val="single"/>
        </w:rPr>
        <w:t xml:space="preserve">Meaning of FDI: </w:t>
      </w:r>
      <w:r w:rsidRPr="00164081">
        <w:rPr>
          <w:rFonts w:asciiTheme="majorHAnsi" w:hAnsiTheme="majorHAnsi"/>
          <w:bCs/>
        </w:rPr>
        <w:t xml:space="preserve">FDI means investment by below mentioned the capital of an Indian </w:t>
      </w:r>
      <w:r w:rsidR="00EC3F06" w:rsidRPr="00164081">
        <w:rPr>
          <w:rFonts w:asciiTheme="majorHAnsi" w:hAnsiTheme="majorHAnsi"/>
          <w:bCs/>
        </w:rPr>
        <w:t>Company:</w:t>
      </w:r>
      <w:r w:rsidRPr="00164081">
        <w:rPr>
          <w:rFonts w:asciiTheme="majorHAnsi" w:hAnsiTheme="majorHAnsi"/>
          <w:bCs/>
        </w:rPr>
        <w:t>-</w:t>
      </w:r>
    </w:p>
    <w:p w:rsidR="00191E53" w:rsidRPr="00164081" w:rsidRDefault="00191E53" w:rsidP="00326AE1">
      <w:pPr>
        <w:pStyle w:val="Default"/>
        <w:numPr>
          <w:ilvl w:val="0"/>
          <w:numId w:val="3"/>
        </w:numPr>
        <w:ind w:left="360"/>
        <w:jc w:val="both"/>
        <w:rPr>
          <w:rFonts w:asciiTheme="majorHAnsi" w:hAnsiTheme="majorHAnsi"/>
          <w:bCs/>
        </w:rPr>
      </w:pPr>
      <w:r w:rsidRPr="00164081">
        <w:rPr>
          <w:rFonts w:asciiTheme="majorHAnsi" w:hAnsiTheme="majorHAnsi"/>
          <w:bCs/>
        </w:rPr>
        <w:t>Non- resident entity</w:t>
      </w:r>
    </w:p>
    <w:p w:rsidR="00191E53" w:rsidRPr="00164081" w:rsidRDefault="00191E53" w:rsidP="00326AE1">
      <w:pPr>
        <w:pStyle w:val="Default"/>
        <w:numPr>
          <w:ilvl w:val="0"/>
          <w:numId w:val="3"/>
        </w:numPr>
        <w:ind w:left="360"/>
        <w:jc w:val="both"/>
        <w:rPr>
          <w:rFonts w:asciiTheme="majorHAnsi" w:hAnsiTheme="majorHAnsi"/>
          <w:bCs/>
        </w:rPr>
      </w:pPr>
      <w:r w:rsidRPr="00164081">
        <w:rPr>
          <w:rFonts w:asciiTheme="majorHAnsi" w:hAnsiTheme="majorHAnsi"/>
          <w:bCs/>
        </w:rPr>
        <w:t>Person resident outside India</w:t>
      </w:r>
    </w:p>
    <w:p w:rsidR="00191E53" w:rsidRPr="00164081" w:rsidRDefault="00191E53" w:rsidP="00326AE1">
      <w:pPr>
        <w:pStyle w:val="Default"/>
        <w:jc w:val="both"/>
        <w:rPr>
          <w:rFonts w:ascii="Hobo std" w:hAnsi="Hobo std"/>
          <w:b/>
          <w:color w:val="244061" w:themeColor="accent1" w:themeShade="80"/>
          <w:u w:val="single"/>
        </w:rPr>
      </w:pPr>
    </w:p>
    <w:p w:rsidR="004B429E" w:rsidRPr="00164081" w:rsidRDefault="008D7503" w:rsidP="00326AE1">
      <w:pPr>
        <w:pStyle w:val="Default"/>
        <w:jc w:val="both"/>
        <w:rPr>
          <w:rFonts w:ascii="Hobo std" w:hAnsi="Hobo std"/>
          <w:b/>
          <w:color w:val="244061" w:themeColor="accent1" w:themeShade="80"/>
          <w:u w:val="single"/>
        </w:rPr>
      </w:pPr>
      <w:r w:rsidRPr="00164081">
        <w:rPr>
          <w:rFonts w:ascii="Hobo std" w:hAnsi="Hobo std"/>
          <w:b/>
          <w:color w:val="244061" w:themeColor="accent1" w:themeShade="80"/>
          <w:sz w:val="30"/>
          <w:szCs w:val="30"/>
          <w:u w:val="single"/>
        </w:rPr>
        <w:t>O</w:t>
      </w:r>
      <w:r w:rsidRPr="00164081">
        <w:rPr>
          <w:rFonts w:ascii="Hobo std" w:hAnsi="Hobo std"/>
          <w:b/>
          <w:color w:val="244061" w:themeColor="accent1" w:themeShade="80"/>
          <w:u w:val="single"/>
        </w:rPr>
        <w:t>BJECTIVES:</w:t>
      </w:r>
    </w:p>
    <w:p w:rsidR="004B429E" w:rsidRPr="00164081" w:rsidRDefault="004B429E" w:rsidP="00326AE1">
      <w:pPr>
        <w:pStyle w:val="Default"/>
        <w:numPr>
          <w:ilvl w:val="0"/>
          <w:numId w:val="1"/>
        </w:numPr>
        <w:ind w:left="0" w:hanging="180"/>
        <w:jc w:val="both"/>
        <w:rPr>
          <w:rFonts w:asciiTheme="majorHAnsi" w:hAnsiTheme="majorHAnsi"/>
          <w:b/>
          <w:u w:val="single"/>
        </w:rPr>
      </w:pPr>
      <w:r w:rsidRPr="00164081">
        <w:rPr>
          <w:rFonts w:asciiTheme="majorHAnsi" w:hAnsiTheme="majorHAnsi"/>
          <w:b/>
          <w:u w:val="single"/>
        </w:rPr>
        <w:t xml:space="preserve">Economic Growth: </w:t>
      </w:r>
      <w:r w:rsidRPr="00164081">
        <w:rPr>
          <w:rFonts w:asciiTheme="majorHAnsi" w:hAnsiTheme="majorHAnsi"/>
          <w:bCs/>
        </w:rPr>
        <w:t>It is the intent and objective of the Government of India to attract and promote foreign direct investment in order to supplement domestic capital, technology and skills, for accelerated economic growth</w:t>
      </w:r>
      <w:r w:rsidRPr="00164081">
        <w:rPr>
          <w:sz w:val="22"/>
          <w:szCs w:val="22"/>
        </w:rPr>
        <w:t>.</w:t>
      </w:r>
    </w:p>
    <w:p w:rsidR="00C35F9E" w:rsidRPr="00164081" w:rsidRDefault="00C35F9E" w:rsidP="00326AE1">
      <w:pPr>
        <w:pStyle w:val="Default"/>
        <w:jc w:val="center"/>
        <w:rPr>
          <w:rFonts w:ascii="DaunPenh" w:hAnsi="DaunPenh" w:cs="DaunPenh"/>
          <w:b/>
          <w:color w:val="4F6228" w:themeColor="accent3" w:themeShade="80"/>
          <w:sz w:val="40"/>
          <w:szCs w:val="40"/>
          <w:u w:val="single"/>
        </w:rPr>
      </w:pPr>
      <w:r w:rsidRPr="00164081">
        <w:rPr>
          <w:rFonts w:ascii="DaunPenh" w:hAnsi="DaunPenh" w:cs="DaunPenh"/>
          <w:b/>
          <w:color w:val="4F6228" w:themeColor="accent3" w:themeShade="80"/>
          <w:sz w:val="40"/>
          <w:szCs w:val="40"/>
          <w:u w:val="single"/>
        </w:rPr>
        <w:t>It is also for “Make in India”</w:t>
      </w:r>
    </w:p>
    <w:p w:rsidR="008D7503" w:rsidRPr="00164081" w:rsidRDefault="008D7503" w:rsidP="00052FA3">
      <w:pPr>
        <w:pStyle w:val="Default"/>
        <w:ind w:left="4680"/>
        <w:jc w:val="both"/>
        <w:rPr>
          <w:rFonts w:asciiTheme="majorHAnsi" w:hAnsiTheme="majorHAnsi"/>
          <w:b/>
          <w:u w:val="single"/>
        </w:rPr>
      </w:pPr>
    </w:p>
    <w:p w:rsidR="00326AE1" w:rsidRPr="00164081" w:rsidRDefault="00326AE1" w:rsidP="00326AE1">
      <w:pPr>
        <w:pStyle w:val="Default"/>
        <w:ind w:left="-270"/>
        <w:jc w:val="both"/>
        <w:rPr>
          <w:rFonts w:ascii="Sylfaen" w:hAnsi="Sylfaen"/>
          <w:bCs/>
        </w:rPr>
      </w:pPr>
      <w:r w:rsidRPr="00164081">
        <w:rPr>
          <w:rFonts w:ascii="Sylfaen" w:hAnsi="Sylfaen"/>
          <w:bCs/>
        </w:rPr>
        <w:t>The clauses corresponding to the following Press Notes have been incorporated in the Consolidated FDI Policy Circular of 2016.</w:t>
      </w:r>
    </w:p>
    <w:p w:rsidR="00326AE1" w:rsidRPr="00164081" w:rsidRDefault="00326AE1" w:rsidP="00326AE1">
      <w:pPr>
        <w:pStyle w:val="Default"/>
        <w:ind w:left="-270"/>
        <w:jc w:val="both"/>
        <w:rPr>
          <w:rFonts w:ascii="Sylfaen" w:hAnsi="Sylfaen"/>
          <w:bCs/>
        </w:rPr>
      </w:pPr>
    </w:p>
    <w:tbl>
      <w:tblPr>
        <w:tblStyle w:val="LightGrid-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2250"/>
        <w:gridCol w:w="6228"/>
      </w:tblGrid>
      <w:tr w:rsidR="00326AE1" w:rsidRPr="00164081" w:rsidTr="00326AE1">
        <w:trPr>
          <w:cnfStyle w:val="100000000000"/>
        </w:trPr>
        <w:tc>
          <w:tcPr>
            <w:cnfStyle w:val="001000000000"/>
            <w:tcW w:w="1098" w:type="dxa"/>
            <w:tcBorders>
              <w:top w:val="none" w:sz="0" w:space="0" w:color="auto"/>
              <w:left w:val="none" w:sz="0" w:space="0" w:color="auto"/>
              <w:bottom w:val="none" w:sz="0" w:space="0" w:color="auto"/>
              <w:right w:val="none" w:sz="0" w:space="0" w:color="auto"/>
            </w:tcBorders>
          </w:tcPr>
          <w:p w:rsidR="00326AE1" w:rsidRPr="00164081" w:rsidRDefault="00326AE1" w:rsidP="00326AE1">
            <w:pPr>
              <w:pStyle w:val="Default"/>
              <w:spacing w:line="276" w:lineRule="auto"/>
              <w:jc w:val="center"/>
              <w:rPr>
                <w:rFonts w:ascii="Sylfaen" w:hAnsi="Sylfaen"/>
                <w:bCs w:val="0"/>
              </w:rPr>
            </w:pPr>
            <w:r w:rsidRPr="00164081">
              <w:rPr>
                <w:rFonts w:ascii="Sylfaen" w:hAnsi="Sylfaen"/>
                <w:bCs w:val="0"/>
              </w:rPr>
              <w:t>S. No.</w:t>
            </w:r>
          </w:p>
        </w:tc>
        <w:tc>
          <w:tcPr>
            <w:tcW w:w="2250" w:type="dxa"/>
            <w:tcBorders>
              <w:top w:val="none" w:sz="0" w:space="0" w:color="auto"/>
              <w:left w:val="none" w:sz="0" w:space="0" w:color="auto"/>
              <w:bottom w:val="none" w:sz="0" w:space="0" w:color="auto"/>
              <w:right w:val="none" w:sz="0" w:space="0" w:color="auto"/>
            </w:tcBorders>
          </w:tcPr>
          <w:p w:rsidR="00326AE1" w:rsidRPr="00164081" w:rsidRDefault="00326AE1" w:rsidP="00326AE1">
            <w:pPr>
              <w:pStyle w:val="Default"/>
              <w:spacing w:line="276" w:lineRule="auto"/>
              <w:jc w:val="center"/>
              <w:cnfStyle w:val="100000000000"/>
              <w:rPr>
                <w:rFonts w:ascii="Sylfaen" w:hAnsi="Sylfaen"/>
                <w:bCs w:val="0"/>
              </w:rPr>
            </w:pPr>
            <w:r w:rsidRPr="00164081">
              <w:rPr>
                <w:rFonts w:ascii="Sylfaen" w:hAnsi="Sylfaen"/>
                <w:bCs w:val="0"/>
              </w:rPr>
              <w:t>Press Note</w:t>
            </w:r>
          </w:p>
        </w:tc>
        <w:tc>
          <w:tcPr>
            <w:tcW w:w="6228" w:type="dxa"/>
            <w:tcBorders>
              <w:top w:val="none" w:sz="0" w:space="0" w:color="auto"/>
              <w:left w:val="none" w:sz="0" w:space="0" w:color="auto"/>
              <w:bottom w:val="none" w:sz="0" w:space="0" w:color="auto"/>
              <w:right w:val="none" w:sz="0" w:space="0" w:color="auto"/>
            </w:tcBorders>
          </w:tcPr>
          <w:p w:rsidR="00326AE1" w:rsidRPr="00164081" w:rsidRDefault="00326AE1" w:rsidP="00326AE1">
            <w:pPr>
              <w:pStyle w:val="Default"/>
              <w:spacing w:line="276" w:lineRule="auto"/>
              <w:jc w:val="center"/>
              <w:cnfStyle w:val="100000000000"/>
              <w:rPr>
                <w:rFonts w:ascii="Sylfaen" w:hAnsi="Sylfaen"/>
                <w:bCs w:val="0"/>
              </w:rPr>
            </w:pPr>
            <w:r w:rsidRPr="00164081">
              <w:rPr>
                <w:rFonts w:ascii="Sylfaen" w:hAnsi="Sylfaen"/>
                <w:bCs w:val="0"/>
              </w:rPr>
              <w:t>Issue</w:t>
            </w:r>
          </w:p>
        </w:tc>
      </w:tr>
      <w:tr w:rsidR="00326AE1" w:rsidRPr="00164081" w:rsidTr="00326AE1">
        <w:trPr>
          <w:cnfStyle w:val="000000100000"/>
        </w:trPr>
        <w:tc>
          <w:tcPr>
            <w:cnfStyle w:val="001000000000"/>
            <w:tcW w:w="1098" w:type="dxa"/>
            <w:tcBorders>
              <w:top w:val="none" w:sz="0" w:space="0" w:color="auto"/>
              <w:left w:val="none" w:sz="0" w:space="0" w:color="auto"/>
              <w:bottom w:val="none" w:sz="0" w:space="0" w:color="auto"/>
              <w:right w:val="none" w:sz="0" w:space="0" w:color="auto"/>
            </w:tcBorders>
          </w:tcPr>
          <w:p w:rsidR="00326AE1" w:rsidRPr="00164081" w:rsidRDefault="00326AE1" w:rsidP="00326AE1">
            <w:pPr>
              <w:pStyle w:val="Default"/>
              <w:numPr>
                <w:ilvl w:val="0"/>
                <w:numId w:val="20"/>
              </w:numPr>
              <w:spacing w:line="276" w:lineRule="auto"/>
              <w:jc w:val="both"/>
              <w:rPr>
                <w:rFonts w:ascii="Sylfaen" w:hAnsi="Sylfaen"/>
                <w:bCs w:val="0"/>
              </w:rPr>
            </w:pPr>
          </w:p>
        </w:tc>
        <w:tc>
          <w:tcPr>
            <w:tcW w:w="2250" w:type="dxa"/>
            <w:tcBorders>
              <w:top w:val="none" w:sz="0" w:space="0" w:color="auto"/>
              <w:left w:val="none" w:sz="0" w:space="0" w:color="auto"/>
              <w:bottom w:val="none" w:sz="0" w:space="0" w:color="auto"/>
              <w:right w:val="none" w:sz="0" w:space="0" w:color="auto"/>
            </w:tcBorders>
          </w:tcPr>
          <w:p w:rsidR="00326AE1" w:rsidRPr="00164081" w:rsidRDefault="00326AE1" w:rsidP="00326AE1">
            <w:pPr>
              <w:spacing w:line="276" w:lineRule="auto"/>
              <w:cnfStyle w:val="000000100000"/>
              <w:rPr>
                <w:rFonts w:ascii="Sylfaen" w:hAnsi="Sylfaen"/>
              </w:rPr>
            </w:pPr>
            <w:r w:rsidRPr="00164081">
              <w:rPr>
                <w:rFonts w:ascii="Sylfaen" w:hAnsi="Sylfaen" w:cs="Arial"/>
                <w:sz w:val="24"/>
                <w:szCs w:val="24"/>
              </w:rPr>
              <w:t>6 of 2015 Series</w:t>
            </w:r>
          </w:p>
        </w:tc>
        <w:tc>
          <w:tcPr>
            <w:tcW w:w="6228" w:type="dxa"/>
            <w:tcBorders>
              <w:top w:val="none" w:sz="0" w:space="0" w:color="auto"/>
              <w:left w:val="none" w:sz="0" w:space="0" w:color="auto"/>
              <w:bottom w:val="none" w:sz="0" w:space="0" w:color="auto"/>
              <w:right w:val="none" w:sz="0" w:space="0" w:color="auto"/>
            </w:tcBorders>
          </w:tcPr>
          <w:p w:rsidR="00326AE1" w:rsidRPr="00164081" w:rsidRDefault="00326AE1" w:rsidP="00326AE1">
            <w:pPr>
              <w:spacing w:line="276" w:lineRule="auto"/>
              <w:cnfStyle w:val="000000100000"/>
              <w:rPr>
                <w:rFonts w:ascii="Sylfaen" w:hAnsi="Sylfaen"/>
              </w:rPr>
            </w:pPr>
            <w:r w:rsidRPr="00164081">
              <w:rPr>
                <w:rFonts w:ascii="Sylfaen" w:hAnsi="Sylfaen" w:cs="Arial"/>
                <w:sz w:val="24"/>
                <w:szCs w:val="24"/>
              </w:rPr>
              <w:t>Investment Limit for Cases involving FIPB/CCEA approval</w:t>
            </w:r>
          </w:p>
        </w:tc>
      </w:tr>
      <w:tr w:rsidR="00326AE1" w:rsidRPr="00164081" w:rsidTr="00326AE1">
        <w:trPr>
          <w:cnfStyle w:val="000000010000"/>
        </w:trPr>
        <w:tc>
          <w:tcPr>
            <w:cnfStyle w:val="001000000000"/>
            <w:tcW w:w="1098" w:type="dxa"/>
            <w:tcBorders>
              <w:top w:val="none" w:sz="0" w:space="0" w:color="auto"/>
              <w:left w:val="none" w:sz="0" w:space="0" w:color="auto"/>
              <w:bottom w:val="none" w:sz="0" w:space="0" w:color="auto"/>
              <w:right w:val="none" w:sz="0" w:space="0" w:color="auto"/>
            </w:tcBorders>
          </w:tcPr>
          <w:p w:rsidR="00326AE1" w:rsidRPr="00164081" w:rsidRDefault="00326AE1" w:rsidP="00326AE1">
            <w:pPr>
              <w:pStyle w:val="Default"/>
              <w:numPr>
                <w:ilvl w:val="0"/>
                <w:numId w:val="20"/>
              </w:numPr>
              <w:spacing w:line="276" w:lineRule="auto"/>
              <w:jc w:val="both"/>
              <w:rPr>
                <w:rFonts w:ascii="Sylfaen" w:hAnsi="Sylfaen"/>
                <w:bCs w:val="0"/>
              </w:rPr>
            </w:pPr>
          </w:p>
        </w:tc>
        <w:tc>
          <w:tcPr>
            <w:tcW w:w="2250" w:type="dxa"/>
            <w:tcBorders>
              <w:top w:val="none" w:sz="0" w:space="0" w:color="auto"/>
              <w:left w:val="none" w:sz="0" w:space="0" w:color="auto"/>
              <w:bottom w:val="none" w:sz="0" w:space="0" w:color="auto"/>
              <w:right w:val="none" w:sz="0" w:space="0" w:color="auto"/>
            </w:tcBorders>
          </w:tcPr>
          <w:p w:rsidR="00326AE1" w:rsidRPr="00164081" w:rsidRDefault="00326AE1" w:rsidP="00326AE1">
            <w:pPr>
              <w:spacing w:line="276" w:lineRule="auto"/>
              <w:cnfStyle w:val="000000010000"/>
              <w:rPr>
                <w:rFonts w:ascii="Sylfaen" w:hAnsi="Sylfaen"/>
              </w:rPr>
            </w:pPr>
            <w:r w:rsidRPr="00164081">
              <w:rPr>
                <w:rFonts w:ascii="Sylfaen" w:hAnsi="Sylfaen" w:cs="Arial"/>
                <w:sz w:val="24"/>
                <w:szCs w:val="24"/>
              </w:rPr>
              <w:t>7 of 2015 Series</w:t>
            </w:r>
          </w:p>
        </w:tc>
        <w:tc>
          <w:tcPr>
            <w:tcW w:w="6228" w:type="dxa"/>
            <w:tcBorders>
              <w:top w:val="none" w:sz="0" w:space="0" w:color="auto"/>
              <w:left w:val="none" w:sz="0" w:space="0" w:color="auto"/>
              <w:bottom w:val="none" w:sz="0" w:space="0" w:color="auto"/>
              <w:right w:val="none" w:sz="0" w:space="0" w:color="auto"/>
            </w:tcBorders>
          </w:tcPr>
          <w:p w:rsidR="00326AE1" w:rsidRPr="00164081" w:rsidRDefault="00326AE1" w:rsidP="00326AE1">
            <w:pPr>
              <w:spacing w:line="276" w:lineRule="auto"/>
              <w:cnfStyle w:val="000000010000"/>
              <w:rPr>
                <w:rFonts w:ascii="Sylfaen" w:hAnsi="Sylfaen"/>
              </w:rPr>
            </w:pPr>
            <w:r w:rsidRPr="00164081">
              <w:rPr>
                <w:rFonts w:ascii="Sylfaen" w:hAnsi="Sylfaen" w:cs="Arial"/>
                <w:sz w:val="24"/>
                <w:szCs w:val="24"/>
              </w:rPr>
              <w:t>Investment by NRIs, PIOs and OCIs</w:t>
            </w:r>
          </w:p>
        </w:tc>
      </w:tr>
      <w:tr w:rsidR="00326AE1" w:rsidRPr="00164081" w:rsidTr="00326AE1">
        <w:trPr>
          <w:cnfStyle w:val="000000100000"/>
        </w:trPr>
        <w:tc>
          <w:tcPr>
            <w:cnfStyle w:val="001000000000"/>
            <w:tcW w:w="1098" w:type="dxa"/>
            <w:tcBorders>
              <w:top w:val="none" w:sz="0" w:space="0" w:color="auto"/>
              <w:left w:val="none" w:sz="0" w:space="0" w:color="auto"/>
              <w:bottom w:val="none" w:sz="0" w:space="0" w:color="auto"/>
              <w:right w:val="none" w:sz="0" w:space="0" w:color="auto"/>
            </w:tcBorders>
          </w:tcPr>
          <w:p w:rsidR="00326AE1" w:rsidRPr="00164081" w:rsidRDefault="00326AE1" w:rsidP="00326AE1">
            <w:pPr>
              <w:pStyle w:val="Default"/>
              <w:numPr>
                <w:ilvl w:val="0"/>
                <w:numId w:val="20"/>
              </w:numPr>
              <w:spacing w:line="276" w:lineRule="auto"/>
              <w:jc w:val="both"/>
              <w:rPr>
                <w:rFonts w:ascii="Sylfaen" w:hAnsi="Sylfaen"/>
                <w:bCs w:val="0"/>
              </w:rPr>
            </w:pPr>
          </w:p>
        </w:tc>
        <w:tc>
          <w:tcPr>
            <w:tcW w:w="2250" w:type="dxa"/>
            <w:tcBorders>
              <w:top w:val="none" w:sz="0" w:space="0" w:color="auto"/>
              <w:left w:val="none" w:sz="0" w:space="0" w:color="auto"/>
              <w:bottom w:val="none" w:sz="0" w:space="0" w:color="auto"/>
              <w:right w:val="none" w:sz="0" w:space="0" w:color="auto"/>
            </w:tcBorders>
          </w:tcPr>
          <w:p w:rsidR="00326AE1" w:rsidRPr="00164081" w:rsidRDefault="00326AE1" w:rsidP="00326AE1">
            <w:pPr>
              <w:spacing w:line="276" w:lineRule="auto"/>
              <w:cnfStyle w:val="000000100000"/>
              <w:rPr>
                <w:rFonts w:ascii="Sylfaen" w:hAnsi="Sylfaen"/>
              </w:rPr>
            </w:pPr>
            <w:r w:rsidRPr="00164081">
              <w:rPr>
                <w:rFonts w:ascii="Sylfaen" w:hAnsi="Sylfaen" w:cs="Arial"/>
                <w:sz w:val="24"/>
                <w:szCs w:val="24"/>
              </w:rPr>
              <w:t>8 of 2015 Series</w:t>
            </w:r>
          </w:p>
        </w:tc>
        <w:tc>
          <w:tcPr>
            <w:tcW w:w="6228" w:type="dxa"/>
            <w:tcBorders>
              <w:top w:val="none" w:sz="0" w:space="0" w:color="auto"/>
              <w:left w:val="none" w:sz="0" w:space="0" w:color="auto"/>
              <w:bottom w:val="none" w:sz="0" w:space="0" w:color="auto"/>
              <w:right w:val="none" w:sz="0" w:space="0" w:color="auto"/>
            </w:tcBorders>
          </w:tcPr>
          <w:p w:rsidR="00326AE1" w:rsidRPr="00164081" w:rsidRDefault="00326AE1" w:rsidP="00326AE1">
            <w:pPr>
              <w:spacing w:line="276" w:lineRule="auto"/>
              <w:cnfStyle w:val="000000100000"/>
              <w:rPr>
                <w:rFonts w:ascii="Sylfaen" w:hAnsi="Sylfaen" w:cs="Arial"/>
                <w:sz w:val="24"/>
                <w:szCs w:val="24"/>
              </w:rPr>
            </w:pPr>
            <w:r w:rsidRPr="00164081">
              <w:rPr>
                <w:rFonts w:ascii="Sylfaen" w:hAnsi="Sylfaen" w:cs="Arial"/>
                <w:sz w:val="24"/>
                <w:szCs w:val="24"/>
              </w:rPr>
              <w:t>Introduction of Composite Caps</w:t>
            </w:r>
          </w:p>
        </w:tc>
      </w:tr>
      <w:tr w:rsidR="00326AE1" w:rsidRPr="00164081" w:rsidTr="00326AE1">
        <w:trPr>
          <w:cnfStyle w:val="000000010000"/>
        </w:trPr>
        <w:tc>
          <w:tcPr>
            <w:cnfStyle w:val="001000000000"/>
            <w:tcW w:w="1098" w:type="dxa"/>
            <w:tcBorders>
              <w:top w:val="none" w:sz="0" w:space="0" w:color="auto"/>
              <w:left w:val="none" w:sz="0" w:space="0" w:color="auto"/>
              <w:bottom w:val="none" w:sz="0" w:space="0" w:color="auto"/>
              <w:right w:val="none" w:sz="0" w:space="0" w:color="auto"/>
            </w:tcBorders>
          </w:tcPr>
          <w:p w:rsidR="00326AE1" w:rsidRPr="00164081" w:rsidRDefault="00326AE1" w:rsidP="00326AE1">
            <w:pPr>
              <w:pStyle w:val="Default"/>
              <w:numPr>
                <w:ilvl w:val="0"/>
                <w:numId w:val="20"/>
              </w:numPr>
              <w:spacing w:line="276" w:lineRule="auto"/>
              <w:jc w:val="both"/>
              <w:rPr>
                <w:rFonts w:ascii="Sylfaen" w:hAnsi="Sylfaen"/>
                <w:bCs w:val="0"/>
              </w:rPr>
            </w:pPr>
          </w:p>
        </w:tc>
        <w:tc>
          <w:tcPr>
            <w:tcW w:w="2250" w:type="dxa"/>
            <w:tcBorders>
              <w:top w:val="none" w:sz="0" w:space="0" w:color="auto"/>
              <w:left w:val="none" w:sz="0" w:space="0" w:color="auto"/>
              <w:bottom w:val="none" w:sz="0" w:space="0" w:color="auto"/>
              <w:right w:val="none" w:sz="0" w:space="0" w:color="auto"/>
            </w:tcBorders>
          </w:tcPr>
          <w:p w:rsidR="00326AE1" w:rsidRPr="00164081" w:rsidRDefault="00326AE1" w:rsidP="00326AE1">
            <w:pPr>
              <w:spacing w:line="276" w:lineRule="auto"/>
              <w:cnfStyle w:val="000000010000"/>
              <w:rPr>
                <w:rFonts w:ascii="Sylfaen" w:hAnsi="Sylfaen"/>
              </w:rPr>
            </w:pPr>
            <w:r w:rsidRPr="00164081">
              <w:rPr>
                <w:rFonts w:ascii="Sylfaen" w:hAnsi="Sylfaen" w:cs="Arial"/>
                <w:sz w:val="24"/>
                <w:szCs w:val="24"/>
              </w:rPr>
              <w:t>9 of 2015 Series</w:t>
            </w:r>
          </w:p>
        </w:tc>
        <w:tc>
          <w:tcPr>
            <w:tcW w:w="6228" w:type="dxa"/>
            <w:tcBorders>
              <w:top w:val="none" w:sz="0" w:space="0" w:color="auto"/>
              <w:left w:val="none" w:sz="0" w:space="0" w:color="auto"/>
              <w:bottom w:val="none" w:sz="0" w:space="0" w:color="auto"/>
              <w:right w:val="none" w:sz="0" w:space="0" w:color="auto"/>
            </w:tcBorders>
          </w:tcPr>
          <w:p w:rsidR="00326AE1" w:rsidRPr="00164081" w:rsidRDefault="00326AE1" w:rsidP="00326AE1">
            <w:pPr>
              <w:spacing w:line="276" w:lineRule="auto"/>
              <w:cnfStyle w:val="000000010000"/>
              <w:rPr>
                <w:rFonts w:ascii="Sylfaen" w:hAnsi="Sylfaen" w:cs="Arial"/>
                <w:sz w:val="24"/>
                <w:szCs w:val="24"/>
              </w:rPr>
            </w:pPr>
            <w:r w:rsidRPr="00164081">
              <w:rPr>
                <w:rFonts w:ascii="Sylfaen" w:hAnsi="Sylfaen" w:cs="Arial"/>
                <w:sz w:val="24"/>
                <w:szCs w:val="24"/>
              </w:rPr>
              <w:t>Partly Paid Shares and Warrants</w:t>
            </w:r>
          </w:p>
        </w:tc>
      </w:tr>
      <w:tr w:rsidR="00326AE1" w:rsidRPr="00164081" w:rsidTr="00326AE1">
        <w:trPr>
          <w:cnfStyle w:val="000000100000"/>
        </w:trPr>
        <w:tc>
          <w:tcPr>
            <w:cnfStyle w:val="001000000000"/>
            <w:tcW w:w="1098" w:type="dxa"/>
            <w:tcBorders>
              <w:top w:val="none" w:sz="0" w:space="0" w:color="auto"/>
              <w:left w:val="none" w:sz="0" w:space="0" w:color="auto"/>
              <w:bottom w:val="none" w:sz="0" w:space="0" w:color="auto"/>
              <w:right w:val="none" w:sz="0" w:space="0" w:color="auto"/>
            </w:tcBorders>
          </w:tcPr>
          <w:p w:rsidR="00326AE1" w:rsidRPr="00164081" w:rsidRDefault="00326AE1" w:rsidP="00326AE1">
            <w:pPr>
              <w:pStyle w:val="Default"/>
              <w:numPr>
                <w:ilvl w:val="0"/>
                <w:numId w:val="20"/>
              </w:numPr>
              <w:spacing w:line="276" w:lineRule="auto"/>
              <w:jc w:val="both"/>
              <w:rPr>
                <w:rFonts w:ascii="Sylfaen" w:hAnsi="Sylfaen"/>
                <w:bCs w:val="0"/>
              </w:rPr>
            </w:pPr>
          </w:p>
        </w:tc>
        <w:tc>
          <w:tcPr>
            <w:tcW w:w="2250" w:type="dxa"/>
            <w:tcBorders>
              <w:top w:val="none" w:sz="0" w:space="0" w:color="auto"/>
              <w:left w:val="none" w:sz="0" w:space="0" w:color="auto"/>
              <w:bottom w:val="none" w:sz="0" w:space="0" w:color="auto"/>
              <w:right w:val="none" w:sz="0" w:space="0" w:color="auto"/>
            </w:tcBorders>
          </w:tcPr>
          <w:p w:rsidR="00326AE1" w:rsidRPr="00164081" w:rsidRDefault="00326AE1" w:rsidP="00326AE1">
            <w:pPr>
              <w:spacing w:line="276" w:lineRule="auto"/>
              <w:cnfStyle w:val="000000100000"/>
              <w:rPr>
                <w:rFonts w:ascii="Sylfaen" w:hAnsi="Sylfaen"/>
              </w:rPr>
            </w:pPr>
            <w:r w:rsidRPr="00164081">
              <w:rPr>
                <w:rFonts w:ascii="Sylfaen" w:hAnsi="Sylfaen" w:cs="Arial"/>
                <w:sz w:val="24"/>
                <w:szCs w:val="24"/>
              </w:rPr>
              <w:t>11 of 2015 Series</w:t>
            </w:r>
          </w:p>
        </w:tc>
        <w:tc>
          <w:tcPr>
            <w:tcW w:w="6228" w:type="dxa"/>
            <w:tcBorders>
              <w:top w:val="none" w:sz="0" w:space="0" w:color="auto"/>
              <w:left w:val="none" w:sz="0" w:space="0" w:color="auto"/>
              <w:bottom w:val="none" w:sz="0" w:space="0" w:color="auto"/>
              <w:right w:val="none" w:sz="0" w:space="0" w:color="auto"/>
            </w:tcBorders>
          </w:tcPr>
          <w:p w:rsidR="00326AE1" w:rsidRPr="00164081" w:rsidRDefault="00326AE1" w:rsidP="00326AE1">
            <w:pPr>
              <w:spacing w:line="276" w:lineRule="auto"/>
              <w:cnfStyle w:val="000000100000"/>
              <w:rPr>
                <w:rFonts w:ascii="Sylfaen" w:hAnsi="Sylfaen"/>
              </w:rPr>
            </w:pPr>
            <w:r w:rsidRPr="00164081">
              <w:rPr>
                <w:rFonts w:ascii="Sylfaen" w:hAnsi="Sylfaen" w:cs="Arial"/>
                <w:sz w:val="24"/>
                <w:szCs w:val="24"/>
              </w:rPr>
              <w:t>FDI in White Label ATM Operations</w:t>
            </w:r>
          </w:p>
        </w:tc>
      </w:tr>
      <w:tr w:rsidR="00326AE1" w:rsidRPr="00164081" w:rsidTr="00326AE1">
        <w:trPr>
          <w:cnfStyle w:val="000000010000"/>
        </w:trPr>
        <w:tc>
          <w:tcPr>
            <w:cnfStyle w:val="001000000000"/>
            <w:tcW w:w="1098" w:type="dxa"/>
            <w:tcBorders>
              <w:top w:val="none" w:sz="0" w:space="0" w:color="auto"/>
              <w:left w:val="none" w:sz="0" w:space="0" w:color="auto"/>
              <w:bottom w:val="none" w:sz="0" w:space="0" w:color="auto"/>
              <w:right w:val="none" w:sz="0" w:space="0" w:color="auto"/>
            </w:tcBorders>
          </w:tcPr>
          <w:p w:rsidR="00326AE1" w:rsidRPr="00164081" w:rsidRDefault="00326AE1" w:rsidP="00326AE1">
            <w:pPr>
              <w:pStyle w:val="Default"/>
              <w:numPr>
                <w:ilvl w:val="0"/>
                <w:numId w:val="20"/>
              </w:numPr>
              <w:spacing w:line="276" w:lineRule="auto"/>
              <w:jc w:val="both"/>
              <w:rPr>
                <w:rFonts w:ascii="Sylfaen" w:hAnsi="Sylfaen"/>
                <w:bCs w:val="0"/>
              </w:rPr>
            </w:pPr>
          </w:p>
        </w:tc>
        <w:tc>
          <w:tcPr>
            <w:tcW w:w="2250" w:type="dxa"/>
            <w:tcBorders>
              <w:top w:val="none" w:sz="0" w:space="0" w:color="auto"/>
              <w:left w:val="none" w:sz="0" w:space="0" w:color="auto"/>
              <w:bottom w:val="none" w:sz="0" w:space="0" w:color="auto"/>
              <w:right w:val="none" w:sz="0" w:space="0" w:color="auto"/>
            </w:tcBorders>
          </w:tcPr>
          <w:p w:rsidR="00326AE1" w:rsidRPr="00164081" w:rsidRDefault="00326AE1" w:rsidP="00326AE1">
            <w:pPr>
              <w:spacing w:line="276" w:lineRule="auto"/>
              <w:cnfStyle w:val="000000010000"/>
              <w:rPr>
                <w:rFonts w:ascii="Sylfaen" w:hAnsi="Sylfaen"/>
              </w:rPr>
            </w:pPr>
            <w:r w:rsidRPr="00164081">
              <w:rPr>
                <w:rFonts w:ascii="Sylfaen" w:hAnsi="Sylfaen" w:cs="Arial"/>
                <w:sz w:val="24"/>
                <w:szCs w:val="24"/>
              </w:rPr>
              <w:t>12 of 2015 Series</w:t>
            </w:r>
          </w:p>
        </w:tc>
        <w:tc>
          <w:tcPr>
            <w:tcW w:w="6228" w:type="dxa"/>
            <w:tcBorders>
              <w:top w:val="none" w:sz="0" w:space="0" w:color="auto"/>
              <w:left w:val="none" w:sz="0" w:space="0" w:color="auto"/>
              <w:bottom w:val="none" w:sz="0" w:space="0" w:color="auto"/>
              <w:right w:val="none" w:sz="0" w:space="0" w:color="auto"/>
            </w:tcBorders>
          </w:tcPr>
          <w:p w:rsidR="00326AE1" w:rsidRPr="00164081" w:rsidRDefault="00326AE1" w:rsidP="00326AE1">
            <w:pPr>
              <w:spacing w:line="276" w:lineRule="auto"/>
              <w:cnfStyle w:val="000000010000"/>
              <w:rPr>
                <w:rFonts w:ascii="Sylfaen" w:hAnsi="Sylfaen"/>
              </w:rPr>
            </w:pPr>
            <w:r w:rsidRPr="00164081">
              <w:rPr>
                <w:rFonts w:ascii="Sylfaen" w:hAnsi="Sylfaen" w:cs="Arial"/>
                <w:sz w:val="24"/>
                <w:szCs w:val="24"/>
              </w:rPr>
              <w:t>Review of FDI Policy on Various Sectors</w:t>
            </w:r>
          </w:p>
        </w:tc>
      </w:tr>
      <w:tr w:rsidR="00326AE1" w:rsidRPr="00164081" w:rsidTr="00326AE1">
        <w:trPr>
          <w:cnfStyle w:val="000000100000"/>
        </w:trPr>
        <w:tc>
          <w:tcPr>
            <w:cnfStyle w:val="001000000000"/>
            <w:tcW w:w="1098" w:type="dxa"/>
            <w:tcBorders>
              <w:top w:val="none" w:sz="0" w:space="0" w:color="auto"/>
              <w:left w:val="none" w:sz="0" w:space="0" w:color="auto"/>
              <w:bottom w:val="none" w:sz="0" w:space="0" w:color="auto"/>
              <w:right w:val="none" w:sz="0" w:space="0" w:color="auto"/>
            </w:tcBorders>
          </w:tcPr>
          <w:p w:rsidR="00326AE1" w:rsidRPr="00164081" w:rsidRDefault="00326AE1" w:rsidP="00326AE1">
            <w:pPr>
              <w:pStyle w:val="Default"/>
              <w:numPr>
                <w:ilvl w:val="0"/>
                <w:numId w:val="20"/>
              </w:numPr>
              <w:spacing w:line="276" w:lineRule="auto"/>
              <w:jc w:val="both"/>
              <w:rPr>
                <w:rFonts w:ascii="Sylfaen" w:hAnsi="Sylfaen"/>
                <w:bCs w:val="0"/>
              </w:rPr>
            </w:pPr>
          </w:p>
        </w:tc>
        <w:tc>
          <w:tcPr>
            <w:tcW w:w="2250" w:type="dxa"/>
            <w:tcBorders>
              <w:top w:val="none" w:sz="0" w:space="0" w:color="auto"/>
              <w:left w:val="none" w:sz="0" w:space="0" w:color="auto"/>
              <w:bottom w:val="none" w:sz="0" w:space="0" w:color="auto"/>
              <w:right w:val="none" w:sz="0" w:space="0" w:color="auto"/>
            </w:tcBorders>
          </w:tcPr>
          <w:p w:rsidR="00326AE1" w:rsidRPr="00164081" w:rsidRDefault="00326AE1" w:rsidP="00326AE1">
            <w:pPr>
              <w:spacing w:line="276" w:lineRule="auto"/>
              <w:cnfStyle w:val="000000100000"/>
              <w:rPr>
                <w:rFonts w:ascii="Sylfaen" w:hAnsi="Sylfaen"/>
              </w:rPr>
            </w:pPr>
            <w:r w:rsidRPr="00164081">
              <w:rPr>
                <w:rFonts w:ascii="Sylfaen" w:hAnsi="Sylfaen" w:cs="Arial"/>
                <w:sz w:val="24"/>
                <w:szCs w:val="24"/>
              </w:rPr>
              <w:t>1 of 2015 Series</w:t>
            </w:r>
          </w:p>
        </w:tc>
        <w:tc>
          <w:tcPr>
            <w:tcW w:w="6228" w:type="dxa"/>
            <w:tcBorders>
              <w:top w:val="none" w:sz="0" w:space="0" w:color="auto"/>
              <w:left w:val="none" w:sz="0" w:space="0" w:color="auto"/>
              <w:bottom w:val="none" w:sz="0" w:space="0" w:color="auto"/>
              <w:right w:val="none" w:sz="0" w:space="0" w:color="auto"/>
            </w:tcBorders>
          </w:tcPr>
          <w:p w:rsidR="00326AE1" w:rsidRPr="00164081" w:rsidRDefault="00326AE1" w:rsidP="00326AE1">
            <w:pPr>
              <w:spacing w:line="276" w:lineRule="auto"/>
              <w:cnfStyle w:val="000000100000"/>
              <w:rPr>
                <w:rFonts w:ascii="Sylfaen" w:hAnsi="Sylfaen"/>
              </w:rPr>
            </w:pPr>
            <w:r w:rsidRPr="00164081">
              <w:rPr>
                <w:rFonts w:ascii="Sylfaen" w:hAnsi="Sylfaen" w:cs="Arial"/>
                <w:sz w:val="24"/>
                <w:szCs w:val="24"/>
              </w:rPr>
              <w:t>Review of FDI Policy on Insurance Sector</w:t>
            </w:r>
          </w:p>
        </w:tc>
      </w:tr>
      <w:tr w:rsidR="00326AE1" w:rsidRPr="00164081" w:rsidTr="00326AE1">
        <w:trPr>
          <w:cnfStyle w:val="000000010000"/>
        </w:trPr>
        <w:tc>
          <w:tcPr>
            <w:cnfStyle w:val="001000000000"/>
            <w:tcW w:w="1098" w:type="dxa"/>
            <w:tcBorders>
              <w:top w:val="none" w:sz="0" w:space="0" w:color="auto"/>
              <w:left w:val="none" w:sz="0" w:space="0" w:color="auto"/>
              <w:bottom w:val="none" w:sz="0" w:space="0" w:color="auto"/>
              <w:right w:val="none" w:sz="0" w:space="0" w:color="auto"/>
            </w:tcBorders>
          </w:tcPr>
          <w:p w:rsidR="00326AE1" w:rsidRPr="00164081" w:rsidRDefault="00326AE1" w:rsidP="00326AE1">
            <w:pPr>
              <w:pStyle w:val="Default"/>
              <w:numPr>
                <w:ilvl w:val="0"/>
                <w:numId w:val="20"/>
              </w:numPr>
              <w:spacing w:line="276" w:lineRule="auto"/>
              <w:jc w:val="both"/>
              <w:rPr>
                <w:rFonts w:ascii="Sylfaen" w:hAnsi="Sylfaen"/>
                <w:bCs w:val="0"/>
              </w:rPr>
            </w:pPr>
          </w:p>
        </w:tc>
        <w:tc>
          <w:tcPr>
            <w:tcW w:w="2250" w:type="dxa"/>
            <w:tcBorders>
              <w:top w:val="none" w:sz="0" w:space="0" w:color="auto"/>
              <w:left w:val="none" w:sz="0" w:space="0" w:color="auto"/>
              <w:bottom w:val="none" w:sz="0" w:space="0" w:color="auto"/>
              <w:right w:val="none" w:sz="0" w:space="0" w:color="auto"/>
            </w:tcBorders>
          </w:tcPr>
          <w:p w:rsidR="00326AE1" w:rsidRPr="00164081" w:rsidRDefault="00326AE1" w:rsidP="00326AE1">
            <w:pPr>
              <w:spacing w:line="276" w:lineRule="auto"/>
              <w:cnfStyle w:val="000000010000"/>
              <w:rPr>
                <w:rFonts w:ascii="Sylfaen" w:hAnsi="Sylfaen"/>
              </w:rPr>
            </w:pPr>
            <w:r w:rsidRPr="00164081">
              <w:rPr>
                <w:rFonts w:ascii="Sylfaen" w:hAnsi="Sylfaen" w:cs="Arial"/>
                <w:sz w:val="24"/>
                <w:szCs w:val="24"/>
              </w:rPr>
              <w:t>2 of 2015 Series</w:t>
            </w:r>
          </w:p>
        </w:tc>
        <w:tc>
          <w:tcPr>
            <w:tcW w:w="6228" w:type="dxa"/>
            <w:tcBorders>
              <w:top w:val="none" w:sz="0" w:space="0" w:color="auto"/>
              <w:left w:val="none" w:sz="0" w:space="0" w:color="auto"/>
              <w:bottom w:val="none" w:sz="0" w:space="0" w:color="auto"/>
              <w:right w:val="none" w:sz="0" w:space="0" w:color="auto"/>
            </w:tcBorders>
          </w:tcPr>
          <w:p w:rsidR="00326AE1" w:rsidRPr="00164081" w:rsidRDefault="00326AE1" w:rsidP="00326AE1">
            <w:pPr>
              <w:spacing w:line="276" w:lineRule="auto"/>
              <w:cnfStyle w:val="000000010000"/>
              <w:rPr>
                <w:rFonts w:ascii="Sylfaen" w:hAnsi="Sylfaen"/>
              </w:rPr>
            </w:pPr>
            <w:r w:rsidRPr="00164081">
              <w:rPr>
                <w:rFonts w:ascii="Sylfaen" w:hAnsi="Sylfaen" w:cs="Arial"/>
                <w:sz w:val="24"/>
                <w:szCs w:val="24"/>
              </w:rPr>
              <w:t>Review of FDI Policy on Pension Sector</w:t>
            </w:r>
          </w:p>
        </w:tc>
      </w:tr>
      <w:tr w:rsidR="00326AE1" w:rsidRPr="00164081" w:rsidTr="00326AE1">
        <w:trPr>
          <w:cnfStyle w:val="000000100000"/>
        </w:trPr>
        <w:tc>
          <w:tcPr>
            <w:cnfStyle w:val="001000000000"/>
            <w:tcW w:w="1098" w:type="dxa"/>
            <w:tcBorders>
              <w:top w:val="none" w:sz="0" w:space="0" w:color="auto"/>
              <w:left w:val="none" w:sz="0" w:space="0" w:color="auto"/>
              <w:bottom w:val="none" w:sz="0" w:space="0" w:color="auto"/>
              <w:right w:val="none" w:sz="0" w:space="0" w:color="auto"/>
            </w:tcBorders>
          </w:tcPr>
          <w:p w:rsidR="00326AE1" w:rsidRPr="00164081" w:rsidRDefault="00326AE1" w:rsidP="00326AE1">
            <w:pPr>
              <w:pStyle w:val="Default"/>
              <w:numPr>
                <w:ilvl w:val="0"/>
                <w:numId w:val="20"/>
              </w:numPr>
              <w:spacing w:line="276" w:lineRule="auto"/>
              <w:jc w:val="both"/>
              <w:rPr>
                <w:rFonts w:ascii="Sylfaen" w:hAnsi="Sylfaen"/>
                <w:bCs w:val="0"/>
              </w:rPr>
            </w:pPr>
          </w:p>
        </w:tc>
        <w:tc>
          <w:tcPr>
            <w:tcW w:w="2250" w:type="dxa"/>
            <w:tcBorders>
              <w:top w:val="none" w:sz="0" w:space="0" w:color="auto"/>
              <w:left w:val="none" w:sz="0" w:space="0" w:color="auto"/>
              <w:bottom w:val="none" w:sz="0" w:space="0" w:color="auto"/>
              <w:right w:val="none" w:sz="0" w:space="0" w:color="auto"/>
            </w:tcBorders>
          </w:tcPr>
          <w:p w:rsidR="00326AE1" w:rsidRPr="00164081" w:rsidRDefault="00326AE1" w:rsidP="00326AE1">
            <w:pPr>
              <w:spacing w:line="276" w:lineRule="auto"/>
              <w:cnfStyle w:val="000000100000"/>
              <w:rPr>
                <w:rFonts w:ascii="Sylfaen" w:hAnsi="Sylfaen"/>
              </w:rPr>
            </w:pPr>
            <w:r w:rsidRPr="00164081">
              <w:rPr>
                <w:rFonts w:ascii="Sylfaen" w:hAnsi="Sylfaen" w:cs="Arial"/>
                <w:sz w:val="24"/>
                <w:szCs w:val="24"/>
              </w:rPr>
              <w:t>3 of 2015 Series</w:t>
            </w:r>
          </w:p>
        </w:tc>
        <w:tc>
          <w:tcPr>
            <w:tcW w:w="6228" w:type="dxa"/>
            <w:tcBorders>
              <w:top w:val="none" w:sz="0" w:space="0" w:color="auto"/>
              <w:left w:val="none" w:sz="0" w:space="0" w:color="auto"/>
              <w:bottom w:val="none" w:sz="0" w:space="0" w:color="auto"/>
              <w:right w:val="none" w:sz="0" w:space="0" w:color="auto"/>
            </w:tcBorders>
          </w:tcPr>
          <w:p w:rsidR="00326AE1" w:rsidRPr="00164081" w:rsidRDefault="00326AE1" w:rsidP="00326AE1">
            <w:pPr>
              <w:spacing w:line="276" w:lineRule="auto"/>
              <w:cnfStyle w:val="000000100000"/>
              <w:rPr>
                <w:rFonts w:ascii="Sylfaen" w:hAnsi="Sylfaen"/>
              </w:rPr>
            </w:pPr>
            <w:r w:rsidRPr="00164081">
              <w:rPr>
                <w:rFonts w:ascii="Sylfaen" w:hAnsi="Sylfaen" w:cs="Arial"/>
                <w:sz w:val="24"/>
                <w:szCs w:val="24"/>
              </w:rPr>
              <w:t>Guidelines for Foreign Direct Investment (FDI) on E-commerce</w:t>
            </w:r>
          </w:p>
        </w:tc>
      </w:tr>
      <w:tr w:rsidR="00326AE1" w:rsidRPr="00164081" w:rsidTr="00326AE1">
        <w:trPr>
          <w:cnfStyle w:val="000000010000"/>
        </w:trPr>
        <w:tc>
          <w:tcPr>
            <w:cnfStyle w:val="001000000000"/>
            <w:tcW w:w="1098" w:type="dxa"/>
            <w:tcBorders>
              <w:top w:val="none" w:sz="0" w:space="0" w:color="auto"/>
              <w:left w:val="none" w:sz="0" w:space="0" w:color="auto"/>
              <w:bottom w:val="none" w:sz="0" w:space="0" w:color="auto"/>
              <w:right w:val="none" w:sz="0" w:space="0" w:color="auto"/>
            </w:tcBorders>
          </w:tcPr>
          <w:p w:rsidR="00326AE1" w:rsidRPr="00164081" w:rsidRDefault="00326AE1" w:rsidP="00326AE1">
            <w:pPr>
              <w:pStyle w:val="Default"/>
              <w:numPr>
                <w:ilvl w:val="0"/>
                <w:numId w:val="20"/>
              </w:numPr>
              <w:spacing w:line="276" w:lineRule="auto"/>
              <w:jc w:val="both"/>
              <w:rPr>
                <w:rFonts w:ascii="Sylfaen" w:hAnsi="Sylfaen"/>
                <w:bCs w:val="0"/>
              </w:rPr>
            </w:pPr>
          </w:p>
        </w:tc>
        <w:tc>
          <w:tcPr>
            <w:tcW w:w="2250" w:type="dxa"/>
            <w:tcBorders>
              <w:top w:val="none" w:sz="0" w:space="0" w:color="auto"/>
              <w:left w:val="none" w:sz="0" w:space="0" w:color="auto"/>
              <w:bottom w:val="none" w:sz="0" w:space="0" w:color="auto"/>
              <w:right w:val="none" w:sz="0" w:space="0" w:color="auto"/>
            </w:tcBorders>
          </w:tcPr>
          <w:p w:rsidR="00326AE1" w:rsidRPr="00164081" w:rsidRDefault="00326AE1" w:rsidP="00326AE1">
            <w:pPr>
              <w:spacing w:line="276" w:lineRule="auto"/>
              <w:cnfStyle w:val="000000010000"/>
              <w:rPr>
                <w:rFonts w:ascii="Sylfaen" w:hAnsi="Sylfaen"/>
              </w:rPr>
            </w:pPr>
            <w:r w:rsidRPr="00164081">
              <w:rPr>
                <w:rFonts w:ascii="Sylfaen" w:hAnsi="Sylfaen" w:cs="Arial"/>
                <w:sz w:val="24"/>
                <w:szCs w:val="24"/>
              </w:rPr>
              <w:t>4 of 2015 Series</w:t>
            </w:r>
          </w:p>
        </w:tc>
        <w:tc>
          <w:tcPr>
            <w:tcW w:w="6228" w:type="dxa"/>
            <w:tcBorders>
              <w:top w:val="none" w:sz="0" w:space="0" w:color="auto"/>
              <w:left w:val="none" w:sz="0" w:space="0" w:color="auto"/>
              <w:bottom w:val="none" w:sz="0" w:space="0" w:color="auto"/>
              <w:right w:val="none" w:sz="0" w:space="0" w:color="auto"/>
            </w:tcBorders>
          </w:tcPr>
          <w:p w:rsidR="00326AE1" w:rsidRPr="00164081" w:rsidRDefault="00326AE1" w:rsidP="00326AE1">
            <w:pPr>
              <w:spacing w:line="276" w:lineRule="auto"/>
              <w:cnfStyle w:val="000000010000"/>
              <w:rPr>
                <w:rFonts w:ascii="Sylfaen" w:hAnsi="Sylfaen"/>
              </w:rPr>
            </w:pPr>
            <w:r w:rsidRPr="00164081">
              <w:rPr>
                <w:rFonts w:ascii="Sylfaen" w:hAnsi="Sylfaen" w:cs="Arial"/>
                <w:sz w:val="24"/>
                <w:szCs w:val="24"/>
              </w:rPr>
              <w:t>Review of FDI Policy on Asset Reconstruction Companies</w:t>
            </w:r>
          </w:p>
        </w:tc>
      </w:tr>
    </w:tbl>
    <w:p w:rsidR="00326AE1" w:rsidRPr="00164081" w:rsidRDefault="00326AE1" w:rsidP="00326AE1">
      <w:pPr>
        <w:pStyle w:val="Default"/>
        <w:ind w:left="-270"/>
        <w:jc w:val="both"/>
        <w:rPr>
          <w:rFonts w:ascii="Sylfaen" w:hAnsi="Sylfaen"/>
          <w:bCs/>
        </w:rPr>
      </w:pPr>
    </w:p>
    <w:p w:rsidR="00326AE1" w:rsidRPr="00164081" w:rsidRDefault="00326AE1" w:rsidP="00326AE1">
      <w:pPr>
        <w:pStyle w:val="Default"/>
        <w:ind w:left="-270"/>
        <w:jc w:val="both"/>
        <w:rPr>
          <w:rFonts w:ascii="Sylfaen" w:hAnsi="Sylfaen"/>
          <w:bCs/>
        </w:rPr>
      </w:pPr>
    </w:p>
    <w:p w:rsidR="008D7503" w:rsidRPr="00164081" w:rsidRDefault="008D7503" w:rsidP="00052FA3">
      <w:pPr>
        <w:pStyle w:val="Default"/>
        <w:ind w:left="-270"/>
        <w:jc w:val="both"/>
        <w:rPr>
          <w:rFonts w:asciiTheme="majorHAnsi" w:hAnsiTheme="majorHAnsi"/>
          <w:b/>
          <w:u w:val="single"/>
        </w:rPr>
      </w:pPr>
      <w:r w:rsidRPr="00164081">
        <w:rPr>
          <w:rFonts w:ascii="Copperplate Gothic Bold" w:hAnsi="Copperplate Gothic Bold"/>
          <w:b/>
          <w:color w:val="244061" w:themeColor="accent1" w:themeShade="80"/>
          <w:u w:val="single"/>
        </w:rPr>
        <w:t>Type of Securities Issued under FDI Policy</w:t>
      </w:r>
      <w:r w:rsidRPr="00164081">
        <w:rPr>
          <w:rFonts w:asciiTheme="majorHAnsi" w:hAnsiTheme="majorHAnsi"/>
          <w:b/>
          <w:u w:val="single"/>
        </w:rPr>
        <w:t>:</w:t>
      </w:r>
    </w:p>
    <w:p w:rsidR="008D7503" w:rsidRPr="00164081" w:rsidRDefault="008D7503" w:rsidP="00052FA3">
      <w:pPr>
        <w:pStyle w:val="Default"/>
        <w:ind w:left="-270"/>
        <w:jc w:val="both"/>
        <w:rPr>
          <w:rFonts w:asciiTheme="majorHAnsi" w:hAnsiTheme="majorHAnsi"/>
          <w:b/>
          <w:u w:val="single"/>
        </w:rPr>
      </w:pPr>
    </w:p>
    <w:p w:rsidR="008D7503" w:rsidRPr="00164081" w:rsidRDefault="008D7503" w:rsidP="00052FA3">
      <w:pPr>
        <w:pStyle w:val="Default"/>
        <w:numPr>
          <w:ilvl w:val="0"/>
          <w:numId w:val="1"/>
        </w:numPr>
        <w:ind w:left="-270" w:hanging="180"/>
        <w:jc w:val="both"/>
        <w:rPr>
          <w:rFonts w:ascii="Sylfaen" w:hAnsi="Sylfaen"/>
          <w:bCs/>
        </w:rPr>
      </w:pPr>
      <w:r w:rsidRPr="00164081">
        <w:rPr>
          <w:rFonts w:asciiTheme="majorHAnsi" w:hAnsiTheme="majorHAnsi"/>
          <w:b/>
          <w:u w:val="single"/>
        </w:rPr>
        <w:t xml:space="preserve">Equity Shares: </w:t>
      </w:r>
      <w:r w:rsidRPr="00164081">
        <w:rPr>
          <w:rFonts w:ascii="Sylfaen" w:hAnsi="Sylfaen"/>
          <w:bCs/>
        </w:rPr>
        <w:t xml:space="preserve">The equity shares issued in accordance with the provisions of the Companies Act, as applicable, shall include equity shares that have been partly paid </w:t>
      </w:r>
    </w:p>
    <w:p w:rsidR="007271B4" w:rsidRPr="00164081" w:rsidRDefault="007271B4" w:rsidP="00052FA3">
      <w:pPr>
        <w:pStyle w:val="Default"/>
        <w:ind w:left="-270"/>
        <w:jc w:val="both"/>
        <w:rPr>
          <w:rFonts w:asciiTheme="majorHAnsi" w:hAnsiTheme="majorHAnsi"/>
          <w:bCs/>
        </w:rPr>
      </w:pPr>
    </w:p>
    <w:p w:rsidR="007271B4" w:rsidRPr="00164081" w:rsidRDefault="007271B4" w:rsidP="00052FA3">
      <w:pPr>
        <w:pStyle w:val="Default"/>
        <w:numPr>
          <w:ilvl w:val="0"/>
          <w:numId w:val="1"/>
        </w:numPr>
        <w:ind w:left="-270" w:hanging="180"/>
        <w:jc w:val="both"/>
        <w:rPr>
          <w:rFonts w:ascii="Sylfaen" w:hAnsi="Sylfaen"/>
          <w:bCs/>
        </w:rPr>
      </w:pPr>
      <w:r w:rsidRPr="00164081">
        <w:rPr>
          <w:rFonts w:asciiTheme="majorHAnsi" w:hAnsiTheme="majorHAnsi"/>
          <w:b/>
          <w:u w:val="single"/>
        </w:rPr>
        <w:t>Preference Shares:</w:t>
      </w:r>
      <w:r w:rsidRPr="00164081">
        <w:rPr>
          <w:sz w:val="22"/>
          <w:szCs w:val="22"/>
        </w:rPr>
        <w:t xml:space="preserve"> </w:t>
      </w:r>
      <w:r w:rsidRPr="00164081">
        <w:rPr>
          <w:rFonts w:ascii="Sylfaen" w:hAnsi="Sylfaen"/>
          <w:bCs/>
        </w:rPr>
        <w:t xml:space="preserve">Fully, compulsorily &amp; mandatorily convertible preference shares Preference shares shall be required to be fully paid, and should be mandatorily and fully convertible. </w:t>
      </w:r>
    </w:p>
    <w:p w:rsidR="00CC74EB" w:rsidRPr="00164081" w:rsidRDefault="00CC74EB" w:rsidP="00CC74EB">
      <w:pPr>
        <w:pStyle w:val="ListParagraph"/>
        <w:spacing w:after="0"/>
        <w:rPr>
          <w:rFonts w:ascii="Sylfaen" w:hAnsi="Sylfaen"/>
          <w:bCs/>
        </w:rPr>
      </w:pPr>
    </w:p>
    <w:p w:rsidR="00B42AA7" w:rsidRPr="00164081" w:rsidRDefault="00B42AA7" w:rsidP="00B42AA7">
      <w:pPr>
        <w:pStyle w:val="Default"/>
        <w:numPr>
          <w:ilvl w:val="0"/>
          <w:numId w:val="1"/>
        </w:numPr>
        <w:ind w:left="180" w:hanging="180"/>
        <w:jc w:val="both"/>
        <w:rPr>
          <w:rFonts w:ascii="Sylfaen" w:hAnsi="Sylfaen"/>
          <w:bCs/>
        </w:rPr>
      </w:pPr>
      <w:r w:rsidRPr="00164081">
        <w:rPr>
          <w:rFonts w:asciiTheme="majorHAnsi" w:hAnsiTheme="majorHAnsi"/>
          <w:b/>
          <w:u w:val="single"/>
        </w:rPr>
        <w:t xml:space="preserve">Debenture: </w:t>
      </w:r>
      <w:r w:rsidRPr="00164081">
        <w:rPr>
          <w:rFonts w:ascii="Sylfaen" w:hAnsi="Sylfaen"/>
          <w:bCs/>
        </w:rPr>
        <w:t xml:space="preserve">Fully, compulsorily &amp; mandatorily convertible Debentures. </w:t>
      </w:r>
    </w:p>
    <w:p w:rsidR="00CC74EB" w:rsidRPr="00164081" w:rsidRDefault="00B42AA7" w:rsidP="00B42AA7">
      <w:pPr>
        <w:pStyle w:val="Default"/>
        <w:ind w:left="180"/>
        <w:jc w:val="both"/>
        <w:rPr>
          <w:rFonts w:ascii="Sylfaen" w:hAnsi="Sylfaen"/>
          <w:bCs/>
        </w:rPr>
      </w:pPr>
      <w:r w:rsidRPr="00164081">
        <w:rPr>
          <w:rFonts w:ascii="Sylfaen" w:hAnsi="Sylfaen"/>
          <w:bCs/>
        </w:rPr>
        <w:t>Debentures shall be required to be fully paid, and should be mandatorily and fully convertible.</w:t>
      </w:r>
    </w:p>
    <w:p w:rsidR="00B42AA7" w:rsidRPr="00164081" w:rsidRDefault="00B42AA7" w:rsidP="00B42AA7">
      <w:pPr>
        <w:pStyle w:val="Default"/>
        <w:ind w:left="180"/>
        <w:jc w:val="both"/>
        <w:rPr>
          <w:rFonts w:ascii="Sylfaen" w:hAnsi="Sylfaen"/>
          <w:bCs/>
        </w:rPr>
      </w:pPr>
      <w:r w:rsidRPr="00164081">
        <w:rPr>
          <w:rFonts w:ascii="Sylfaen" w:hAnsi="Sylfaen"/>
          <w:bCs/>
        </w:rPr>
        <w:t xml:space="preserve"> </w:t>
      </w:r>
    </w:p>
    <w:p w:rsidR="008D7503" w:rsidRPr="00164081" w:rsidRDefault="005C72DF" w:rsidP="00CC74EB">
      <w:pPr>
        <w:pStyle w:val="Default"/>
        <w:numPr>
          <w:ilvl w:val="0"/>
          <w:numId w:val="1"/>
        </w:numPr>
        <w:ind w:left="180" w:hanging="180"/>
        <w:jc w:val="both"/>
        <w:rPr>
          <w:rFonts w:ascii="Sylfaen" w:hAnsi="Sylfaen"/>
          <w:bCs/>
        </w:rPr>
      </w:pPr>
      <w:r w:rsidRPr="00164081">
        <w:rPr>
          <w:rFonts w:asciiTheme="majorHAnsi" w:hAnsiTheme="majorHAnsi"/>
          <w:b/>
          <w:u w:val="single"/>
        </w:rPr>
        <w:t>Warrant</w:t>
      </w:r>
      <w:r w:rsidR="00CC74EB" w:rsidRPr="00164081">
        <w:rPr>
          <w:rFonts w:asciiTheme="majorHAnsi" w:hAnsiTheme="majorHAnsi"/>
          <w:b/>
          <w:u w:val="single"/>
        </w:rPr>
        <w:t>:</w:t>
      </w:r>
      <w:r w:rsidRPr="00164081">
        <w:rPr>
          <w:rFonts w:ascii="Sylfaen" w:hAnsi="Sylfaen"/>
          <w:bCs/>
        </w:rPr>
        <w:t xml:space="preserve"> Fully, compulsorily &amp; mandatorily convertible Warrant.</w:t>
      </w:r>
    </w:p>
    <w:p w:rsidR="005C72DF" w:rsidRPr="00164081" w:rsidRDefault="005C72DF" w:rsidP="005C72DF">
      <w:pPr>
        <w:pStyle w:val="Default"/>
        <w:ind w:left="180"/>
        <w:jc w:val="both"/>
        <w:rPr>
          <w:rFonts w:ascii="Sylfaen" w:hAnsi="Sylfaen"/>
          <w:bCs/>
        </w:rPr>
      </w:pPr>
      <w:r w:rsidRPr="00164081">
        <w:rPr>
          <w:rFonts w:ascii="Sylfaen" w:hAnsi="Sylfaen"/>
          <w:bCs/>
        </w:rPr>
        <w:t xml:space="preserve">Further, ‘warrant’ includes Share Warrant issued by an Indian Company in accordance to provisions of the Companies Act, as applicable </w:t>
      </w:r>
    </w:p>
    <w:p w:rsidR="005C72DF" w:rsidRPr="00164081" w:rsidRDefault="005C72DF" w:rsidP="005C72DF">
      <w:pPr>
        <w:pStyle w:val="Default"/>
        <w:ind w:left="180"/>
        <w:jc w:val="both"/>
        <w:rPr>
          <w:rFonts w:ascii="Sylfaen" w:hAnsi="Sylfaen"/>
          <w:bCs/>
        </w:rPr>
      </w:pPr>
    </w:p>
    <w:p w:rsidR="00326AE1" w:rsidRPr="00164081" w:rsidRDefault="00326AE1" w:rsidP="005C72DF">
      <w:pPr>
        <w:pStyle w:val="Default"/>
        <w:ind w:left="180"/>
        <w:jc w:val="both"/>
        <w:rPr>
          <w:rFonts w:ascii="Sylfaen" w:hAnsi="Sylfaen"/>
          <w:bCs/>
        </w:rPr>
      </w:pPr>
    </w:p>
    <w:p w:rsidR="005C72DF" w:rsidRPr="00164081" w:rsidRDefault="002A76C1" w:rsidP="00EC3F06">
      <w:pPr>
        <w:pStyle w:val="Default"/>
        <w:numPr>
          <w:ilvl w:val="0"/>
          <w:numId w:val="18"/>
        </w:numPr>
        <w:ind w:left="180"/>
        <w:jc w:val="both"/>
        <w:rPr>
          <w:rFonts w:ascii="Sylfaen" w:hAnsi="Sylfaen"/>
          <w:bCs/>
          <w:color w:val="215868" w:themeColor="accent5" w:themeShade="80"/>
        </w:rPr>
      </w:pPr>
      <w:r w:rsidRPr="00164081">
        <w:rPr>
          <w:rFonts w:ascii="Sylfaen" w:hAnsi="Sylfaen"/>
          <w:bCs/>
          <w:color w:val="215868" w:themeColor="accent5" w:themeShade="80"/>
        </w:rPr>
        <w:lastRenderedPageBreak/>
        <w:t>Whether Company can issue Non-Convertible Preference Share or debenture to Foreign National.</w:t>
      </w:r>
    </w:p>
    <w:p w:rsidR="002A76C1" w:rsidRPr="00164081" w:rsidRDefault="002A76C1" w:rsidP="005C72DF">
      <w:pPr>
        <w:pStyle w:val="Default"/>
        <w:ind w:left="180"/>
        <w:jc w:val="both"/>
        <w:rPr>
          <w:rFonts w:ascii="Sylfaen" w:hAnsi="Sylfaen"/>
          <w:bCs/>
        </w:rPr>
      </w:pPr>
      <w:r w:rsidRPr="00164081">
        <w:rPr>
          <w:rFonts w:ascii="Sylfaen" w:hAnsi="Sylfaen"/>
          <w:bCs/>
        </w:rPr>
        <w:t xml:space="preserve">No as per FDI Policy, Company can issue only </w:t>
      </w:r>
      <w:proofErr w:type="gramStart"/>
      <w:r w:rsidRPr="00164081">
        <w:rPr>
          <w:rFonts w:ascii="Sylfaen" w:hAnsi="Sylfaen"/>
          <w:bCs/>
        </w:rPr>
        <w:t>Fully</w:t>
      </w:r>
      <w:proofErr w:type="gramEnd"/>
      <w:r w:rsidRPr="00164081">
        <w:rPr>
          <w:rFonts w:ascii="Sylfaen" w:hAnsi="Sylfaen"/>
          <w:bCs/>
        </w:rPr>
        <w:t>, compulsorily &amp; mandatorily convertible Preference Share or Debenture.</w:t>
      </w:r>
      <w:r w:rsidR="008D7A5C" w:rsidRPr="00164081">
        <w:rPr>
          <w:rFonts w:ascii="Sylfaen" w:hAnsi="Sylfaen"/>
          <w:bCs/>
        </w:rPr>
        <w:t xml:space="preserve"> I Company issue non-convertible preference shares then it will be consider as Debt.</w:t>
      </w:r>
    </w:p>
    <w:p w:rsidR="002A76C1" w:rsidRPr="00164081" w:rsidRDefault="002A76C1" w:rsidP="005C72DF">
      <w:pPr>
        <w:pStyle w:val="Default"/>
        <w:ind w:left="180"/>
        <w:jc w:val="both"/>
        <w:rPr>
          <w:rFonts w:ascii="Sylfaen" w:hAnsi="Sylfaen"/>
          <w:bCs/>
        </w:rPr>
      </w:pPr>
    </w:p>
    <w:p w:rsidR="002A76C1" w:rsidRPr="00164081" w:rsidRDefault="002A76C1" w:rsidP="005C72DF">
      <w:pPr>
        <w:pStyle w:val="Default"/>
        <w:ind w:left="180"/>
        <w:jc w:val="both"/>
        <w:rPr>
          <w:rFonts w:ascii="Sylfaen" w:hAnsi="Sylfaen"/>
          <w:bCs/>
        </w:rPr>
      </w:pPr>
      <w:r w:rsidRPr="00164081">
        <w:rPr>
          <w:rFonts w:ascii="Sylfaen" w:hAnsi="Sylfaen"/>
          <w:bCs/>
        </w:rPr>
        <w:t xml:space="preserve"> </w:t>
      </w:r>
    </w:p>
    <w:p w:rsidR="005C72DF" w:rsidRPr="00164081" w:rsidRDefault="00913563" w:rsidP="00913563">
      <w:pPr>
        <w:pStyle w:val="Title"/>
      </w:pPr>
      <w:r w:rsidRPr="00164081">
        <w:t>General Condition on FDI:</w:t>
      </w:r>
    </w:p>
    <w:p w:rsidR="00820B03" w:rsidRPr="00164081" w:rsidRDefault="00820B03" w:rsidP="00820B03">
      <w:pPr>
        <w:pStyle w:val="Default"/>
        <w:jc w:val="both"/>
        <w:rPr>
          <w:rFonts w:ascii="Hobo std" w:hAnsi="Hobo std"/>
          <w:b/>
          <w:color w:val="244061" w:themeColor="accent1" w:themeShade="80"/>
          <w:u w:val="single"/>
        </w:rPr>
      </w:pPr>
      <w:r w:rsidRPr="00164081">
        <w:rPr>
          <w:rFonts w:ascii="Comic Sans MS" w:hAnsi="Comic Sans MS"/>
          <w:color w:val="244061" w:themeColor="accent1" w:themeShade="80"/>
          <w:sz w:val="26"/>
          <w:szCs w:val="26"/>
          <w:u w:val="single"/>
        </w:rPr>
        <w:t>Eligible Investors</w:t>
      </w:r>
      <w:r w:rsidRPr="00164081">
        <w:rPr>
          <w:rFonts w:ascii="Hobo std" w:hAnsi="Hobo std"/>
          <w:b/>
          <w:color w:val="244061" w:themeColor="accent1" w:themeShade="80"/>
          <w:u w:val="single"/>
        </w:rPr>
        <w:t>:</w:t>
      </w:r>
    </w:p>
    <w:p w:rsidR="00820B03" w:rsidRPr="00164081" w:rsidRDefault="00820B03" w:rsidP="00FA5713">
      <w:pPr>
        <w:pStyle w:val="Default"/>
        <w:spacing w:line="276" w:lineRule="auto"/>
        <w:jc w:val="both"/>
        <w:rPr>
          <w:rFonts w:ascii="Hobo std" w:hAnsi="Hobo std"/>
          <w:b/>
          <w:color w:val="244061" w:themeColor="accent1" w:themeShade="80"/>
          <w:u w:val="single"/>
        </w:rPr>
      </w:pPr>
    </w:p>
    <w:p w:rsidR="00E17E5A" w:rsidRPr="00164081" w:rsidRDefault="00E17E5A" w:rsidP="00FA5713">
      <w:pPr>
        <w:pStyle w:val="Default"/>
        <w:spacing w:line="276" w:lineRule="auto"/>
        <w:jc w:val="both"/>
        <w:rPr>
          <w:rFonts w:ascii="Hobo std" w:hAnsi="Hobo std"/>
          <w:b/>
          <w:color w:val="244061" w:themeColor="accent1" w:themeShade="80"/>
          <w:u w:val="single"/>
        </w:rPr>
      </w:pPr>
      <w:r w:rsidRPr="00164081">
        <w:rPr>
          <w:rFonts w:ascii="Hobo std" w:hAnsi="Hobo std"/>
          <w:b/>
          <w:noProof/>
          <w:color w:val="244061" w:themeColor="accent1" w:themeShade="80"/>
        </w:rPr>
        <w:drawing>
          <wp:inline distT="0" distB="0" distL="0" distR="0">
            <wp:extent cx="5943600" cy="3097495"/>
            <wp:effectExtent l="0" t="38100" r="0" b="45755"/>
            <wp:docPr id="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E17E5A" w:rsidRPr="00164081" w:rsidRDefault="00E17E5A" w:rsidP="00E17E5A">
      <w:pPr>
        <w:pStyle w:val="Default"/>
        <w:spacing w:line="276" w:lineRule="auto"/>
        <w:jc w:val="both"/>
        <w:rPr>
          <w:rFonts w:ascii="Sylfaen" w:hAnsi="Sylfaen"/>
          <w:bCs/>
        </w:rPr>
      </w:pPr>
    </w:p>
    <w:p w:rsidR="00B42AA7" w:rsidRPr="00164081" w:rsidRDefault="00820B03" w:rsidP="00FA5713">
      <w:pPr>
        <w:pStyle w:val="Default"/>
        <w:numPr>
          <w:ilvl w:val="0"/>
          <w:numId w:val="5"/>
        </w:numPr>
        <w:spacing w:line="276" w:lineRule="auto"/>
        <w:ind w:left="0" w:hanging="180"/>
        <w:jc w:val="both"/>
        <w:rPr>
          <w:rFonts w:ascii="Sylfaen" w:hAnsi="Sylfaen"/>
          <w:bCs/>
        </w:rPr>
      </w:pPr>
      <w:r w:rsidRPr="00164081">
        <w:rPr>
          <w:rFonts w:ascii="Sylfaen" w:hAnsi="Sylfaen"/>
          <w:bCs/>
          <w:u w:val="single"/>
        </w:rPr>
        <w:t xml:space="preserve">A </w:t>
      </w:r>
      <w:r w:rsidRPr="00164081">
        <w:rPr>
          <w:rStyle w:val="FootnoteReference"/>
          <w:rFonts w:ascii="Sylfaen" w:hAnsi="Sylfaen"/>
          <w:bCs/>
          <w:u w:val="single"/>
        </w:rPr>
        <w:footnoteReference w:id="2"/>
      </w:r>
      <w:r w:rsidRPr="00164081">
        <w:rPr>
          <w:rFonts w:ascii="Sylfaen" w:hAnsi="Sylfaen"/>
          <w:bCs/>
          <w:u w:val="single"/>
        </w:rPr>
        <w:t>non-resident entity</w:t>
      </w:r>
      <w:r w:rsidRPr="00164081">
        <w:rPr>
          <w:rFonts w:ascii="Sylfaen" w:hAnsi="Sylfaen"/>
          <w:bCs/>
        </w:rPr>
        <w:t xml:space="preserve"> can invest in India, subject to the FDI Policy except in those sectors/activities which are prohibited.</w:t>
      </w:r>
    </w:p>
    <w:p w:rsidR="00820B03" w:rsidRPr="00164081" w:rsidRDefault="00820B03" w:rsidP="00FA5713">
      <w:pPr>
        <w:pStyle w:val="Default"/>
        <w:spacing w:line="276" w:lineRule="auto"/>
        <w:ind w:left="180"/>
        <w:jc w:val="both"/>
        <w:rPr>
          <w:rFonts w:ascii="Sylfaen" w:hAnsi="Sylfaen"/>
          <w:bCs/>
        </w:rPr>
      </w:pPr>
    </w:p>
    <w:p w:rsidR="00820B03" w:rsidRPr="00164081" w:rsidRDefault="00820B03" w:rsidP="00FA5713">
      <w:pPr>
        <w:pStyle w:val="Default"/>
        <w:numPr>
          <w:ilvl w:val="0"/>
          <w:numId w:val="1"/>
        </w:numPr>
        <w:spacing w:line="276" w:lineRule="auto"/>
        <w:ind w:left="180" w:hanging="180"/>
        <w:jc w:val="both"/>
        <w:rPr>
          <w:rFonts w:asciiTheme="majorHAnsi" w:hAnsiTheme="majorHAnsi"/>
          <w:b/>
          <w:u w:val="single"/>
        </w:rPr>
      </w:pPr>
      <w:r w:rsidRPr="00164081">
        <w:rPr>
          <w:rFonts w:asciiTheme="majorHAnsi" w:hAnsiTheme="majorHAnsi"/>
          <w:b/>
          <w:u w:val="single"/>
        </w:rPr>
        <w:t xml:space="preserve">Citizen of Bangladesh: </w:t>
      </w:r>
    </w:p>
    <w:p w:rsidR="00820B03" w:rsidRPr="00164081" w:rsidRDefault="00820B03" w:rsidP="00FA5713">
      <w:pPr>
        <w:pStyle w:val="Default"/>
        <w:spacing w:line="276" w:lineRule="auto"/>
        <w:ind w:left="180"/>
        <w:jc w:val="both"/>
        <w:rPr>
          <w:rFonts w:ascii="Sylfaen" w:hAnsi="Sylfaen"/>
          <w:bCs/>
        </w:rPr>
      </w:pPr>
      <w:r w:rsidRPr="00164081">
        <w:rPr>
          <w:rFonts w:ascii="Sylfaen" w:hAnsi="Sylfaen"/>
          <w:bCs/>
        </w:rPr>
        <w:t>A citizen of Bangladesh or an entity incorporated in Bangladesh can invest only under the Government route.</w:t>
      </w:r>
    </w:p>
    <w:p w:rsidR="00820B03" w:rsidRPr="00164081" w:rsidRDefault="00820B03" w:rsidP="00FA5713">
      <w:pPr>
        <w:pStyle w:val="Default"/>
        <w:spacing w:line="276" w:lineRule="auto"/>
        <w:ind w:left="180"/>
        <w:jc w:val="both"/>
        <w:rPr>
          <w:rFonts w:ascii="Sylfaen" w:hAnsi="Sylfaen"/>
          <w:bCs/>
        </w:rPr>
      </w:pPr>
    </w:p>
    <w:p w:rsidR="00820B03" w:rsidRPr="00164081" w:rsidRDefault="00820B03" w:rsidP="00FA5713">
      <w:pPr>
        <w:pStyle w:val="Default"/>
        <w:numPr>
          <w:ilvl w:val="0"/>
          <w:numId w:val="1"/>
        </w:numPr>
        <w:spacing w:line="276" w:lineRule="auto"/>
        <w:ind w:left="180" w:hanging="180"/>
        <w:jc w:val="both"/>
        <w:rPr>
          <w:rFonts w:asciiTheme="majorHAnsi" w:hAnsiTheme="majorHAnsi"/>
          <w:b/>
          <w:u w:val="single"/>
        </w:rPr>
      </w:pPr>
      <w:r w:rsidRPr="00164081">
        <w:rPr>
          <w:rFonts w:asciiTheme="majorHAnsi" w:hAnsiTheme="majorHAnsi"/>
          <w:b/>
          <w:u w:val="single"/>
        </w:rPr>
        <w:t xml:space="preserve">Citizen of Pakistan: </w:t>
      </w:r>
    </w:p>
    <w:p w:rsidR="00820B03" w:rsidRPr="00164081" w:rsidRDefault="00D63A0A" w:rsidP="00FA5713">
      <w:pPr>
        <w:pStyle w:val="Default"/>
        <w:numPr>
          <w:ilvl w:val="0"/>
          <w:numId w:val="4"/>
        </w:numPr>
        <w:spacing w:line="276" w:lineRule="auto"/>
        <w:ind w:left="360" w:hanging="180"/>
        <w:jc w:val="both"/>
        <w:rPr>
          <w:rFonts w:ascii="Sylfaen" w:hAnsi="Sylfaen"/>
          <w:bCs/>
        </w:rPr>
      </w:pPr>
      <w:r w:rsidRPr="00164081">
        <w:rPr>
          <w:rFonts w:ascii="Sylfaen" w:hAnsi="Sylfaen"/>
          <w:bCs/>
        </w:rPr>
        <w:t>A citizen of Pakistan or an entity incorporated in Pakistan can invest, only under the Government route.</w:t>
      </w:r>
    </w:p>
    <w:p w:rsidR="00D63A0A" w:rsidRPr="00164081" w:rsidRDefault="00DF0F58" w:rsidP="00FA5713">
      <w:pPr>
        <w:pStyle w:val="Default"/>
        <w:numPr>
          <w:ilvl w:val="0"/>
          <w:numId w:val="4"/>
        </w:numPr>
        <w:spacing w:line="276" w:lineRule="auto"/>
        <w:ind w:left="360" w:hanging="180"/>
        <w:jc w:val="both"/>
        <w:rPr>
          <w:rFonts w:ascii="Sylfaen" w:hAnsi="Sylfaen"/>
          <w:bCs/>
        </w:rPr>
      </w:pPr>
      <w:r w:rsidRPr="00DF0F58">
        <w:rPr>
          <w:rFonts w:ascii="Berlin Sans FB Demi" w:hAnsi="Berlin Sans FB Demi"/>
          <w:bCs/>
          <w:noProof/>
          <w:sz w:val="20"/>
          <w:szCs w:val="20"/>
          <w:u w:val="single"/>
        </w:rPr>
        <w:pict>
          <v:roundrect id="_x0000_s1029" style="position:absolute;left:0;text-align:left;margin-left:316.5pt;margin-top:18.75pt;width:189.75pt;height:43.5pt;z-index:251659264" arcsize="10923f" fillcolor="white [3201]" strokecolor="black [3200]" strokeweight="5pt">
            <v:stroke linestyle="thickThin"/>
            <v:shadow color="#868686"/>
            <v:textbox>
              <w:txbxContent>
                <w:p w:rsidR="0076419F" w:rsidRDefault="0076419F">
                  <w:r>
                    <w:t xml:space="preserve">Defence, Space and Atomic </w:t>
                  </w:r>
                  <w:proofErr w:type="gramStart"/>
                  <w:r>
                    <w:t>Energy  and</w:t>
                  </w:r>
                  <w:proofErr w:type="gramEnd"/>
                  <w:r>
                    <w:t xml:space="preserve"> sector/ activity prohibited</w:t>
                  </w:r>
                </w:p>
              </w:txbxContent>
            </v:textbox>
          </v:roundrect>
        </w:pict>
      </w:r>
      <w:r w:rsidR="00D340F6" w:rsidRPr="00164081">
        <w:rPr>
          <w:rFonts w:ascii="Berlin Sans FB Demi" w:hAnsi="Berlin Sans FB Demi"/>
          <w:bCs/>
          <w:sz w:val="20"/>
          <w:szCs w:val="20"/>
          <w:u w:val="single"/>
        </w:rPr>
        <w:t xml:space="preserve">Restricted </w:t>
      </w:r>
      <w:r w:rsidR="00D63A0A" w:rsidRPr="00164081">
        <w:rPr>
          <w:rFonts w:ascii="Berlin Sans FB Demi" w:hAnsi="Berlin Sans FB Demi"/>
          <w:bCs/>
          <w:sz w:val="20"/>
          <w:szCs w:val="20"/>
          <w:u w:val="single"/>
        </w:rPr>
        <w:t>sectors/activities</w:t>
      </w:r>
      <w:r w:rsidR="00D340F6" w:rsidRPr="00164081">
        <w:rPr>
          <w:rFonts w:ascii="Sylfaen" w:hAnsi="Sylfaen"/>
          <w:bCs/>
        </w:rPr>
        <w:t>:</w:t>
      </w:r>
      <w:r w:rsidR="00D63A0A" w:rsidRPr="00164081">
        <w:rPr>
          <w:rFonts w:ascii="Sylfaen" w:hAnsi="Sylfaen"/>
          <w:bCs/>
        </w:rPr>
        <w:t xml:space="preserve"> other than defence, space and atomic energy and sectors/activities prohibited for foreign investment</w:t>
      </w:r>
      <w:r w:rsidR="00D340F6" w:rsidRPr="00164081">
        <w:rPr>
          <w:rFonts w:ascii="Sylfaen" w:hAnsi="Sylfaen"/>
          <w:bCs/>
        </w:rPr>
        <w:t>.</w:t>
      </w:r>
    </w:p>
    <w:p w:rsidR="00D340F6" w:rsidRPr="00164081" w:rsidRDefault="00D340F6" w:rsidP="00FA5713">
      <w:pPr>
        <w:pStyle w:val="Default"/>
        <w:spacing w:line="276" w:lineRule="auto"/>
        <w:jc w:val="both"/>
        <w:rPr>
          <w:rFonts w:ascii="Sylfaen" w:hAnsi="Sylfaen"/>
        </w:rPr>
      </w:pPr>
    </w:p>
    <w:p w:rsidR="00D340F6" w:rsidRPr="00164081" w:rsidRDefault="00D24C9C" w:rsidP="00FA5713">
      <w:pPr>
        <w:pStyle w:val="Default"/>
        <w:numPr>
          <w:ilvl w:val="0"/>
          <w:numId w:val="5"/>
        </w:numPr>
        <w:spacing w:line="276" w:lineRule="auto"/>
        <w:ind w:left="0" w:hanging="180"/>
        <w:jc w:val="both"/>
        <w:rPr>
          <w:rFonts w:ascii="Sylfaen" w:hAnsi="Sylfaen"/>
          <w:bCs/>
        </w:rPr>
      </w:pPr>
      <w:r w:rsidRPr="00164081">
        <w:rPr>
          <w:rFonts w:ascii="Sylfaen" w:hAnsi="Sylfaen"/>
          <w:bCs/>
          <w:u w:val="single"/>
        </w:rPr>
        <w:t xml:space="preserve">A </w:t>
      </w:r>
      <w:r w:rsidR="00636F41" w:rsidRPr="00164081">
        <w:rPr>
          <w:rFonts w:ascii="Sylfaen" w:hAnsi="Sylfaen"/>
          <w:bCs/>
          <w:u w:val="single"/>
        </w:rPr>
        <w:t>Non Resident Indian (NRI)</w:t>
      </w:r>
      <w:r w:rsidR="00626384" w:rsidRPr="00164081">
        <w:rPr>
          <w:rFonts w:ascii="Sylfaen" w:hAnsi="Sylfaen"/>
          <w:bCs/>
          <w:u w:val="single"/>
        </w:rPr>
        <w:t xml:space="preserve">: </w:t>
      </w:r>
    </w:p>
    <w:p w:rsidR="00626384" w:rsidRPr="00164081" w:rsidRDefault="00636F41" w:rsidP="00FA5713">
      <w:pPr>
        <w:pStyle w:val="Default"/>
        <w:numPr>
          <w:ilvl w:val="0"/>
          <w:numId w:val="1"/>
        </w:numPr>
        <w:spacing w:line="276" w:lineRule="auto"/>
        <w:ind w:left="360" w:hanging="180"/>
        <w:jc w:val="both"/>
        <w:rPr>
          <w:rFonts w:ascii="Sylfaen" w:hAnsi="Sylfaen"/>
          <w:bCs/>
        </w:rPr>
      </w:pPr>
      <w:r w:rsidRPr="00164081">
        <w:rPr>
          <w:rFonts w:asciiTheme="majorHAnsi" w:hAnsiTheme="majorHAnsi"/>
          <w:b/>
          <w:u w:val="single"/>
        </w:rPr>
        <w:t xml:space="preserve">Citizen of Nepal &amp; Bhutan: </w:t>
      </w:r>
      <w:r w:rsidRPr="00164081">
        <w:rPr>
          <w:rFonts w:ascii="Sylfaen" w:hAnsi="Sylfaen"/>
          <w:bCs/>
        </w:rPr>
        <w:t xml:space="preserve">NRIs resident in Nepal and Bhutan as well as citizens of Nepal and Bhutan are permitted to invest in the capital of Indian </w:t>
      </w:r>
      <w:r w:rsidR="0076419F" w:rsidRPr="00164081">
        <w:rPr>
          <w:rFonts w:ascii="Sylfaen" w:hAnsi="Sylfaen"/>
          <w:bCs/>
        </w:rPr>
        <w:t xml:space="preserve">Companies </w:t>
      </w:r>
      <w:r w:rsidRPr="00164081">
        <w:rPr>
          <w:rFonts w:ascii="Sylfaen" w:hAnsi="Sylfaen"/>
          <w:bCs/>
        </w:rPr>
        <w:t>on repatriation basis.</w:t>
      </w:r>
    </w:p>
    <w:p w:rsidR="00636F41" w:rsidRPr="00164081" w:rsidRDefault="00636F41" w:rsidP="00FA5713">
      <w:pPr>
        <w:pStyle w:val="Default"/>
        <w:numPr>
          <w:ilvl w:val="0"/>
          <w:numId w:val="1"/>
        </w:numPr>
        <w:spacing w:line="276" w:lineRule="auto"/>
        <w:ind w:left="360" w:hanging="180"/>
        <w:jc w:val="both"/>
        <w:rPr>
          <w:rFonts w:ascii="Sylfaen" w:hAnsi="Sylfaen"/>
          <w:bCs/>
        </w:rPr>
      </w:pPr>
      <w:r w:rsidRPr="00164081">
        <w:rPr>
          <w:rFonts w:ascii="Berlin Sans FB Demi" w:hAnsi="Berlin Sans FB Demi"/>
          <w:bCs/>
          <w:sz w:val="20"/>
          <w:szCs w:val="20"/>
          <w:u w:val="single"/>
        </w:rPr>
        <w:t>Condition</w:t>
      </w:r>
      <w:r w:rsidRPr="00164081">
        <w:rPr>
          <w:rFonts w:ascii="Sylfaen" w:hAnsi="Sylfaen"/>
          <w:bCs/>
        </w:rPr>
        <w:t>:</w:t>
      </w:r>
      <w:r w:rsidRPr="00164081">
        <w:rPr>
          <w:sz w:val="22"/>
          <w:szCs w:val="22"/>
        </w:rPr>
        <w:t xml:space="preserve"> </w:t>
      </w:r>
      <w:r w:rsidRPr="00164081">
        <w:rPr>
          <w:rFonts w:ascii="Sylfaen" w:hAnsi="Sylfaen"/>
          <w:bCs/>
        </w:rPr>
        <w:t>The amount of consideration for such investment shall be paid only by way of inward remittance in free foreign exchange through normal banking channels.</w:t>
      </w:r>
    </w:p>
    <w:p w:rsidR="00636F41" w:rsidRPr="00164081" w:rsidRDefault="00636F41" w:rsidP="00FA5713">
      <w:pPr>
        <w:pStyle w:val="Default"/>
        <w:spacing w:line="276" w:lineRule="auto"/>
        <w:jc w:val="both"/>
        <w:rPr>
          <w:rFonts w:ascii="Sylfaen" w:hAnsi="Sylfaen"/>
          <w:bCs/>
          <w:u w:val="single"/>
        </w:rPr>
      </w:pPr>
    </w:p>
    <w:p w:rsidR="00636F41" w:rsidRPr="00164081" w:rsidRDefault="00636F41" w:rsidP="00FA5713">
      <w:pPr>
        <w:pStyle w:val="Default"/>
        <w:numPr>
          <w:ilvl w:val="0"/>
          <w:numId w:val="5"/>
        </w:numPr>
        <w:spacing w:line="276" w:lineRule="auto"/>
        <w:ind w:left="0" w:hanging="180"/>
        <w:jc w:val="both"/>
        <w:rPr>
          <w:rFonts w:ascii="Sylfaen" w:hAnsi="Sylfaen"/>
          <w:bCs/>
        </w:rPr>
      </w:pPr>
      <w:proofErr w:type="gramStart"/>
      <w:r w:rsidRPr="00164081">
        <w:rPr>
          <w:rFonts w:ascii="Sylfaen" w:hAnsi="Sylfaen"/>
          <w:bCs/>
          <w:u w:val="single"/>
        </w:rPr>
        <w:t>A</w:t>
      </w:r>
      <w:proofErr w:type="gramEnd"/>
      <w:r w:rsidRPr="00164081">
        <w:rPr>
          <w:rFonts w:ascii="Sylfaen" w:hAnsi="Sylfaen"/>
          <w:bCs/>
          <w:u w:val="single"/>
        </w:rPr>
        <w:t xml:space="preserve"> Overseas Corporate Body (OCBs):</w:t>
      </w:r>
      <w:r w:rsidRPr="00164081">
        <w:rPr>
          <w:sz w:val="22"/>
          <w:szCs w:val="22"/>
        </w:rPr>
        <w:t xml:space="preserve"> </w:t>
      </w:r>
      <w:r w:rsidR="00F61CB1" w:rsidRPr="00164081">
        <w:rPr>
          <w:rStyle w:val="FootnoteReference"/>
          <w:sz w:val="22"/>
          <w:szCs w:val="22"/>
        </w:rPr>
        <w:footnoteReference w:id="3"/>
      </w:r>
      <w:r w:rsidRPr="00164081">
        <w:rPr>
          <w:rFonts w:ascii="Sylfaen" w:hAnsi="Sylfaen"/>
          <w:bCs/>
        </w:rPr>
        <w:t>OCBs which are incorporated outside India and are not under the adverse notice of RBI can make fresh investments under FDI Policy as incorporated non-resident entities.</w:t>
      </w:r>
    </w:p>
    <w:p w:rsidR="00636F41" w:rsidRPr="00164081" w:rsidRDefault="00F61CB1" w:rsidP="00FA5713">
      <w:pPr>
        <w:pStyle w:val="Default"/>
        <w:spacing w:line="276" w:lineRule="auto"/>
        <w:jc w:val="both"/>
        <w:rPr>
          <w:rFonts w:ascii="Sylfaen" w:hAnsi="Sylfaen"/>
          <w:bCs/>
        </w:rPr>
      </w:pPr>
      <w:r w:rsidRPr="00164081">
        <w:rPr>
          <w:rFonts w:ascii="Sylfaen" w:hAnsi="Sylfaen"/>
          <w:bCs/>
          <w:u w:val="single"/>
        </w:rPr>
        <w:br/>
      </w:r>
      <w:r w:rsidR="00636F41" w:rsidRPr="00164081">
        <w:rPr>
          <w:rFonts w:ascii="Berlin Sans FB Demi" w:hAnsi="Berlin Sans FB Demi"/>
          <w:bCs/>
          <w:sz w:val="20"/>
          <w:szCs w:val="20"/>
          <w:u w:val="single"/>
        </w:rPr>
        <w:t>Condition</w:t>
      </w:r>
      <w:r w:rsidR="00636F41" w:rsidRPr="00164081">
        <w:rPr>
          <w:rFonts w:ascii="Sylfaen" w:hAnsi="Sylfaen"/>
          <w:bCs/>
        </w:rPr>
        <w:t xml:space="preserve">: </w:t>
      </w:r>
    </w:p>
    <w:p w:rsidR="00786E12" w:rsidRPr="00164081" w:rsidRDefault="00786E12" w:rsidP="00FA5713">
      <w:pPr>
        <w:pStyle w:val="Default"/>
        <w:numPr>
          <w:ilvl w:val="0"/>
          <w:numId w:val="6"/>
        </w:numPr>
        <w:spacing w:line="276" w:lineRule="auto"/>
        <w:jc w:val="both"/>
        <w:rPr>
          <w:rFonts w:ascii="Sylfaen" w:hAnsi="Sylfaen"/>
          <w:bCs/>
        </w:rPr>
      </w:pPr>
      <w:r w:rsidRPr="00164081">
        <w:rPr>
          <w:rFonts w:ascii="Sylfaen" w:hAnsi="Sylfaen"/>
          <w:bCs/>
        </w:rPr>
        <w:t>with the prior approval of Government of India if the investment is through Government route; and</w:t>
      </w:r>
    </w:p>
    <w:p w:rsidR="00636F41" w:rsidRPr="00164081" w:rsidRDefault="00786E12" w:rsidP="00FA5713">
      <w:pPr>
        <w:pStyle w:val="Default"/>
        <w:numPr>
          <w:ilvl w:val="0"/>
          <w:numId w:val="6"/>
        </w:numPr>
        <w:spacing w:line="276" w:lineRule="auto"/>
        <w:jc w:val="both"/>
        <w:rPr>
          <w:rFonts w:ascii="Sylfaen" w:hAnsi="Sylfaen"/>
          <w:bCs/>
        </w:rPr>
      </w:pPr>
      <w:proofErr w:type="gramStart"/>
      <w:r w:rsidRPr="00164081">
        <w:rPr>
          <w:rFonts w:ascii="Sylfaen" w:hAnsi="Sylfaen"/>
          <w:bCs/>
        </w:rPr>
        <w:t>with</w:t>
      </w:r>
      <w:proofErr w:type="gramEnd"/>
      <w:r w:rsidRPr="00164081">
        <w:rPr>
          <w:rFonts w:ascii="Sylfaen" w:hAnsi="Sylfaen"/>
          <w:bCs/>
        </w:rPr>
        <w:t xml:space="preserve"> the prior approval of RBI if the investment is through Automatic route.</w:t>
      </w:r>
    </w:p>
    <w:p w:rsidR="00636F41" w:rsidRPr="00164081" w:rsidRDefault="00636F41" w:rsidP="00FA5713">
      <w:pPr>
        <w:pStyle w:val="Default"/>
        <w:spacing w:line="276" w:lineRule="auto"/>
        <w:jc w:val="both"/>
        <w:rPr>
          <w:rFonts w:ascii="Sylfaen" w:hAnsi="Sylfaen"/>
          <w:bCs/>
        </w:rPr>
      </w:pPr>
    </w:p>
    <w:p w:rsidR="00636F41" w:rsidRPr="00164081" w:rsidRDefault="00D6323A" w:rsidP="00FA5713">
      <w:pPr>
        <w:pStyle w:val="Default"/>
        <w:numPr>
          <w:ilvl w:val="0"/>
          <w:numId w:val="5"/>
        </w:numPr>
        <w:spacing w:line="276" w:lineRule="auto"/>
        <w:ind w:left="0" w:hanging="180"/>
        <w:jc w:val="both"/>
        <w:rPr>
          <w:rFonts w:ascii="Sylfaen" w:hAnsi="Sylfaen"/>
          <w:bCs/>
        </w:rPr>
      </w:pPr>
      <w:r w:rsidRPr="00164081">
        <w:rPr>
          <w:rFonts w:ascii="Sylfaen" w:hAnsi="Sylfaen"/>
          <w:bCs/>
          <w:u w:val="single"/>
        </w:rPr>
        <w:t>Company/ Trust/ Partnership:</w:t>
      </w:r>
    </w:p>
    <w:p w:rsidR="00D6323A" w:rsidRPr="00164081" w:rsidRDefault="002F0193" w:rsidP="00FA5713">
      <w:pPr>
        <w:pStyle w:val="Default"/>
        <w:spacing w:line="276" w:lineRule="auto"/>
        <w:jc w:val="both"/>
        <w:rPr>
          <w:rFonts w:ascii="Sylfaen" w:hAnsi="Sylfaen"/>
          <w:bCs/>
        </w:rPr>
      </w:pPr>
      <w:r w:rsidRPr="00164081">
        <w:rPr>
          <w:rFonts w:ascii="Sylfaen" w:hAnsi="Sylfaen"/>
          <w:bCs/>
        </w:rPr>
        <w:t>A Company, trust and partnership firm incorporated outside India and owned and controlled by NRIs can invest in India with the special dispensation as available to NRIs under the FDI Policy.</w:t>
      </w:r>
    </w:p>
    <w:p w:rsidR="00D764B4" w:rsidRPr="00164081" w:rsidRDefault="00D764B4" w:rsidP="00FA5713">
      <w:pPr>
        <w:pStyle w:val="Default"/>
        <w:spacing w:line="276" w:lineRule="auto"/>
        <w:jc w:val="both"/>
        <w:rPr>
          <w:rFonts w:ascii="Sylfaen" w:hAnsi="Sylfaen"/>
          <w:bCs/>
        </w:rPr>
      </w:pPr>
    </w:p>
    <w:p w:rsidR="00D764B4" w:rsidRPr="00164081" w:rsidRDefault="00D764B4" w:rsidP="00FA5713">
      <w:pPr>
        <w:pStyle w:val="Default"/>
        <w:numPr>
          <w:ilvl w:val="0"/>
          <w:numId w:val="5"/>
        </w:numPr>
        <w:spacing w:line="276" w:lineRule="auto"/>
        <w:ind w:left="0" w:hanging="180"/>
        <w:jc w:val="both"/>
        <w:rPr>
          <w:rFonts w:ascii="Sylfaen" w:hAnsi="Sylfaen"/>
          <w:bCs/>
          <w:u w:val="single"/>
        </w:rPr>
      </w:pPr>
      <w:r w:rsidRPr="00164081">
        <w:rPr>
          <w:rFonts w:ascii="Sylfaen" w:hAnsi="Sylfaen"/>
          <w:bCs/>
          <w:u w:val="single"/>
        </w:rPr>
        <w:t>Only registered FIIs/FPIs and NRIs:</w:t>
      </w:r>
    </w:p>
    <w:p w:rsidR="00D764B4" w:rsidRPr="00164081" w:rsidRDefault="00D764B4" w:rsidP="00FA5713">
      <w:pPr>
        <w:pStyle w:val="Default"/>
        <w:spacing w:line="276" w:lineRule="auto"/>
        <w:jc w:val="both"/>
        <w:rPr>
          <w:rFonts w:ascii="Sylfaen" w:hAnsi="Sylfaen"/>
          <w:bCs/>
        </w:rPr>
      </w:pPr>
      <w:r w:rsidRPr="00164081">
        <w:rPr>
          <w:rFonts w:ascii="Sylfaen" w:hAnsi="Sylfaen"/>
          <w:bCs/>
        </w:rPr>
        <w:t xml:space="preserve">Only registered FIIs/FPIs and NRIs as per Schedules 2,2A and 3 respectively of Foreign Exchange Management (Transfer or Issue of Security by a Person Resident Outside India) </w:t>
      </w:r>
      <w:r w:rsidRPr="00164081">
        <w:rPr>
          <w:rFonts w:ascii="Sylfaen" w:hAnsi="Sylfaen"/>
          <w:bCs/>
        </w:rPr>
        <w:lastRenderedPageBreak/>
        <w:t>Regulations, 2000, can invest/trade through a registered broker in the capital of Indian Companies on recognized Indian Stock Exchanges.</w:t>
      </w:r>
    </w:p>
    <w:p w:rsidR="009C55DA" w:rsidRPr="00164081" w:rsidRDefault="009C55DA" w:rsidP="00FA5713">
      <w:pPr>
        <w:pStyle w:val="Default"/>
        <w:spacing w:line="276" w:lineRule="auto"/>
        <w:jc w:val="both"/>
        <w:rPr>
          <w:rFonts w:ascii="Sylfaen" w:hAnsi="Sylfaen"/>
          <w:bCs/>
        </w:rPr>
      </w:pPr>
    </w:p>
    <w:p w:rsidR="00EA1D97" w:rsidRPr="00164081" w:rsidRDefault="00EA1D97" w:rsidP="00FA5713">
      <w:pPr>
        <w:pStyle w:val="Default"/>
        <w:numPr>
          <w:ilvl w:val="0"/>
          <w:numId w:val="5"/>
        </w:numPr>
        <w:spacing w:line="276" w:lineRule="auto"/>
        <w:ind w:left="0" w:hanging="180"/>
        <w:jc w:val="both"/>
        <w:rPr>
          <w:rFonts w:ascii="Sylfaen" w:hAnsi="Sylfaen"/>
          <w:bCs/>
          <w:u w:val="single"/>
        </w:rPr>
      </w:pPr>
      <w:r w:rsidRPr="00164081">
        <w:rPr>
          <w:rFonts w:ascii="Sylfaen" w:hAnsi="Sylfaen"/>
          <w:bCs/>
          <w:u w:val="single"/>
        </w:rPr>
        <w:t>National Pension Fund System:</w:t>
      </w:r>
    </w:p>
    <w:p w:rsidR="00EA1D97" w:rsidRPr="00164081" w:rsidRDefault="00EA1D97" w:rsidP="00FA5713">
      <w:pPr>
        <w:pStyle w:val="Default"/>
        <w:spacing w:line="276" w:lineRule="auto"/>
        <w:jc w:val="both"/>
        <w:rPr>
          <w:rFonts w:ascii="Sylfaen" w:hAnsi="Sylfaen"/>
          <w:bCs/>
        </w:rPr>
      </w:pPr>
      <w:r w:rsidRPr="00164081">
        <w:rPr>
          <w:rFonts w:ascii="Sylfaen" w:hAnsi="Sylfaen"/>
          <w:bCs/>
        </w:rPr>
        <w:t xml:space="preserve">A Non- Resident Indian may subscribe to National Pension System governed and administered by Pension Fund Regulatory and Development Authority (PFRDA), </w:t>
      </w:r>
    </w:p>
    <w:p w:rsidR="00EA1D97" w:rsidRPr="00164081" w:rsidRDefault="00EA1D97" w:rsidP="00FA5713">
      <w:pPr>
        <w:pStyle w:val="Default"/>
        <w:spacing w:line="276" w:lineRule="auto"/>
        <w:jc w:val="both"/>
        <w:rPr>
          <w:rFonts w:ascii="Sylfaen" w:hAnsi="Sylfaen"/>
          <w:bCs/>
        </w:rPr>
      </w:pPr>
      <w:r w:rsidRPr="00164081">
        <w:rPr>
          <w:rFonts w:ascii="Berlin Sans FB Demi" w:hAnsi="Berlin Sans FB Demi"/>
          <w:bCs/>
          <w:sz w:val="20"/>
          <w:szCs w:val="20"/>
          <w:u w:val="single"/>
        </w:rPr>
        <w:t>Condition</w:t>
      </w:r>
      <w:r w:rsidRPr="00164081">
        <w:rPr>
          <w:rFonts w:ascii="Sylfaen" w:hAnsi="Sylfaen"/>
          <w:bCs/>
        </w:rPr>
        <w:t xml:space="preserve">: </w:t>
      </w:r>
    </w:p>
    <w:p w:rsidR="00EA1D97" w:rsidRPr="00164081" w:rsidRDefault="00EA1D97" w:rsidP="00FA5713">
      <w:pPr>
        <w:pStyle w:val="Default"/>
        <w:numPr>
          <w:ilvl w:val="0"/>
          <w:numId w:val="7"/>
        </w:numPr>
        <w:spacing w:line="276" w:lineRule="auto"/>
        <w:jc w:val="both"/>
        <w:rPr>
          <w:rFonts w:ascii="Sylfaen" w:hAnsi="Sylfaen"/>
          <w:bCs/>
        </w:rPr>
      </w:pPr>
      <w:r w:rsidRPr="00164081">
        <w:rPr>
          <w:rFonts w:ascii="Sylfaen" w:hAnsi="Sylfaen"/>
          <w:bCs/>
        </w:rPr>
        <w:t xml:space="preserve">Such subscriptions are made through normal banking channels and </w:t>
      </w:r>
    </w:p>
    <w:p w:rsidR="00EA1D97" w:rsidRPr="00164081" w:rsidRDefault="00EA1D97" w:rsidP="00FA5713">
      <w:pPr>
        <w:pStyle w:val="Default"/>
        <w:numPr>
          <w:ilvl w:val="0"/>
          <w:numId w:val="7"/>
        </w:numPr>
        <w:spacing w:line="276" w:lineRule="auto"/>
        <w:jc w:val="both"/>
        <w:rPr>
          <w:rFonts w:ascii="Sylfaen" w:hAnsi="Sylfaen"/>
          <w:bCs/>
        </w:rPr>
      </w:pPr>
      <w:r w:rsidRPr="00164081">
        <w:rPr>
          <w:rFonts w:ascii="Sylfaen" w:hAnsi="Sylfaen"/>
          <w:bCs/>
        </w:rPr>
        <w:t xml:space="preserve">The person is eligible to invest as per the provisions of the PFRDA Act. </w:t>
      </w:r>
    </w:p>
    <w:p w:rsidR="00EA1D97" w:rsidRPr="00164081" w:rsidRDefault="00EA1D97" w:rsidP="00FA5713">
      <w:pPr>
        <w:pStyle w:val="Default"/>
        <w:numPr>
          <w:ilvl w:val="0"/>
          <w:numId w:val="7"/>
        </w:numPr>
        <w:spacing w:line="276" w:lineRule="auto"/>
        <w:jc w:val="both"/>
        <w:rPr>
          <w:rFonts w:ascii="Sylfaen" w:hAnsi="Sylfaen"/>
          <w:bCs/>
        </w:rPr>
      </w:pPr>
      <w:r w:rsidRPr="00164081">
        <w:rPr>
          <w:rFonts w:ascii="Sylfaen" w:hAnsi="Sylfaen"/>
          <w:bCs/>
        </w:rPr>
        <w:t xml:space="preserve">The annuity/ accumulated saving will be </w:t>
      </w:r>
      <w:proofErr w:type="spellStart"/>
      <w:r w:rsidRPr="00164081">
        <w:rPr>
          <w:rFonts w:ascii="Sylfaen" w:hAnsi="Sylfaen"/>
          <w:bCs/>
        </w:rPr>
        <w:t>repatriable</w:t>
      </w:r>
      <w:proofErr w:type="spellEnd"/>
    </w:p>
    <w:p w:rsidR="00D764B4" w:rsidRPr="00164081" w:rsidRDefault="00D764B4" w:rsidP="00FA5713">
      <w:pPr>
        <w:pStyle w:val="Default"/>
        <w:spacing w:line="276" w:lineRule="auto"/>
        <w:jc w:val="both"/>
        <w:rPr>
          <w:rFonts w:ascii="Sylfaen" w:hAnsi="Sylfaen"/>
          <w:bCs/>
        </w:rPr>
      </w:pPr>
    </w:p>
    <w:p w:rsidR="00D764B4" w:rsidRPr="00164081" w:rsidRDefault="00CE1982" w:rsidP="00FA5713">
      <w:pPr>
        <w:pStyle w:val="Default"/>
        <w:numPr>
          <w:ilvl w:val="0"/>
          <w:numId w:val="5"/>
        </w:numPr>
        <w:spacing w:line="276" w:lineRule="auto"/>
        <w:ind w:left="0" w:hanging="180"/>
        <w:jc w:val="both"/>
        <w:rPr>
          <w:rFonts w:ascii="Sylfaen" w:hAnsi="Sylfaen"/>
          <w:bCs/>
          <w:u w:val="single"/>
        </w:rPr>
      </w:pPr>
      <w:r w:rsidRPr="00164081">
        <w:rPr>
          <w:rFonts w:ascii="Sylfaen" w:hAnsi="Sylfaen"/>
          <w:bCs/>
          <w:u w:val="single"/>
        </w:rPr>
        <w:t>SEBI registered Foreign Venture Capital Investor (FVCI):</w:t>
      </w:r>
    </w:p>
    <w:p w:rsidR="004F07F0" w:rsidRPr="00164081" w:rsidRDefault="00F66348" w:rsidP="00FA5713">
      <w:pPr>
        <w:pStyle w:val="Default"/>
        <w:spacing w:line="276" w:lineRule="auto"/>
        <w:jc w:val="both"/>
        <w:rPr>
          <w:rFonts w:ascii="Sylfaen" w:hAnsi="Sylfaen"/>
          <w:bCs/>
        </w:rPr>
      </w:pPr>
      <w:r w:rsidRPr="00164081">
        <w:rPr>
          <w:rFonts w:ascii="Berlin Sans FB Demi" w:hAnsi="Berlin Sans FB Demi"/>
          <w:bCs/>
          <w:sz w:val="20"/>
          <w:szCs w:val="20"/>
          <w:u w:val="single"/>
        </w:rPr>
        <w:t xml:space="preserve">Automatic Route: </w:t>
      </w:r>
      <w:r w:rsidRPr="00164081">
        <w:rPr>
          <w:rFonts w:ascii="Sylfaen" w:hAnsi="Sylfaen"/>
          <w:bCs/>
        </w:rPr>
        <w:t xml:space="preserve">A SEBI registered Foreign Venture Capital Investor (FVCI) may contribute </w:t>
      </w:r>
    </w:p>
    <w:p w:rsidR="004F07F0" w:rsidRPr="00164081" w:rsidRDefault="00F66348" w:rsidP="00FA5713">
      <w:pPr>
        <w:pStyle w:val="Default"/>
        <w:numPr>
          <w:ilvl w:val="0"/>
          <w:numId w:val="8"/>
        </w:numPr>
        <w:spacing w:line="276" w:lineRule="auto"/>
        <w:jc w:val="both"/>
        <w:rPr>
          <w:rFonts w:ascii="Sylfaen" w:hAnsi="Sylfaen"/>
          <w:bCs/>
        </w:rPr>
      </w:pPr>
      <w:r w:rsidRPr="00164081">
        <w:rPr>
          <w:rFonts w:ascii="Sylfaen" w:hAnsi="Sylfaen"/>
          <w:bCs/>
        </w:rPr>
        <w:t xml:space="preserve">up to 100% of the capital of an Indian company </w:t>
      </w:r>
    </w:p>
    <w:p w:rsidR="004F07F0" w:rsidRPr="00164081" w:rsidRDefault="004F07F0" w:rsidP="00FA5713">
      <w:pPr>
        <w:pStyle w:val="Default"/>
        <w:numPr>
          <w:ilvl w:val="0"/>
          <w:numId w:val="8"/>
        </w:numPr>
        <w:spacing w:line="276" w:lineRule="auto"/>
        <w:jc w:val="both"/>
        <w:rPr>
          <w:rFonts w:ascii="Sylfaen" w:hAnsi="Sylfaen"/>
          <w:bCs/>
        </w:rPr>
      </w:pPr>
      <w:r w:rsidRPr="00164081">
        <w:rPr>
          <w:rFonts w:ascii="Sylfaen" w:hAnsi="Sylfaen"/>
          <w:bCs/>
        </w:rPr>
        <w:t xml:space="preserve">Engaged </w:t>
      </w:r>
      <w:r w:rsidR="00F66348" w:rsidRPr="00164081">
        <w:rPr>
          <w:rFonts w:ascii="Sylfaen" w:hAnsi="Sylfaen"/>
          <w:bCs/>
        </w:rPr>
        <w:t xml:space="preserve">in any activity mentioned in Schedule 6 of Notification No. FEMA 20/2000, </w:t>
      </w:r>
    </w:p>
    <w:p w:rsidR="00CE1982" w:rsidRPr="00164081" w:rsidRDefault="004F07F0" w:rsidP="00FA5713">
      <w:pPr>
        <w:pStyle w:val="Default"/>
        <w:numPr>
          <w:ilvl w:val="0"/>
          <w:numId w:val="8"/>
        </w:numPr>
        <w:spacing w:line="276" w:lineRule="auto"/>
        <w:jc w:val="both"/>
        <w:rPr>
          <w:rFonts w:ascii="Sylfaen" w:hAnsi="Sylfaen"/>
          <w:bCs/>
        </w:rPr>
      </w:pPr>
      <w:r w:rsidRPr="00164081">
        <w:rPr>
          <w:rFonts w:ascii="Sylfaen" w:hAnsi="Sylfaen"/>
          <w:bCs/>
        </w:rPr>
        <w:t xml:space="preserve">Including </w:t>
      </w:r>
      <w:r w:rsidR="00F66348" w:rsidRPr="00164081">
        <w:rPr>
          <w:rFonts w:ascii="Sylfaen" w:hAnsi="Sylfaen"/>
          <w:bCs/>
        </w:rPr>
        <w:t>startups irrespective of the sector in which it is engaged, under the automatic route.</w:t>
      </w:r>
    </w:p>
    <w:p w:rsidR="005E2315" w:rsidRPr="00164081" w:rsidRDefault="005E2315" w:rsidP="00FA5713">
      <w:pPr>
        <w:pStyle w:val="Default"/>
        <w:spacing w:line="276" w:lineRule="auto"/>
        <w:jc w:val="both"/>
        <w:rPr>
          <w:rFonts w:ascii="Sylfaen" w:hAnsi="Sylfaen"/>
          <w:bCs/>
        </w:rPr>
      </w:pPr>
    </w:p>
    <w:p w:rsidR="005E2315" w:rsidRPr="00164081" w:rsidRDefault="005E2315" w:rsidP="00FA5713">
      <w:pPr>
        <w:pStyle w:val="Default"/>
        <w:spacing w:line="276" w:lineRule="auto"/>
        <w:jc w:val="both"/>
        <w:rPr>
          <w:rFonts w:ascii="Sylfaen" w:hAnsi="Sylfaen"/>
          <w:bCs/>
        </w:rPr>
      </w:pPr>
      <w:r w:rsidRPr="00164081">
        <w:rPr>
          <w:rFonts w:ascii="Sylfaen" w:hAnsi="Sylfaen"/>
          <w:bCs/>
        </w:rPr>
        <w:t>**SEBI registered FVCIs are also allowed to invest under the FDI Scheme, as non-resident entities, in other companies, subject to FDI Policy and FEMA regulations</w:t>
      </w:r>
    </w:p>
    <w:p w:rsidR="005E2315" w:rsidRPr="00164081" w:rsidRDefault="005E2315" w:rsidP="00FA5713">
      <w:pPr>
        <w:pStyle w:val="Default"/>
        <w:spacing w:line="276" w:lineRule="auto"/>
        <w:jc w:val="both"/>
        <w:rPr>
          <w:rFonts w:ascii="Sylfaen" w:hAnsi="Sylfaen"/>
          <w:bCs/>
        </w:rPr>
      </w:pPr>
    </w:p>
    <w:p w:rsidR="005E2315" w:rsidRPr="00164081" w:rsidRDefault="005E2315" w:rsidP="00FA5713">
      <w:pPr>
        <w:pStyle w:val="Default"/>
        <w:spacing w:line="276" w:lineRule="auto"/>
        <w:jc w:val="both"/>
        <w:rPr>
          <w:rFonts w:ascii="Sylfaen" w:hAnsi="Sylfaen"/>
          <w:bCs/>
        </w:rPr>
      </w:pPr>
      <w:r w:rsidRPr="00164081">
        <w:rPr>
          <w:rFonts w:ascii="Berlin Sans FB Demi" w:hAnsi="Berlin Sans FB Demi"/>
          <w:bCs/>
          <w:sz w:val="20"/>
          <w:szCs w:val="20"/>
          <w:u w:val="single"/>
        </w:rPr>
        <w:t xml:space="preserve">Investment in domestic venture capital fund: </w:t>
      </w:r>
      <w:r w:rsidRPr="00164081">
        <w:rPr>
          <w:rFonts w:ascii="Sylfaen" w:hAnsi="Sylfaen"/>
          <w:bCs/>
        </w:rPr>
        <w:t>A SEBI registered FVCI can invest in a domestic venture capital fund registered under the SEBI (Venture Capital Fund) Regulations, 1996 or a Category- I Alternative Investment Fund registered under the SEBI (Alternative Investment Fund) Regulations, 2012.</w:t>
      </w:r>
    </w:p>
    <w:p w:rsidR="005E2315" w:rsidRPr="00164081" w:rsidRDefault="005E2315" w:rsidP="00FA5713">
      <w:pPr>
        <w:pStyle w:val="Default"/>
        <w:spacing w:line="276" w:lineRule="auto"/>
        <w:jc w:val="both"/>
        <w:rPr>
          <w:rFonts w:ascii="Sylfaen" w:hAnsi="Sylfaen"/>
          <w:bCs/>
        </w:rPr>
      </w:pPr>
      <w:r w:rsidRPr="00164081">
        <w:rPr>
          <w:rFonts w:ascii="Berlin Sans FB Demi" w:hAnsi="Berlin Sans FB Demi"/>
          <w:bCs/>
          <w:sz w:val="20"/>
          <w:szCs w:val="20"/>
          <w:u w:val="single"/>
        </w:rPr>
        <w:t>Condition</w:t>
      </w:r>
      <w:r w:rsidRPr="00164081">
        <w:rPr>
          <w:rFonts w:ascii="Sylfaen" w:hAnsi="Sylfaen"/>
          <w:bCs/>
        </w:rPr>
        <w:t xml:space="preserve">: </w:t>
      </w:r>
    </w:p>
    <w:p w:rsidR="005E2315" w:rsidRPr="00164081" w:rsidRDefault="005E2315" w:rsidP="00FA5713">
      <w:pPr>
        <w:pStyle w:val="Default"/>
        <w:numPr>
          <w:ilvl w:val="0"/>
          <w:numId w:val="9"/>
        </w:numPr>
        <w:spacing w:line="276" w:lineRule="auto"/>
        <w:jc w:val="both"/>
        <w:rPr>
          <w:rFonts w:ascii="Sylfaen" w:hAnsi="Sylfaen"/>
          <w:bCs/>
        </w:rPr>
      </w:pPr>
      <w:r w:rsidRPr="00164081">
        <w:rPr>
          <w:rFonts w:ascii="Sylfaen" w:hAnsi="Sylfaen"/>
          <w:bCs/>
        </w:rPr>
        <w:t>Such investments shall also be subject to the extant FEMA regulations and extant FDI policy including sectoral caps, etc.</w:t>
      </w:r>
    </w:p>
    <w:p w:rsidR="005E2315" w:rsidRPr="00164081" w:rsidRDefault="005E2315" w:rsidP="00FA5713">
      <w:pPr>
        <w:pStyle w:val="Default"/>
        <w:numPr>
          <w:ilvl w:val="0"/>
          <w:numId w:val="9"/>
        </w:numPr>
        <w:spacing w:line="276" w:lineRule="auto"/>
        <w:jc w:val="both"/>
        <w:rPr>
          <w:rFonts w:ascii="Sylfaen" w:hAnsi="Sylfaen"/>
          <w:bCs/>
        </w:rPr>
      </w:pPr>
      <w:r w:rsidRPr="00164081">
        <w:rPr>
          <w:rFonts w:ascii="Sylfaen" w:hAnsi="Sylfaen"/>
          <w:bCs/>
        </w:rPr>
        <w:t xml:space="preserve">The investment can be made in equities or equity linked instruments or debt instruments issued by the company (including start-ups and if a startup is </w:t>
      </w:r>
      <w:proofErr w:type="spellStart"/>
      <w:r w:rsidRPr="00164081">
        <w:rPr>
          <w:rFonts w:ascii="Sylfaen" w:hAnsi="Sylfaen"/>
          <w:bCs/>
        </w:rPr>
        <w:t>organised</w:t>
      </w:r>
      <w:proofErr w:type="spellEnd"/>
      <w:r w:rsidRPr="00164081">
        <w:rPr>
          <w:rFonts w:ascii="Sylfaen" w:hAnsi="Sylfaen"/>
          <w:bCs/>
        </w:rPr>
        <w:t xml:space="preserve"> as a partnership firm or an LLP, the investment can be made in the capital or through any profit-sharing arrangement) or units issued by a VCF or by a Category-I AIF </w:t>
      </w:r>
    </w:p>
    <w:p w:rsidR="005E2315" w:rsidRPr="00164081" w:rsidRDefault="005E2315" w:rsidP="00FA5713">
      <w:pPr>
        <w:pStyle w:val="Default"/>
        <w:numPr>
          <w:ilvl w:val="0"/>
          <w:numId w:val="9"/>
        </w:numPr>
        <w:spacing w:line="276" w:lineRule="auto"/>
        <w:jc w:val="both"/>
        <w:rPr>
          <w:rFonts w:ascii="Sylfaen" w:hAnsi="Sylfaen"/>
          <w:bCs/>
        </w:rPr>
      </w:pPr>
      <w:proofErr w:type="gramStart"/>
      <w:r w:rsidRPr="00164081">
        <w:rPr>
          <w:rFonts w:ascii="Sylfaen" w:hAnsi="Sylfaen"/>
          <w:bCs/>
        </w:rPr>
        <w:t>either</w:t>
      </w:r>
      <w:proofErr w:type="gramEnd"/>
      <w:r w:rsidRPr="00164081">
        <w:rPr>
          <w:rFonts w:ascii="Sylfaen" w:hAnsi="Sylfaen"/>
          <w:bCs/>
        </w:rPr>
        <w:t xml:space="preserve"> through purchase by private arrangement either from the issuer of the security or from any other person holding the security or on a </w:t>
      </w:r>
      <w:proofErr w:type="spellStart"/>
      <w:r w:rsidRPr="00164081">
        <w:rPr>
          <w:rFonts w:ascii="Sylfaen" w:hAnsi="Sylfaen"/>
          <w:bCs/>
        </w:rPr>
        <w:t>recognised</w:t>
      </w:r>
      <w:proofErr w:type="spellEnd"/>
      <w:r w:rsidRPr="00164081">
        <w:rPr>
          <w:rFonts w:ascii="Sylfaen" w:hAnsi="Sylfaen"/>
          <w:bCs/>
        </w:rPr>
        <w:t xml:space="preserve"> stock exchange.</w:t>
      </w:r>
    </w:p>
    <w:p w:rsidR="005E2315" w:rsidRPr="00164081" w:rsidRDefault="005E2315" w:rsidP="00FA5713">
      <w:pPr>
        <w:pStyle w:val="Default"/>
        <w:spacing w:line="276" w:lineRule="auto"/>
        <w:jc w:val="both"/>
        <w:rPr>
          <w:rFonts w:ascii="Sylfaen" w:hAnsi="Sylfaen"/>
          <w:bCs/>
        </w:rPr>
      </w:pPr>
    </w:p>
    <w:p w:rsidR="005E2315" w:rsidRPr="00164081" w:rsidRDefault="005E2315" w:rsidP="00FA5713">
      <w:pPr>
        <w:pStyle w:val="Default"/>
        <w:spacing w:line="276" w:lineRule="auto"/>
        <w:jc w:val="both"/>
        <w:rPr>
          <w:rFonts w:ascii="Sylfaen" w:hAnsi="Sylfaen"/>
          <w:bCs/>
        </w:rPr>
      </w:pPr>
      <w:r w:rsidRPr="00164081">
        <w:rPr>
          <w:rFonts w:ascii="Berlin Sans FB Demi" w:hAnsi="Berlin Sans FB Demi"/>
          <w:bCs/>
          <w:sz w:val="20"/>
          <w:szCs w:val="20"/>
          <w:u w:val="single"/>
        </w:rPr>
        <w:t>Domestic Asset Management Company:</w:t>
      </w:r>
      <w:r w:rsidRPr="00164081">
        <w:rPr>
          <w:rFonts w:ascii="Sylfaen" w:hAnsi="Sylfaen"/>
          <w:bCs/>
        </w:rPr>
        <w:t xml:space="preserve"> It may also set up a domestic asset management company to manage its investments. </w:t>
      </w:r>
    </w:p>
    <w:p w:rsidR="005E2315" w:rsidRPr="00164081" w:rsidRDefault="005E2315" w:rsidP="00FA5713">
      <w:pPr>
        <w:pStyle w:val="Default"/>
        <w:spacing w:line="276" w:lineRule="auto"/>
        <w:jc w:val="both"/>
        <w:rPr>
          <w:rFonts w:ascii="Sylfaen" w:hAnsi="Sylfaen"/>
          <w:bCs/>
        </w:rPr>
      </w:pPr>
    </w:p>
    <w:p w:rsidR="00081EB8" w:rsidRPr="00164081" w:rsidRDefault="00081EB8" w:rsidP="00FA5713">
      <w:pPr>
        <w:pStyle w:val="Default"/>
        <w:numPr>
          <w:ilvl w:val="0"/>
          <w:numId w:val="5"/>
        </w:numPr>
        <w:spacing w:line="276" w:lineRule="auto"/>
        <w:ind w:left="0" w:hanging="180"/>
        <w:jc w:val="both"/>
        <w:rPr>
          <w:rFonts w:ascii="Sylfaen" w:hAnsi="Sylfaen"/>
          <w:bCs/>
          <w:u w:val="single"/>
        </w:rPr>
      </w:pPr>
      <w:r w:rsidRPr="00164081">
        <w:rPr>
          <w:rFonts w:ascii="Sylfaen" w:hAnsi="Sylfaen"/>
          <w:bCs/>
          <w:u w:val="single"/>
        </w:rPr>
        <w:t>Foreign Institutional Investor (FII) and Foreign Portfolio Investors (FPI):</w:t>
      </w:r>
    </w:p>
    <w:p w:rsidR="00081EB8" w:rsidRPr="00164081" w:rsidRDefault="00081EB8" w:rsidP="00FA5713">
      <w:pPr>
        <w:pStyle w:val="Default"/>
        <w:spacing w:line="276" w:lineRule="auto"/>
        <w:jc w:val="both"/>
        <w:rPr>
          <w:rFonts w:ascii="Sylfaen" w:hAnsi="Sylfaen"/>
          <w:b/>
          <w:bCs/>
          <w:u w:val="single"/>
        </w:rPr>
      </w:pPr>
      <w:r w:rsidRPr="00164081">
        <w:rPr>
          <w:rFonts w:ascii="Sylfaen" w:hAnsi="Sylfaen"/>
          <w:b/>
          <w:bCs/>
          <w:u w:val="single"/>
        </w:rPr>
        <w:t>Portfolio Investment Scheme</w:t>
      </w:r>
    </w:p>
    <w:p w:rsidR="00FA5713" w:rsidRPr="00164081" w:rsidRDefault="00081EB8" w:rsidP="00FA5713">
      <w:pPr>
        <w:pStyle w:val="Default"/>
        <w:spacing w:line="276" w:lineRule="auto"/>
        <w:jc w:val="both"/>
        <w:rPr>
          <w:rFonts w:ascii="Sylfaen" w:hAnsi="Sylfaen"/>
          <w:bCs/>
        </w:rPr>
      </w:pPr>
      <w:r w:rsidRPr="00164081">
        <w:rPr>
          <w:rFonts w:ascii="Sylfaen" w:hAnsi="Sylfaen"/>
          <w:bCs/>
        </w:rPr>
        <w:t xml:space="preserve">Foreign Institutional Investor (FII) and Foreign Portfolio Investors (FPI) may in terms of Schedule 2 and 2A of FEMA (Transfer or Issue of Security by Persons Resident </w:t>
      </w:r>
      <w:proofErr w:type="gramStart"/>
      <w:r w:rsidRPr="00164081">
        <w:rPr>
          <w:rFonts w:ascii="Sylfaen" w:hAnsi="Sylfaen"/>
          <w:bCs/>
        </w:rPr>
        <w:t>Outside</w:t>
      </w:r>
      <w:proofErr w:type="gramEnd"/>
      <w:r w:rsidRPr="00164081">
        <w:rPr>
          <w:rFonts w:ascii="Sylfaen" w:hAnsi="Sylfaen"/>
          <w:bCs/>
        </w:rPr>
        <w:t xml:space="preserve"> India) Regulations, as the case may be, respectively</w:t>
      </w:r>
      <w:r w:rsidR="00FA5713" w:rsidRPr="00164081">
        <w:rPr>
          <w:rFonts w:ascii="Sylfaen" w:hAnsi="Sylfaen"/>
          <w:bCs/>
        </w:rPr>
        <w:t xml:space="preserve"> </w:t>
      </w:r>
      <w:r w:rsidRPr="00164081">
        <w:rPr>
          <w:rFonts w:ascii="Sylfaen" w:hAnsi="Sylfaen"/>
          <w:bCs/>
        </w:rPr>
        <w:t>Invest in the capital of an Indian company under the Portfolio Investment Scheme</w:t>
      </w:r>
      <w:r w:rsidR="002B2544" w:rsidRPr="00164081">
        <w:rPr>
          <w:rFonts w:ascii="Sylfaen" w:hAnsi="Sylfaen"/>
          <w:bCs/>
        </w:rPr>
        <w:t>.</w:t>
      </w:r>
    </w:p>
    <w:p w:rsidR="00081EB8" w:rsidRPr="00164081" w:rsidRDefault="002B2544" w:rsidP="00FA5713">
      <w:pPr>
        <w:pStyle w:val="Default"/>
        <w:spacing w:line="276" w:lineRule="auto"/>
        <w:jc w:val="both"/>
        <w:rPr>
          <w:rFonts w:ascii="Sylfaen" w:hAnsi="Sylfaen"/>
          <w:bCs/>
        </w:rPr>
      </w:pPr>
      <w:r w:rsidRPr="00164081">
        <w:rPr>
          <w:rFonts w:ascii="Berlin Sans FB Demi" w:hAnsi="Berlin Sans FB Demi"/>
          <w:bCs/>
          <w:sz w:val="20"/>
          <w:szCs w:val="20"/>
          <w:u w:val="single"/>
        </w:rPr>
        <w:t>Condition:</w:t>
      </w:r>
    </w:p>
    <w:p w:rsidR="00081EB8" w:rsidRPr="00164081" w:rsidRDefault="00081EB8" w:rsidP="00FA5713">
      <w:pPr>
        <w:pStyle w:val="Default"/>
        <w:numPr>
          <w:ilvl w:val="0"/>
          <w:numId w:val="9"/>
        </w:numPr>
        <w:spacing w:line="276" w:lineRule="auto"/>
        <w:jc w:val="both"/>
        <w:rPr>
          <w:rFonts w:ascii="Sylfaen" w:hAnsi="Sylfaen"/>
          <w:bCs/>
        </w:rPr>
      </w:pPr>
      <w:r w:rsidRPr="00164081">
        <w:rPr>
          <w:rFonts w:ascii="Sylfaen" w:hAnsi="Sylfaen"/>
          <w:bCs/>
        </w:rPr>
        <w:t>Which limits the individual holding of an FII/FPI below 10% of the capital of the company; and</w:t>
      </w:r>
    </w:p>
    <w:p w:rsidR="00081EB8" w:rsidRPr="00164081" w:rsidRDefault="00081EB8" w:rsidP="00FA5713">
      <w:pPr>
        <w:pStyle w:val="Default"/>
        <w:numPr>
          <w:ilvl w:val="0"/>
          <w:numId w:val="9"/>
        </w:numPr>
        <w:spacing w:line="276" w:lineRule="auto"/>
        <w:jc w:val="both"/>
        <w:rPr>
          <w:rFonts w:ascii="Sylfaen" w:hAnsi="Sylfaen"/>
          <w:bCs/>
        </w:rPr>
      </w:pPr>
      <w:r w:rsidRPr="00164081">
        <w:rPr>
          <w:rFonts w:ascii="Sylfaen" w:hAnsi="Sylfaen"/>
          <w:bCs/>
        </w:rPr>
        <w:t xml:space="preserve">The aggregate limit for FII/FPI investment to 24% of the capital of the </w:t>
      </w:r>
      <w:r w:rsidR="0060350A" w:rsidRPr="00164081">
        <w:rPr>
          <w:rFonts w:ascii="Sylfaen" w:hAnsi="Sylfaen"/>
          <w:bCs/>
        </w:rPr>
        <w:t>Company.</w:t>
      </w:r>
    </w:p>
    <w:p w:rsidR="0060350A" w:rsidRPr="00164081" w:rsidRDefault="0060350A" w:rsidP="00FA5713">
      <w:pPr>
        <w:pStyle w:val="Default"/>
        <w:numPr>
          <w:ilvl w:val="0"/>
          <w:numId w:val="9"/>
        </w:numPr>
        <w:spacing w:line="276" w:lineRule="auto"/>
        <w:jc w:val="both"/>
        <w:rPr>
          <w:rFonts w:ascii="Sylfaen" w:hAnsi="Sylfaen"/>
          <w:bCs/>
        </w:rPr>
      </w:pPr>
      <w:r w:rsidRPr="00164081">
        <w:rPr>
          <w:rFonts w:ascii="Berlin Sans FB Demi" w:hAnsi="Berlin Sans FB Demi"/>
          <w:bCs/>
          <w:sz w:val="20"/>
          <w:szCs w:val="20"/>
          <w:u w:val="single"/>
        </w:rPr>
        <w:t>Increase more than 24%:</w:t>
      </w:r>
      <w:r w:rsidRPr="00164081">
        <w:rPr>
          <w:rFonts w:ascii="Sylfaen" w:hAnsi="Sylfaen"/>
          <w:bCs/>
        </w:rPr>
        <w:t xml:space="preserve"> This aggregate limit of 24% can be increased to the </w:t>
      </w:r>
      <w:r w:rsidR="0068430D" w:rsidRPr="00164081">
        <w:rPr>
          <w:rFonts w:ascii="Sylfaen" w:hAnsi="Sylfaen"/>
          <w:bCs/>
        </w:rPr>
        <w:t xml:space="preserve">Sectoral </w:t>
      </w:r>
      <w:r w:rsidRPr="00164081">
        <w:rPr>
          <w:rFonts w:ascii="Sylfaen" w:hAnsi="Sylfaen"/>
          <w:bCs/>
        </w:rPr>
        <w:t>cap/statutory ceiling, as applicable, by the Indian company concerned through a resolution by its Board of Directors followed by a special resolution to that effect by its General Body and subject to prior intimation to RBI</w:t>
      </w:r>
    </w:p>
    <w:p w:rsidR="0068430D" w:rsidRPr="00164081" w:rsidRDefault="0068430D" w:rsidP="00FA5713">
      <w:pPr>
        <w:pStyle w:val="Default"/>
        <w:numPr>
          <w:ilvl w:val="0"/>
          <w:numId w:val="9"/>
        </w:numPr>
        <w:spacing w:line="276" w:lineRule="auto"/>
        <w:jc w:val="both"/>
        <w:rPr>
          <w:rFonts w:ascii="Sylfaen" w:hAnsi="Sylfaen"/>
          <w:bCs/>
        </w:rPr>
      </w:pPr>
      <w:r w:rsidRPr="00164081">
        <w:rPr>
          <w:rFonts w:ascii="Sylfaen" w:hAnsi="Sylfaen"/>
          <w:bCs/>
        </w:rPr>
        <w:t xml:space="preserve">The aggregate FII/FPI investment, individually or in conjunction with other kinds of foreign investment, will not exceed </w:t>
      </w:r>
      <w:r w:rsidR="002B2544" w:rsidRPr="00164081">
        <w:rPr>
          <w:rFonts w:ascii="Sylfaen" w:hAnsi="Sylfaen"/>
          <w:bCs/>
        </w:rPr>
        <w:t>Sectoral</w:t>
      </w:r>
      <w:r w:rsidRPr="00164081">
        <w:rPr>
          <w:rFonts w:ascii="Sylfaen" w:hAnsi="Sylfaen"/>
          <w:bCs/>
        </w:rPr>
        <w:t>/statutory cap.</w:t>
      </w:r>
    </w:p>
    <w:p w:rsidR="00FA5713" w:rsidRPr="00164081" w:rsidRDefault="00FA5713" w:rsidP="00FA5713">
      <w:pPr>
        <w:pStyle w:val="Default"/>
        <w:spacing w:line="276" w:lineRule="auto"/>
        <w:jc w:val="both"/>
        <w:rPr>
          <w:rFonts w:ascii="Sylfaen" w:hAnsi="Sylfaen"/>
          <w:bCs/>
        </w:rPr>
      </w:pPr>
    </w:p>
    <w:p w:rsidR="00FA5713" w:rsidRPr="00164081" w:rsidRDefault="00FA5713" w:rsidP="00FA5713">
      <w:pPr>
        <w:pStyle w:val="Default"/>
        <w:spacing w:line="276" w:lineRule="auto"/>
        <w:jc w:val="both"/>
        <w:rPr>
          <w:rFonts w:ascii="Berlin Sans FB Demi" w:hAnsi="Berlin Sans FB Demi"/>
          <w:bCs/>
          <w:sz w:val="20"/>
          <w:szCs w:val="20"/>
          <w:u w:val="single"/>
        </w:rPr>
      </w:pPr>
      <w:r w:rsidRPr="00164081">
        <w:rPr>
          <w:rFonts w:ascii="Berlin Sans FB Demi" w:hAnsi="Berlin Sans FB Demi"/>
          <w:bCs/>
          <w:sz w:val="20"/>
          <w:szCs w:val="20"/>
          <w:u w:val="single"/>
        </w:rPr>
        <w:t>Reporting requirement of Company:</w:t>
      </w:r>
    </w:p>
    <w:p w:rsidR="00FA5713" w:rsidRPr="00164081" w:rsidRDefault="00FA5713" w:rsidP="00FA5713">
      <w:pPr>
        <w:pStyle w:val="Default"/>
        <w:spacing w:line="276" w:lineRule="auto"/>
        <w:jc w:val="both"/>
        <w:rPr>
          <w:rFonts w:ascii="Sylfaen" w:hAnsi="Sylfaen"/>
          <w:bCs/>
        </w:rPr>
      </w:pPr>
      <w:r w:rsidRPr="00164081">
        <w:rPr>
          <w:rFonts w:ascii="Sylfaen" w:hAnsi="Sylfaen"/>
          <w:bCs/>
        </w:rPr>
        <w:t>An Indian company which has issued shares to FIIs/FPIs under the FDI Policy for which the payment has been received directly into company’s account should report these figures separately under item no. 5 of Form FC-GPR.</w:t>
      </w:r>
    </w:p>
    <w:p w:rsidR="00FA5713" w:rsidRPr="00164081" w:rsidRDefault="00FA5713" w:rsidP="00FA5713">
      <w:pPr>
        <w:pStyle w:val="Default"/>
        <w:spacing w:line="276" w:lineRule="auto"/>
        <w:jc w:val="both"/>
        <w:rPr>
          <w:rFonts w:ascii="Berlin Sans FB Demi" w:hAnsi="Berlin Sans FB Demi"/>
          <w:bCs/>
          <w:sz w:val="20"/>
          <w:szCs w:val="20"/>
          <w:u w:val="single"/>
        </w:rPr>
      </w:pPr>
    </w:p>
    <w:p w:rsidR="00FA5713" w:rsidRPr="00164081" w:rsidRDefault="00FA5713" w:rsidP="00FA5713">
      <w:pPr>
        <w:pStyle w:val="Default"/>
        <w:spacing w:line="276" w:lineRule="auto"/>
        <w:jc w:val="both"/>
        <w:rPr>
          <w:rFonts w:ascii="Berlin Sans FB Demi" w:hAnsi="Berlin Sans FB Demi"/>
          <w:bCs/>
          <w:sz w:val="20"/>
          <w:szCs w:val="20"/>
          <w:u w:val="single"/>
        </w:rPr>
      </w:pPr>
      <w:r w:rsidRPr="00164081">
        <w:rPr>
          <w:rFonts w:ascii="Berlin Sans FB Demi" w:hAnsi="Berlin Sans FB Demi"/>
          <w:bCs/>
          <w:sz w:val="20"/>
          <w:szCs w:val="20"/>
          <w:u w:val="single"/>
        </w:rPr>
        <w:t>Reporting Custodian Bank:</w:t>
      </w:r>
    </w:p>
    <w:p w:rsidR="00FA5713" w:rsidRPr="00164081" w:rsidRDefault="00FA5713" w:rsidP="00FA5713">
      <w:pPr>
        <w:pStyle w:val="Default"/>
        <w:spacing w:line="276" w:lineRule="auto"/>
        <w:jc w:val="both"/>
        <w:rPr>
          <w:sz w:val="22"/>
          <w:szCs w:val="22"/>
        </w:rPr>
      </w:pPr>
      <w:r w:rsidRPr="00164081">
        <w:rPr>
          <w:rFonts w:ascii="Sylfaen" w:hAnsi="Sylfaen"/>
          <w:bCs/>
        </w:rPr>
        <w:t>A daily statement in respect of all transactions (except derivative trade) has to be submitted by the custodian bank in soft copy in the prescribed format directly to RBI and also uploaded directly on the OFRS web site.</w:t>
      </w:r>
      <w:r w:rsidRPr="00164081">
        <w:rPr>
          <w:sz w:val="22"/>
          <w:szCs w:val="22"/>
        </w:rPr>
        <w:t xml:space="preserve"> (</w:t>
      </w:r>
      <w:hyperlink r:id="rId13" w:history="1">
        <w:r w:rsidRPr="00164081">
          <w:rPr>
            <w:rStyle w:val="Hyperlink"/>
            <w:sz w:val="22"/>
            <w:szCs w:val="22"/>
          </w:rPr>
          <w:t>https://secweb.rbi.org.in/ORFSMainWeb/Login.jsp</w:t>
        </w:r>
      </w:hyperlink>
      <w:r w:rsidRPr="00164081">
        <w:rPr>
          <w:sz w:val="22"/>
          <w:szCs w:val="22"/>
        </w:rPr>
        <w:t>).</w:t>
      </w:r>
    </w:p>
    <w:p w:rsidR="00FA5713" w:rsidRPr="00164081" w:rsidRDefault="00FA5713" w:rsidP="00FA5713">
      <w:pPr>
        <w:pStyle w:val="Default"/>
        <w:spacing w:line="276" w:lineRule="auto"/>
        <w:jc w:val="both"/>
        <w:rPr>
          <w:sz w:val="22"/>
          <w:szCs w:val="22"/>
        </w:rPr>
      </w:pPr>
    </w:p>
    <w:p w:rsidR="00E17E5A" w:rsidRPr="00164081" w:rsidRDefault="00E17E5A" w:rsidP="00052FA3">
      <w:pPr>
        <w:rPr>
          <w:rFonts w:ascii="Hobo std" w:hAnsi="Hobo std"/>
          <w:b/>
          <w:color w:val="244061" w:themeColor="accent1" w:themeShade="80"/>
          <w:u w:val="single"/>
        </w:rPr>
      </w:pPr>
      <w:r w:rsidRPr="00164081">
        <w:rPr>
          <w:rFonts w:ascii="Comic Sans MS" w:hAnsi="Comic Sans MS"/>
          <w:color w:val="244061" w:themeColor="accent1" w:themeShade="80"/>
          <w:sz w:val="26"/>
          <w:szCs w:val="26"/>
          <w:u w:val="single"/>
        </w:rPr>
        <w:t>Eligible investee entities</w:t>
      </w:r>
      <w:r w:rsidRPr="00164081">
        <w:rPr>
          <w:rFonts w:ascii="Hobo std" w:hAnsi="Hobo std"/>
          <w:b/>
          <w:color w:val="244061" w:themeColor="accent1" w:themeShade="80"/>
          <w:u w:val="single"/>
        </w:rPr>
        <w:t>:</w:t>
      </w:r>
    </w:p>
    <w:p w:rsidR="00EC3F06" w:rsidRPr="00164081" w:rsidRDefault="00EC3F06" w:rsidP="00E17E5A">
      <w:pPr>
        <w:pStyle w:val="Default"/>
        <w:jc w:val="both"/>
        <w:rPr>
          <w:rFonts w:ascii="Hobo std" w:hAnsi="Hobo std"/>
          <w:b/>
          <w:color w:val="244061" w:themeColor="accent1" w:themeShade="80"/>
          <w:u w:val="single"/>
        </w:rPr>
      </w:pPr>
    </w:p>
    <w:p w:rsidR="00EC3F06" w:rsidRPr="00164081" w:rsidRDefault="00EC3F06" w:rsidP="00E17E5A">
      <w:pPr>
        <w:pStyle w:val="Default"/>
        <w:jc w:val="both"/>
        <w:rPr>
          <w:rFonts w:ascii="Hobo std" w:hAnsi="Hobo std"/>
          <w:b/>
          <w:color w:val="244061" w:themeColor="accent1" w:themeShade="80"/>
          <w:u w:val="single"/>
        </w:rPr>
      </w:pPr>
    </w:p>
    <w:p w:rsidR="00EC3F06" w:rsidRPr="00164081" w:rsidRDefault="00EC3F06" w:rsidP="00E17E5A">
      <w:pPr>
        <w:pStyle w:val="Default"/>
        <w:jc w:val="both"/>
        <w:rPr>
          <w:rFonts w:ascii="Hobo std" w:hAnsi="Hobo std"/>
          <w:b/>
          <w:color w:val="244061" w:themeColor="accent1" w:themeShade="80"/>
          <w:u w:val="single"/>
        </w:rPr>
      </w:pPr>
      <w:r w:rsidRPr="00164081">
        <w:rPr>
          <w:rFonts w:ascii="Hobo std" w:hAnsi="Hobo std"/>
          <w:b/>
          <w:noProof/>
          <w:color w:val="244061" w:themeColor="accent1" w:themeShade="80"/>
        </w:rPr>
        <w:lastRenderedPageBreak/>
        <w:drawing>
          <wp:inline distT="0" distB="0" distL="0" distR="0">
            <wp:extent cx="6096000" cy="3133725"/>
            <wp:effectExtent l="0" t="19050" r="0" b="2857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E17E5A" w:rsidRPr="00164081" w:rsidRDefault="00E17E5A" w:rsidP="00E17E5A">
      <w:pPr>
        <w:pStyle w:val="Default"/>
        <w:jc w:val="both"/>
        <w:rPr>
          <w:rFonts w:ascii="Hobo std" w:hAnsi="Hobo std"/>
          <w:b/>
          <w:color w:val="244061" w:themeColor="accent1" w:themeShade="80"/>
          <w:u w:val="single"/>
        </w:rPr>
      </w:pPr>
    </w:p>
    <w:p w:rsidR="00E17E5A" w:rsidRPr="00164081" w:rsidRDefault="00E17E5A" w:rsidP="00E17E5A">
      <w:pPr>
        <w:pStyle w:val="Default"/>
        <w:numPr>
          <w:ilvl w:val="0"/>
          <w:numId w:val="10"/>
        </w:numPr>
        <w:spacing w:line="276" w:lineRule="auto"/>
        <w:ind w:left="0" w:hanging="270"/>
        <w:jc w:val="both"/>
        <w:rPr>
          <w:rFonts w:ascii="Sylfaen" w:hAnsi="Sylfaen"/>
          <w:bCs/>
          <w:u w:val="single"/>
        </w:rPr>
      </w:pPr>
      <w:r w:rsidRPr="00164081">
        <w:rPr>
          <w:rFonts w:ascii="Sylfaen" w:hAnsi="Sylfaen"/>
          <w:bCs/>
          <w:u w:val="single"/>
        </w:rPr>
        <w:t>FDI in an Indian Company:</w:t>
      </w:r>
    </w:p>
    <w:p w:rsidR="00E17E5A" w:rsidRPr="00164081" w:rsidRDefault="00E17E5A" w:rsidP="00E17E5A">
      <w:pPr>
        <w:pStyle w:val="Default"/>
        <w:spacing w:line="276" w:lineRule="auto"/>
        <w:jc w:val="both"/>
        <w:rPr>
          <w:rFonts w:ascii="Sylfaen" w:hAnsi="Sylfaen"/>
          <w:bCs/>
        </w:rPr>
      </w:pPr>
      <w:r w:rsidRPr="00164081">
        <w:rPr>
          <w:rFonts w:ascii="Sylfaen" w:hAnsi="Sylfaen"/>
          <w:bCs/>
        </w:rPr>
        <w:t>Indian companies can issue capital against FDI</w:t>
      </w:r>
    </w:p>
    <w:p w:rsidR="00E17E5A" w:rsidRPr="00164081" w:rsidRDefault="00E17E5A" w:rsidP="00E17E5A">
      <w:pPr>
        <w:pStyle w:val="Default"/>
        <w:spacing w:line="276" w:lineRule="auto"/>
        <w:jc w:val="both"/>
        <w:rPr>
          <w:rFonts w:ascii="Sylfaen" w:hAnsi="Sylfaen"/>
          <w:bCs/>
          <w:u w:val="single"/>
        </w:rPr>
      </w:pPr>
    </w:p>
    <w:p w:rsidR="00E17E5A" w:rsidRPr="00164081" w:rsidRDefault="00E17E5A" w:rsidP="00E17E5A">
      <w:pPr>
        <w:pStyle w:val="Default"/>
        <w:numPr>
          <w:ilvl w:val="0"/>
          <w:numId w:val="10"/>
        </w:numPr>
        <w:spacing w:line="276" w:lineRule="auto"/>
        <w:ind w:left="0" w:hanging="270"/>
        <w:jc w:val="both"/>
        <w:rPr>
          <w:rFonts w:ascii="Sylfaen" w:hAnsi="Sylfaen"/>
          <w:bCs/>
          <w:u w:val="single"/>
        </w:rPr>
      </w:pPr>
      <w:r w:rsidRPr="00164081">
        <w:rPr>
          <w:rFonts w:ascii="Sylfaen" w:hAnsi="Sylfaen"/>
          <w:bCs/>
          <w:u w:val="single"/>
        </w:rPr>
        <w:t>FDI in Partnership Firm/Proprietary Concern:</w:t>
      </w:r>
    </w:p>
    <w:p w:rsidR="001B23E6" w:rsidRPr="00164081" w:rsidRDefault="00E17E5A" w:rsidP="001B23E6">
      <w:pPr>
        <w:pStyle w:val="Default"/>
        <w:numPr>
          <w:ilvl w:val="0"/>
          <w:numId w:val="13"/>
        </w:numPr>
        <w:spacing w:line="276" w:lineRule="auto"/>
        <w:ind w:left="0"/>
        <w:jc w:val="both"/>
        <w:rPr>
          <w:rFonts w:ascii="Sylfaen" w:hAnsi="Sylfaen"/>
          <w:bCs/>
        </w:rPr>
      </w:pPr>
      <w:r w:rsidRPr="00164081">
        <w:rPr>
          <w:rFonts w:ascii="Sylfaen" w:hAnsi="Sylfaen"/>
          <w:bCs/>
        </w:rPr>
        <w:t xml:space="preserve">A Non-Resident Indian (NRI) or a Person of Indian Origin (PIO) resident outside India can invest in the </w:t>
      </w:r>
      <w:r w:rsidRPr="00164081">
        <w:rPr>
          <w:rFonts w:ascii="Sylfaen" w:hAnsi="Sylfaen"/>
          <w:bCs/>
          <w:i/>
        </w:rPr>
        <w:t>CAPITAL</w:t>
      </w:r>
      <w:r w:rsidRPr="00164081">
        <w:rPr>
          <w:rFonts w:ascii="Sylfaen" w:hAnsi="Sylfaen"/>
          <w:bCs/>
        </w:rPr>
        <w:t xml:space="preserve"> of a firm or a proprietary concern in India on </w:t>
      </w:r>
      <w:r w:rsidRPr="00164081">
        <w:rPr>
          <w:rFonts w:ascii="Sylfaen" w:hAnsi="Sylfaen"/>
          <w:bCs/>
          <w:u w:val="single"/>
        </w:rPr>
        <w:t>non-repatriation basis</w:t>
      </w:r>
      <w:r w:rsidRPr="00164081">
        <w:rPr>
          <w:rFonts w:ascii="Sylfaen" w:hAnsi="Sylfaen"/>
          <w:bCs/>
        </w:rPr>
        <w:t xml:space="preserve"> </w:t>
      </w:r>
      <w:r w:rsidR="001B23E6" w:rsidRPr="00164081">
        <w:rPr>
          <w:rFonts w:ascii="Sylfaen" w:hAnsi="Sylfaen"/>
          <w:bCs/>
        </w:rPr>
        <w:t>:</w:t>
      </w:r>
    </w:p>
    <w:p w:rsidR="001B23E6" w:rsidRPr="00164081" w:rsidRDefault="001B23E6" w:rsidP="00E17E5A">
      <w:pPr>
        <w:pStyle w:val="Default"/>
        <w:spacing w:line="276" w:lineRule="auto"/>
        <w:jc w:val="both"/>
        <w:rPr>
          <w:rFonts w:ascii="Berlin Sans FB Demi" w:hAnsi="Berlin Sans FB Demi"/>
          <w:bCs/>
          <w:sz w:val="20"/>
          <w:szCs w:val="20"/>
          <w:u w:val="single"/>
        </w:rPr>
      </w:pPr>
    </w:p>
    <w:p w:rsidR="00E17E5A" w:rsidRPr="00164081" w:rsidRDefault="00E17E5A" w:rsidP="00E17E5A">
      <w:pPr>
        <w:pStyle w:val="Default"/>
        <w:spacing w:line="276" w:lineRule="auto"/>
        <w:jc w:val="both"/>
        <w:rPr>
          <w:rFonts w:ascii="Sylfaen" w:hAnsi="Sylfaen"/>
          <w:bCs/>
        </w:rPr>
      </w:pPr>
      <w:r w:rsidRPr="00164081">
        <w:rPr>
          <w:rFonts w:ascii="Berlin Sans FB Demi" w:hAnsi="Berlin Sans FB Demi"/>
          <w:bCs/>
          <w:sz w:val="20"/>
          <w:szCs w:val="20"/>
          <w:u w:val="single"/>
        </w:rPr>
        <w:t>Condition:</w:t>
      </w:r>
    </w:p>
    <w:p w:rsidR="00E17E5A" w:rsidRPr="00164081" w:rsidRDefault="001B23E6" w:rsidP="001B23E6">
      <w:pPr>
        <w:pStyle w:val="Default"/>
        <w:numPr>
          <w:ilvl w:val="0"/>
          <w:numId w:val="12"/>
        </w:numPr>
        <w:spacing w:line="276" w:lineRule="auto"/>
        <w:ind w:left="180" w:hanging="180"/>
        <w:jc w:val="both"/>
        <w:rPr>
          <w:rFonts w:ascii="Sylfaen" w:hAnsi="Sylfaen"/>
          <w:bCs/>
        </w:rPr>
      </w:pPr>
      <w:r w:rsidRPr="00164081">
        <w:rPr>
          <w:rFonts w:ascii="Sylfaen" w:hAnsi="Sylfaen"/>
          <w:bCs/>
        </w:rPr>
        <w:t>Amount is invested by inward remittance or out of NRE/</w:t>
      </w:r>
      <w:proofErr w:type="gramStart"/>
      <w:r w:rsidRPr="00164081">
        <w:rPr>
          <w:rFonts w:ascii="Sylfaen" w:hAnsi="Sylfaen"/>
          <w:bCs/>
        </w:rPr>
        <w:t>FCNR(</w:t>
      </w:r>
      <w:proofErr w:type="gramEnd"/>
      <w:r w:rsidRPr="00164081">
        <w:rPr>
          <w:rFonts w:ascii="Sylfaen" w:hAnsi="Sylfaen"/>
          <w:bCs/>
        </w:rPr>
        <w:t>B)/NRO account maintained with Authorized Dealers/Authorized banks.</w:t>
      </w:r>
    </w:p>
    <w:p w:rsidR="001B23E6" w:rsidRPr="00164081" w:rsidRDefault="001B23E6" w:rsidP="001B23E6">
      <w:pPr>
        <w:pStyle w:val="Default"/>
        <w:numPr>
          <w:ilvl w:val="0"/>
          <w:numId w:val="12"/>
        </w:numPr>
        <w:spacing w:line="276" w:lineRule="auto"/>
        <w:ind w:left="180" w:hanging="180"/>
        <w:jc w:val="both"/>
        <w:rPr>
          <w:rFonts w:ascii="Sylfaen" w:hAnsi="Sylfaen"/>
          <w:bCs/>
        </w:rPr>
      </w:pPr>
      <w:r w:rsidRPr="00164081">
        <w:rPr>
          <w:rFonts w:ascii="Berlin Sans FB Demi" w:hAnsi="Berlin Sans FB Demi"/>
          <w:bCs/>
          <w:sz w:val="20"/>
          <w:szCs w:val="20"/>
          <w:u w:val="single"/>
        </w:rPr>
        <w:t>Restricted Activity:</w:t>
      </w:r>
      <w:r w:rsidRPr="00164081">
        <w:rPr>
          <w:rFonts w:ascii="Sylfaen" w:hAnsi="Sylfaen"/>
          <w:bCs/>
        </w:rPr>
        <w:t xml:space="preserve"> The firm or proprietary concern is not engaged in any agricultural/plantation or real estate business or print media sector.</w:t>
      </w:r>
    </w:p>
    <w:p w:rsidR="001B23E6" w:rsidRPr="00164081" w:rsidRDefault="001B23E6" w:rsidP="001B23E6">
      <w:pPr>
        <w:pStyle w:val="Default"/>
        <w:numPr>
          <w:ilvl w:val="0"/>
          <w:numId w:val="12"/>
        </w:numPr>
        <w:spacing w:line="276" w:lineRule="auto"/>
        <w:ind w:left="180" w:hanging="180"/>
        <w:jc w:val="both"/>
        <w:rPr>
          <w:rFonts w:ascii="Sylfaen" w:hAnsi="Sylfaen"/>
          <w:bCs/>
        </w:rPr>
      </w:pPr>
      <w:r w:rsidRPr="00164081">
        <w:rPr>
          <w:rFonts w:ascii="Sylfaen" w:hAnsi="Sylfaen"/>
          <w:bCs/>
        </w:rPr>
        <w:t>Amount invested shall not be eligible for repatriation outside India</w:t>
      </w:r>
    </w:p>
    <w:p w:rsidR="001B23E6" w:rsidRPr="00164081" w:rsidRDefault="001B23E6" w:rsidP="001B23E6">
      <w:pPr>
        <w:pStyle w:val="Default"/>
        <w:spacing w:line="276" w:lineRule="auto"/>
        <w:jc w:val="both"/>
        <w:rPr>
          <w:rFonts w:ascii="Sylfaen" w:hAnsi="Sylfaen"/>
          <w:bCs/>
        </w:rPr>
      </w:pPr>
    </w:p>
    <w:p w:rsidR="001B23E6" w:rsidRPr="00164081" w:rsidRDefault="001B23E6" w:rsidP="001B23E6">
      <w:pPr>
        <w:pStyle w:val="Default"/>
        <w:numPr>
          <w:ilvl w:val="0"/>
          <w:numId w:val="13"/>
        </w:numPr>
        <w:spacing w:line="276" w:lineRule="auto"/>
        <w:ind w:left="0"/>
        <w:jc w:val="both"/>
        <w:rPr>
          <w:rFonts w:ascii="Sylfaen" w:hAnsi="Sylfaen"/>
          <w:bCs/>
        </w:rPr>
      </w:pPr>
      <w:r w:rsidRPr="00164081">
        <w:rPr>
          <w:rFonts w:ascii="Sylfaen" w:hAnsi="Sylfaen"/>
          <w:bCs/>
          <w:u w:val="single"/>
        </w:rPr>
        <w:t>Investments with repatriation option</w:t>
      </w:r>
      <w:r w:rsidRPr="00164081">
        <w:rPr>
          <w:sz w:val="22"/>
          <w:szCs w:val="22"/>
        </w:rPr>
        <w:t>:</w:t>
      </w:r>
    </w:p>
    <w:p w:rsidR="00D2410B" w:rsidRPr="00164081" w:rsidRDefault="001B23E6" w:rsidP="00D2410B">
      <w:pPr>
        <w:pStyle w:val="Default"/>
        <w:numPr>
          <w:ilvl w:val="0"/>
          <w:numId w:val="12"/>
        </w:numPr>
        <w:spacing w:line="276" w:lineRule="auto"/>
        <w:ind w:left="180" w:hanging="180"/>
        <w:jc w:val="both"/>
        <w:rPr>
          <w:rFonts w:ascii="Sylfaen" w:hAnsi="Sylfaen"/>
          <w:bCs/>
        </w:rPr>
      </w:pPr>
      <w:r w:rsidRPr="00164081">
        <w:rPr>
          <w:rFonts w:ascii="Sylfaen" w:hAnsi="Sylfaen"/>
          <w:bCs/>
        </w:rPr>
        <w:t xml:space="preserve">NRIs/PIO may seek prior permission of Reserve Bank for investment in sole proprietorship concerns/partnership firms with repatriation option. </w:t>
      </w:r>
    </w:p>
    <w:p w:rsidR="00E17E5A" w:rsidRPr="00164081" w:rsidRDefault="001B23E6" w:rsidP="00D2410B">
      <w:pPr>
        <w:pStyle w:val="Default"/>
        <w:numPr>
          <w:ilvl w:val="0"/>
          <w:numId w:val="12"/>
        </w:numPr>
        <w:spacing w:line="276" w:lineRule="auto"/>
        <w:ind w:left="180" w:hanging="180"/>
        <w:jc w:val="both"/>
        <w:rPr>
          <w:rFonts w:ascii="Sylfaen" w:hAnsi="Sylfaen"/>
          <w:bCs/>
        </w:rPr>
      </w:pPr>
      <w:r w:rsidRPr="00164081">
        <w:rPr>
          <w:rFonts w:ascii="Sylfaen" w:hAnsi="Sylfaen"/>
          <w:bCs/>
        </w:rPr>
        <w:t>The application will be decided in consultation with the Government of India</w:t>
      </w:r>
    </w:p>
    <w:p w:rsidR="001B23E6" w:rsidRPr="00164081" w:rsidRDefault="001B23E6" w:rsidP="001B23E6">
      <w:pPr>
        <w:pStyle w:val="Default"/>
        <w:spacing w:line="276" w:lineRule="auto"/>
        <w:jc w:val="both"/>
        <w:rPr>
          <w:rFonts w:ascii="Sylfaen" w:hAnsi="Sylfaen"/>
          <w:bCs/>
        </w:rPr>
      </w:pPr>
    </w:p>
    <w:p w:rsidR="00D2410B" w:rsidRPr="00164081" w:rsidRDefault="00D2410B" w:rsidP="00D2410B">
      <w:pPr>
        <w:pStyle w:val="Default"/>
        <w:numPr>
          <w:ilvl w:val="0"/>
          <w:numId w:val="13"/>
        </w:numPr>
        <w:spacing w:line="276" w:lineRule="auto"/>
        <w:ind w:left="0"/>
        <w:jc w:val="both"/>
        <w:rPr>
          <w:rFonts w:ascii="Sylfaen" w:hAnsi="Sylfaen"/>
          <w:bCs/>
        </w:rPr>
      </w:pPr>
      <w:r w:rsidRPr="00164081">
        <w:rPr>
          <w:rFonts w:ascii="Sylfaen" w:hAnsi="Sylfaen"/>
          <w:bCs/>
          <w:u w:val="single"/>
        </w:rPr>
        <w:t>Investment by non-residents other than NRIs/PIO</w:t>
      </w:r>
      <w:r w:rsidRPr="00164081">
        <w:rPr>
          <w:sz w:val="22"/>
          <w:szCs w:val="22"/>
        </w:rPr>
        <w:t>:</w:t>
      </w:r>
    </w:p>
    <w:p w:rsidR="00D2410B" w:rsidRPr="00164081" w:rsidRDefault="00D2410B" w:rsidP="00D2410B">
      <w:pPr>
        <w:pStyle w:val="Default"/>
        <w:spacing w:line="276" w:lineRule="auto"/>
        <w:jc w:val="both"/>
        <w:rPr>
          <w:rFonts w:ascii="Sylfaen" w:hAnsi="Sylfaen"/>
          <w:bCs/>
        </w:rPr>
      </w:pPr>
    </w:p>
    <w:p w:rsidR="00D2410B" w:rsidRPr="00164081" w:rsidRDefault="00D2410B" w:rsidP="00D2410B">
      <w:pPr>
        <w:pStyle w:val="Default"/>
        <w:numPr>
          <w:ilvl w:val="0"/>
          <w:numId w:val="12"/>
        </w:numPr>
        <w:spacing w:line="276" w:lineRule="auto"/>
        <w:ind w:left="180" w:hanging="180"/>
        <w:jc w:val="both"/>
        <w:rPr>
          <w:rFonts w:ascii="Sylfaen" w:hAnsi="Sylfaen"/>
          <w:bCs/>
        </w:rPr>
      </w:pPr>
      <w:r w:rsidRPr="00164081">
        <w:rPr>
          <w:rFonts w:ascii="Berlin Sans FB Demi" w:hAnsi="Berlin Sans FB Demi"/>
          <w:bCs/>
          <w:sz w:val="20"/>
          <w:szCs w:val="20"/>
          <w:u w:val="single"/>
        </w:rPr>
        <w:t xml:space="preserve">Prior Approval of RBI: </w:t>
      </w:r>
      <w:r w:rsidRPr="00164081">
        <w:rPr>
          <w:rFonts w:ascii="Sylfaen" w:hAnsi="Sylfaen"/>
          <w:bCs/>
        </w:rPr>
        <w:t>Person resident outside India other than NRIs/PIO may make an application and seek prior approval of Reserve Bank for making investment in the capital of a firm or a proprietorship concern or any association of persons in India</w:t>
      </w:r>
    </w:p>
    <w:p w:rsidR="00D2410B" w:rsidRPr="00164081" w:rsidRDefault="00D2410B" w:rsidP="00D2410B">
      <w:pPr>
        <w:pStyle w:val="Default"/>
        <w:numPr>
          <w:ilvl w:val="0"/>
          <w:numId w:val="12"/>
        </w:numPr>
        <w:spacing w:line="276" w:lineRule="auto"/>
        <w:ind w:left="180" w:hanging="180"/>
        <w:jc w:val="both"/>
        <w:rPr>
          <w:rFonts w:ascii="Sylfaen" w:hAnsi="Sylfaen"/>
          <w:bCs/>
        </w:rPr>
      </w:pPr>
      <w:r w:rsidRPr="00164081">
        <w:rPr>
          <w:rFonts w:ascii="Berlin Sans FB Demi" w:hAnsi="Berlin Sans FB Demi"/>
          <w:b/>
          <w:bCs/>
          <w:sz w:val="20"/>
          <w:szCs w:val="20"/>
          <w:u w:val="single"/>
        </w:rPr>
        <w:t>Consultation with GOVT of India:</w:t>
      </w:r>
      <w:r w:rsidRPr="00164081">
        <w:rPr>
          <w:rFonts w:ascii="Sylfaen" w:hAnsi="Sylfaen"/>
          <w:bCs/>
        </w:rPr>
        <w:t xml:space="preserve"> The application will be decided in consultation with the Government of India.</w:t>
      </w:r>
    </w:p>
    <w:p w:rsidR="00D2410B" w:rsidRPr="00164081" w:rsidRDefault="00D2410B" w:rsidP="00D2410B">
      <w:pPr>
        <w:pStyle w:val="Default"/>
        <w:numPr>
          <w:ilvl w:val="0"/>
          <w:numId w:val="12"/>
        </w:numPr>
        <w:spacing w:line="276" w:lineRule="auto"/>
        <w:ind w:left="180" w:hanging="180"/>
        <w:jc w:val="both"/>
        <w:rPr>
          <w:rFonts w:ascii="Sylfaen" w:hAnsi="Sylfaen"/>
          <w:bCs/>
        </w:rPr>
      </w:pPr>
      <w:r w:rsidRPr="00164081">
        <w:rPr>
          <w:rFonts w:ascii="Berlin Sans FB Demi" w:hAnsi="Berlin Sans FB Demi"/>
          <w:b/>
          <w:bCs/>
          <w:sz w:val="20"/>
          <w:szCs w:val="20"/>
          <w:u w:val="single"/>
        </w:rPr>
        <w:t>Restricted Activity:</w:t>
      </w:r>
      <w:r w:rsidRPr="00164081">
        <w:rPr>
          <w:sz w:val="22"/>
          <w:szCs w:val="22"/>
        </w:rPr>
        <w:t xml:space="preserve"> </w:t>
      </w:r>
      <w:r w:rsidRPr="00164081">
        <w:rPr>
          <w:rFonts w:ascii="Sylfaen" w:hAnsi="Sylfaen"/>
          <w:bCs/>
        </w:rPr>
        <w:t>An NRI or PIO is not allowed to invest in a firm or proprietorship concern engaged in any agricultural/plantation activity or real estate business or print media.</w:t>
      </w:r>
    </w:p>
    <w:p w:rsidR="004D16A3" w:rsidRPr="00164081" w:rsidRDefault="004D16A3" w:rsidP="00D2410B">
      <w:pPr>
        <w:pStyle w:val="Default"/>
        <w:spacing w:line="276" w:lineRule="auto"/>
        <w:jc w:val="both"/>
        <w:rPr>
          <w:rFonts w:ascii="Sylfaen" w:hAnsi="Sylfaen"/>
          <w:bCs/>
        </w:rPr>
      </w:pPr>
    </w:p>
    <w:p w:rsidR="00D2410B" w:rsidRPr="00164081" w:rsidRDefault="00DF0F58" w:rsidP="00D2410B">
      <w:pPr>
        <w:pStyle w:val="Default"/>
        <w:spacing w:line="276" w:lineRule="auto"/>
        <w:jc w:val="both"/>
        <w:rPr>
          <w:rFonts w:ascii="Berlin Sans FB Demi" w:hAnsi="Berlin Sans FB Demi"/>
          <w:bCs/>
          <w:color w:val="002060"/>
          <w:u w:val="single"/>
        </w:rPr>
      </w:pPr>
      <w:r w:rsidRPr="00DF0F58">
        <w:rPr>
          <w:rFonts w:ascii="Sylfaen" w:hAnsi="Sylfaen"/>
          <w:bCs/>
          <w:noProof/>
        </w:rPr>
        <w:pict>
          <v:rect id="_x0000_s1026" style="position:absolute;left:0;text-align:left;margin-left:282pt;margin-top:13.35pt;width:210pt;height:131.25pt;z-index:251658240" fillcolor="#92cddc [1944]" strokecolor="#92cddc [1944]" strokeweight="1pt">
            <v:fill color2="#daeef3 [664]" angle="-45" focus="-50%" type="gradient"/>
            <v:shadow on="t" type="perspective" color="#205867 [1608]" opacity=".5" offset="1pt" offset2="-3pt"/>
            <v:textbox>
              <w:txbxContent>
                <w:p w:rsidR="004D16A3" w:rsidRDefault="004D16A3" w:rsidP="004D16A3">
                  <w:pPr>
                    <w:pStyle w:val="Default"/>
                    <w:spacing w:line="276" w:lineRule="auto"/>
                    <w:jc w:val="both"/>
                    <w:rPr>
                      <w:rFonts w:ascii="Sylfaen" w:hAnsi="Sylfaen"/>
                      <w:bCs/>
                    </w:rPr>
                  </w:pPr>
                  <w:r w:rsidRPr="00D2410B">
                    <w:rPr>
                      <w:rFonts w:ascii="Berlin Sans FB Demi" w:hAnsi="Berlin Sans FB Demi"/>
                      <w:bCs/>
                      <w:sz w:val="20"/>
                      <w:szCs w:val="20"/>
                      <w:u w:val="single"/>
                    </w:rPr>
                    <w:t>Restricted Activities for Investment by NRI or PIO:</w:t>
                  </w:r>
                  <w:r>
                    <w:rPr>
                      <w:rFonts w:ascii="Berlin Sans FB Demi" w:hAnsi="Berlin Sans FB Demi"/>
                      <w:bCs/>
                      <w:sz w:val="20"/>
                      <w:szCs w:val="20"/>
                      <w:u w:val="single"/>
                    </w:rPr>
                    <w:t xml:space="preserve"> </w:t>
                  </w:r>
                  <w:r>
                    <w:rPr>
                      <w:rFonts w:ascii="Sylfaen" w:hAnsi="Sylfaen"/>
                      <w:bCs/>
                    </w:rPr>
                    <w:t>In the Firm or Proprietorship engaged in:</w:t>
                  </w:r>
                </w:p>
                <w:p w:rsidR="004D16A3" w:rsidRDefault="004D16A3" w:rsidP="004D16A3">
                  <w:pPr>
                    <w:pStyle w:val="Default"/>
                    <w:numPr>
                      <w:ilvl w:val="0"/>
                      <w:numId w:val="14"/>
                    </w:numPr>
                    <w:spacing w:line="276" w:lineRule="auto"/>
                    <w:jc w:val="both"/>
                    <w:rPr>
                      <w:rFonts w:ascii="Sylfaen" w:hAnsi="Sylfaen"/>
                      <w:bCs/>
                    </w:rPr>
                  </w:pPr>
                  <w:r>
                    <w:rPr>
                      <w:rFonts w:ascii="Sylfaen" w:hAnsi="Sylfaen"/>
                      <w:bCs/>
                    </w:rPr>
                    <w:t>Agriculture activity</w:t>
                  </w:r>
                </w:p>
                <w:p w:rsidR="004D16A3" w:rsidRDefault="004D16A3" w:rsidP="004D16A3">
                  <w:pPr>
                    <w:pStyle w:val="Default"/>
                    <w:numPr>
                      <w:ilvl w:val="0"/>
                      <w:numId w:val="14"/>
                    </w:numPr>
                    <w:spacing w:line="276" w:lineRule="auto"/>
                    <w:jc w:val="both"/>
                    <w:rPr>
                      <w:rFonts w:ascii="Sylfaen" w:hAnsi="Sylfaen"/>
                      <w:bCs/>
                    </w:rPr>
                  </w:pPr>
                  <w:r>
                    <w:rPr>
                      <w:rFonts w:ascii="Sylfaen" w:hAnsi="Sylfaen"/>
                      <w:bCs/>
                    </w:rPr>
                    <w:t>Plantation Activity</w:t>
                  </w:r>
                </w:p>
                <w:p w:rsidR="004D16A3" w:rsidRDefault="004D16A3" w:rsidP="004D16A3">
                  <w:pPr>
                    <w:pStyle w:val="Default"/>
                    <w:numPr>
                      <w:ilvl w:val="0"/>
                      <w:numId w:val="14"/>
                    </w:numPr>
                    <w:spacing w:line="276" w:lineRule="auto"/>
                    <w:jc w:val="both"/>
                    <w:rPr>
                      <w:rFonts w:ascii="Sylfaen" w:hAnsi="Sylfaen"/>
                      <w:bCs/>
                    </w:rPr>
                  </w:pPr>
                  <w:r>
                    <w:rPr>
                      <w:rFonts w:ascii="Sylfaen" w:hAnsi="Sylfaen"/>
                      <w:bCs/>
                    </w:rPr>
                    <w:t>Real Estate Business</w:t>
                  </w:r>
                </w:p>
                <w:p w:rsidR="004D16A3" w:rsidRPr="00FA5713" w:rsidRDefault="004D16A3" w:rsidP="004D16A3">
                  <w:pPr>
                    <w:pStyle w:val="Default"/>
                    <w:numPr>
                      <w:ilvl w:val="0"/>
                      <w:numId w:val="14"/>
                    </w:numPr>
                    <w:spacing w:line="276" w:lineRule="auto"/>
                    <w:jc w:val="both"/>
                    <w:rPr>
                      <w:rFonts w:ascii="Sylfaen" w:hAnsi="Sylfaen"/>
                      <w:bCs/>
                    </w:rPr>
                  </w:pPr>
                  <w:r>
                    <w:rPr>
                      <w:rFonts w:ascii="Sylfaen" w:hAnsi="Sylfaen"/>
                      <w:bCs/>
                    </w:rPr>
                    <w:t>Print Media</w:t>
                  </w:r>
                </w:p>
                <w:p w:rsidR="004D16A3" w:rsidRPr="004D16A3" w:rsidRDefault="004D16A3" w:rsidP="004D16A3"/>
              </w:txbxContent>
            </v:textbox>
          </v:rect>
        </w:pict>
      </w:r>
      <w:r w:rsidR="00D2410B" w:rsidRPr="00164081">
        <w:rPr>
          <w:rFonts w:ascii="Berlin Sans FB Demi" w:hAnsi="Berlin Sans FB Demi"/>
          <w:bCs/>
          <w:color w:val="002060"/>
          <w:u w:val="single"/>
        </w:rPr>
        <w:t>**Note:</w:t>
      </w:r>
    </w:p>
    <w:p w:rsidR="00D2410B" w:rsidRPr="00164081" w:rsidRDefault="00D2410B" w:rsidP="00D2410B">
      <w:pPr>
        <w:pStyle w:val="Default"/>
        <w:spacing w:line="276" w:lineRule="auto"/>
        <w:jc w:val="both"/>
        <w:rPr>
          <w:rFonts w:ascii="Berlin Sans FB Demi" w:hAnsi="Berlin Sans FB Demi"/>
          <w:bCs/>
          <w:sz w:val="20"/>
          <w:szCs w:val="20"/>
          <w:u w:val="single"/>
        </w:rPr>
      </w:pPr>
      <w:r w:rsidRPr="00164081">
        <w:rPr>
          <w:rFonts w:ascii="Berlin Sans FB Demi" w:hAnsi="Berlin Sans FB Demi"/>
          <w:bCs/>
          <w:sz w:val="20"/>
          <w:szCs w:val="20"/>
          <w:u w:val="single"/>
        </w:rPr>
        <w:t>Restricted Activities for Investment by NRI or PIO:</w:t>
      </w:r>
    </w:p>
    <w:p w:rsidR="00D2410B" w:rsidRPr="00164081" w:rsidRDefault="00D2410B" w:rsidP="00D2410B">
      <w:pPr>
        <w:pStyle w:val="Default"/>
        <w:spacing w:line="276" w:lineRule="auto"/>
        <w:jc w:val="both"/>
        <w:rPr>
          <w:rFonts w:ascii="Sylfaen" w:hAnsi="Sylfaen"/>
          <w:bCs/>
        </w:rPr>
      </w:pPr>
      <w:r w:rsidRPr="00164081">
        <w:rPr>
          <w:rFonts w:ascii="Sylfaen" w:hAnsi="Sylfaen"/>
          <w:bCs/>
        </w:rPr>
        <w:t>In the Firm or Proprietorship engaged in:</w:t>
      </w:r>
    </w:p>
    <w:p w:rsidR="00D2410B" w:rsidRPr="00164081" w:rsidRDefault="00D2410B" w:rsidP="00D2410B">
      <w:pPr>
        <w:pStyle w:val="Default"/>
        <w:numPr>
          <w:ilvl w:val="0"/>
          <w:numId w:val="14"/>
        </w:numPr>
        <w:spacing w:line="276" w:lineRule="auto"/>
        <w:jc w:val="both"/>
        <w:rPr>
          <w:rFonts w:ascii="Sylfaen" w:hAnsi="Sylfaen"/>
          <w:bCs/>
        </w:rPr>
      </w:pPr>
      <w:r w:rsidRPr="00164081">
        <w:rPr>
          <w:rFonts w:ascii="Sylfaen" w:hAnsi="Sylfaen"/>
          <w:bCs/>
        </w:rPr>
        <w:t>Agriculture activity</w:t>
      </w:r>
    </w:p>
    <w:p w:rsidR="00D2410B" w:rsidRPr="00164081" w:rsidRDefault="00D2410B" w:rsidP="00D2410B">
      <w:pPr>
        <w:pStyle w:val="Default"/>
        <w:numPr>
          <w:ilvl w:val="0"/>
          <w:numId w:val="14"/>
        </w:numPr>
        <w:spacing w:line="276" w:lineRule="auto"/>
        <w:jc w:val="both"/>
        <w:rPr>
          <w:rFonts w:ascii="Sylfaen" w:hAnsi="Sylfaen"/>
          <w:bCs/>
        </w:rPr>
      </w:pPr>
      <w:r w:rsidRPr="00164081">
        <w:rPr>
          <w:rFonts w:ascii="Sylfaen" w:hAnsi="Sylfaen"/>
          <w:bCs/>
        </w:rPr>
        <w:t>Plantation Activity</w:t>
      </w:r>
    </w:p>
    <w:p w:rsidR="00D2410B" w:rsidRPr="00164081" w:rsidRDefault="00D2410B" w:rsidP="00D2410B">
      <w:pPr>
        <w:pStyle w:val="Default"/>
        <w:numPr>
          <w:ilvl w:val="0"/>
          <w:numId w:val="14"/>
        </w:numPr>
        <w:spacing w:line="276" w:lineRule="auto"/>
        <w:jc w:val="both"/>
        <w:rPr>
          <w:rFonts w:ascii="Sylfaen" w:hAnsi="Sylfaen"/>
          <w:bCs/>
        </w:rPr>
      </w:pPr>
      <w:r w:rsidRPr="00164081">
        <w:rPr>
          <w:rFonts w:ascii="Sylfaen" w:hAnsi="Sylfaen"/>
          <w:bCs/>
        </w:rPr>
        <w:t>Real Estate Business</w:t>
      </w:r>
    </w:p>
    <w:p w:rsidR="004D16A3" w:rsidRPr="00164081" w:rsidRDefault="00D2410B" w:rsidP="00D2410B">
      <w:pPr>
        <w:pStyle w:val="Default"/>
        <w:numPr>
          <w:ilvl w:val="0"/>
          <w:numId w:val="14"/>
        </w:numPr>
        <w:spacing w:line="276" w:lineRule="auto"/>
        <w:jc w:val="both"/>
        <w:rPr>
          <w:rFonts w:ascii="Sylfaen" w:hAnsi="Sylfaen"/>
          <w:bCs/>
        </w:rPr>
      </w:pPr>
      <w:r w:rsidRPr="00164081">
        <w:rPr>
          <w:rFonts w:ascii="Sylfaen" w:hAnsi="Sylfaen"/>
          <w:bCs/>
        </w:rPr>
        <w:t>Print Media</w:t>
      </w:r>
    </w:p>
    <w:p w:rsidR="004D16A3" w:rsidRPr="00164081" w:rsidRDefault="004D16A3" w:rsidP="004D16A3"/>
    <w:p w:rsidR="00AA3015" w:rsidRPr="00164081" w:rsidRDefault="00AA3015" w:rsidP="00AA3015">
      <w:pPr>
        <w:pStyle w:val="Default"/>
        <w:numPr>
          <w:ilvl w:val="0"/>
          <w:numId w:val="10"/>
        </w:numPr>
        <w:spacing w:line="276" w:lineRule="auto"/>
        <w:ind w:left="0" w:hanging="270"/>
        <w:jc w:val="both"/>
        <w:rPr>
          <w:rFonts w:ascii="Sylfaen" w:hAnsi="Sylfaen"/>
          <w:bCs/>
          <w:u w:val="single"/>
        </w:rPr>
      </w:pPr>
      <w:r w:rsidRPr="00164081">
        <w:rPr>
          <w:rFonts w:ascii="Sylfaen" w:hAnsi="Sylfaen"/>
          <w:bCs/>
          <w:u w:val="single"/>
        </w:rPr>
        <w:t>FDI in Trust:</w:t>
      </w:r>
    </w:p>
    <w:p w:rsidR="00AA3015" w:rsidRPr="00164081" w:rsidRDefault="00AA3015" w:rsidP="00AA3015">
      <w:pPr>
        <w:pStyle w:val="Default"/>
        <w:spacing w:line="276" w:lineRule="auto"/>
        <w:jc w:val="both"/>
        <w:rPr>
          <w:rFonts w:ascii="Sylfaen" w:hAnsi="Sylfaen"/>
          <w:bCs/>
        </w:rPr>
      </w:pPr>
      <w:r w:rsidRPr="00164081">
        <w:rPr>
          <w:rFonts w:ascii="Sylfaen" w:hAnsi="Sylfaen"/>
          <w:bCs/>
        </w:rPr>
        <w:t xml:space="preserve">FDI is not permitted in Trusts </w:t>
      </w:r>
    </w:p>
    <w:p w:rsidR="00AA3015" w:rsidRPr="00164081" w:rsidRDefault="00AA3015" w:rsidP="00AA3015">
      <w:pPr>
        <w:pStyle w:val="Default"/>
        <w:spacing w:line="276" w:lineRule="auto"/>
        <w:jc w:val="both"/>
        <w:rPr>
          <w:rFonts w:ascii="Sylfaen" w:hAnsi="Sylfaen"/>
          <w:bCs/>
        </w:rPr>
      </w:pPr>
      <w:r w:rsidRPr="00164081">
        <w:rPr>
          <w:rFonts w:ascii="Sylfaen" w:hAnsi="Sylfaen"/>
          <w:b/>
          <w:bCs/>
        </w:rPr>
        <w:t>Except</w:t>
      </w:r>
      <w:r w:rsidRPr="00164081">
        <w:rPr>
          <w:rFonts w:ascii="Sylfaen" w:hAnsi="Sylfaen"/>
          <w:bCs/>
        </w:rPr>
        <w:t>: ‘VCF’ registered and regulated by SEBI and ‘Investment vehicle’ can invest in the Trust.</w:t>
      </w:r>
    </w:p>
    <w:p w:rsidR="00A53FF1" w:rsidRPr="00164081" w:rsidRDefault="00A53FF1" w:rsidP="00AA3015">
      <w:pPr>
        <w:pStyle w:val="Default"/>
        <w:spacing w:line="276" w:lineRule="auto"/>
        <w:jc w:val="both"/>
        <w:rPr>
          <w:rFonts w:ascii="Sylfaen" w:hAnsi="Sylfaen"/>
          <w:bCs/>
        </w:rPr>
      </w:pPr>
    </w:p>
    <w:p w:rsidR="00A53FF1" w:rsidRPr="00164081" w:rsidRDefault="00A53FF1" w:rsidP="00A53FF1">
      <w:pPr>
        <w:pStyle w:val="Default"/>
        <w:numPr>
          <w:ilvl w:val="0"/>
          <w:numId w:val="10"/>
        </w:numPr>
        <w:spacing w:line="276" w:lineRule="auto"/>
        <w:ind w:left="0" w:hanging="270"/>
        <w:jc w:val="both"/>
        <w:rPr>
          <w:rFonts w:ascii="Sylfaen" w:hAnsi="Sylfaen"/>
          <w:bCs/>
          <w:u w:val="single"/>
        </w:rPr>
      </w:pPr>
      <w:r w:rsidRPr="00164081">
        <w:rPr>
          <w:rFonts w:ascii="Sylfaen" w:hAnsi="Sylfaen"/>
          <w:bCs/>
          <w:u w:val="single"/>
        </w:rPr>
        <w:t>FDI in Limited Liability Partnerships (LLPs):</w:t>
      </w:r>
    </w:p>
    <w:p w:rsidR="00A53FF1" w:rsidRPr="00164081" w:rsidRDefault="00A53FF1" w:rsidP="00A53FF1">
      <w:pPr>
        <w:pStyle w:val="Default"/>
        <w:spacing w:line="276" w:lineRule="auto"/>
        <w:jc w:val="both"/>
        <w:rPr>
          <w:rFonts w:ascii="Sylfaen" w:hAnsi="Sylfaen"/>
          <w:bCs/>
        </w:rPr>
      </w:pPr>
      <w:r w:rsidRPr="00164081">
        <w:rPr>
          <w:rFonts w:ascii="Sylfaen" w:hAnsi="Sylfaen"/>
          <w:bCs/>
        </w:rPr>
        <w:t>FDI in LLPs is permitted</w:t>
      </w:r>
    </w:p>
    <w:p w:rsidR="00A53FF1" w:rsidRPr="00164081" w:rsidRDefault="00A53FF1" w:rsidP="00A53FF1">
      <w:pPr>
        <w:pStyle w:val="Default"/>
        <w:spacing w:line="276" w:lineRule="auto"/>
        <w:jc w:val="both"/>
        <w:rPr>
          <w:rFonts w:ascii="Berlin Sans FB Demi" w:hAnsi="Berlin Sans FB Demi"/>
          <w:bCs/>
          <w:sz w:val="20"/>
          <w:szCs w:val="20"/>
          <w:u w:val="single"/>
        </w:rPr>
      </w:pPr>
    </w:p>
    <w:p w:rsidR="00A53FF1" w:rsidRPr="00164081" w:rsidRDefault="00A53FF1" w:rsidP="00A53FF1">
      <w:pPr>
        <w:pStyle w:val="Default"/>
        <w:spacing w:line="276" w:lineRule="auto"/>
        <w:jc w:val="both"/>
        <w:rPr>
          <w:rFonts w:ascii="Sylfaen" w:hAnsi="Sylfaen"/>
          <w:bCs/>
        </w:rPr>
      </w:pPr>
      <w:r w:rsidRPr="00164081">
        <w:rPr>
          <w:rFonts w:ascii="Berlin Sans FB Demi" w:hAnsi="Berlin Sans FB Demi"/>
          <w:bCs/>
          <w:sz w:val="20"/>
          <w:szCs w:val="20"/>
          <w:u w:val="single"/>
        </w:rPr>
        <w:t>Condition:</w:t>
      </w:r>
    </w:p>
    <w:p w:rsidR="00AA3015" w:rsidRPr="00164081" w:rsidRDefault="00D3460F" w:rsidP="00D3460F">
      <w:pPr>
        <w:pStyle w:val="Default"/>
        <w:numPr>
          <w:ilvl w:val="0"/>
          <w:numId w:val="12"/>
        </w:numPr>
        <w:spacing w:line="276" w:lineRule="auto"/>
        <w:ind w:left="180" w:hanging="180"/>
        <w:jc w:val="both"/>
        <w:rPr>
          <w:rFonts w:ascii="Berlin Sans FB Demi" w:hAnsi="Berlin Sans FB Demi"/>
          <w:bCs/>
          <w:sz w:val="20"/>
          <w:szCs w:val="20"/>
          <w:u w:val="single"/>
        </w:rPr>
      </w:pPr>
      <w:r w:rsidRPr="00164081">
        <w:rPr>
          <w:rFonts w:ascii="Berlin Sans FB Demi" w:hAnsi="Berlin Sans FB Demi"/>
          <w:bCs/>
          <w:sz w:val="20"/>
          <w:szCs w:val="20"/>
          <w:u w:val="single"/>
        </w:rPr>
        <w:t>Automatic Route:</w:t>
      </w:r>
    </w:p>
    <w:p w:rsidR="007D52E0" w:rsidRPr="00164081" w:rsidRDefault="007D52E0" w:rsidP="007D52E0">
      <w:pPr>
        <w:pStyle w:val="Default"/>
        <w:numPr>
          <w:ilvl w:val="0"/>
          <w:numId w:val="14"/>
        </w:numPr>
        <w:spacing w:line="276" w:lineRule="auto"/>
        <w:ind w:left="360" w:hanging="180"/>
        <w:jc w:val="both"/>
        <w:rPr>
          <w:rFonts w:ascii="Sylfaen" w:hAnsi="Sylfaen"/>
          <w:bCs/>
        </w:rPr>
      </w:pPr>
      <w:r w:rsidRPr="00164081">
        <w:rPr>
          <w:rFonts w:ascii="Sylfaen" w:hAnsi="Sylfaen"/>
          <w:bCs/>
        </w:rPr>
        <w:t xml:space="preserve">FDI is permitted under the automatic route in Limited Liability Partnership (LLPs) operating in sectors/activities where 100% FDI is allowed, through the automatic route and </w:t>
      </w:r>
    </w:p>
    <w:p w:rsidR="007D52E0" w:rsidRPr="00164081" w:rsidRDefault="007D52E0" w:rsidP="007D52E0">
      <w:pPr>
        <w:pStyle w:val="Default"/>
        <w:numPr>
          <w:ilvl w:val="0"/>
          <w:numId w:val="14"/>
        </w:numPr>
        <w:spacing w:line="276" w:lineRule="auto"/>
        <w:ind w:left="360" w:hanging="180"/>
        <w:jc w:val="both"/>
        <w:rPr>
          <w:rFonts w:ascii="Sylfaen" w:hAnsi="Sylfaen"/>
          <w:bCs/>
        </w:rPr>
      </w:pPr>
      <w:r w:rsidRPr="00164081">
        <w:rPr>
          <w:rFonts w:ascii="Sylfaen" w:hAnsi="Sylfaen"/>
          <w:bCs/>
        </w:rPr>
        <w:t xml:space="preserve">There are no FDI-linked performance conditions. </w:t>
      </w:r>
    </w:p>
    <w:p w:rsidR="007D52E0" w:rsidRPr="00164081" w:rsidRDefault="007D52E0" w:rsidP="007D52E0">
      <w:pPr>
        <w:pStyle w:val="Default"/>
        <w:spacing w:line="276" w:lineRule="auto"/>
        <w:jc w:val="both"/>
        <w:rPr>
          <w:rFonts w:ascii="Sylfaen" w:hAnsi="Sylfaen"/>
          <w:bCs/>
        </w:rPr>
      </w:pPr>
    </w:p>
    <w:p w:rsidR="00A0154F" w:rsidRPr="00164081" w:rsidRDefault="00A0154F" w:rsidP="007D52E0">
      <w:pPr>
        <w:pStyle w:val="Default"/>
        <w:spacing w:line="276" w:lineRule="auto"/>
        <w:jc w:val="both"/>
        <w:rPr>
          <w:rFonts w:ascii="Sylfaen" w:hAnsi="Sylfaen"/>
          <w:bCs/>
        </w:rPr>
      </w:pPr>
    </w:p>
    <w:p w:rsidR="00950D59" w:rsidRPr="00164081" w:rsidRDefault="00950D59" w:rsidP="00950D59">
      <w:pPr>
        <w:pStyle w:val="Default"/>
        <w:numPr>
          <w:ilvl w:val="0"/>
          <w:numId w:val="12"/>
        </w:numPr>
        <w:spacing w:line="276" w:lineRule="auto"/>
        <w:ind w:left="180" w:hanging="180"/>
        <w:jc w:val="both"/>
        <w:rPr>
          <w:rFonts w:ascii="Berlin Sans FB Demi" w:hAnsi="Berlin Sans FB Demi"/>
          <w:bCs/>
          <w:sz w:val="20"/>
          <w:szCs w:val="20"/>
          <w:u w:val="single"/>
        </w:rPr>
      </w:pPr>
      <w:r w:rsidRPr="00164081">
        <w:rPr>
          <w:rFonts w:ascii="Berlin Sans FB Demi" w:hAnsi="Berlin Sans FB Demi"/>
          <w:bCs/>
          <w:sz w:val="20"/>
          <w:szCs w:val="20"/>
          <w:u w:val="single"/>
        </w:rPr>
        <w:t>Down Stream Investment:</w:t>
      </w:r>
    </w:p>
    <w:p w:rsidR="00950D59" w:rsidRPr="00164081" w:rsidRDefault="00950D59" w:rsidP="00950D59">
      <w:pPr>
        <w:pStyle w:val="Default"/>
        <w:numPr>
          <w:ilvl w:val="0"/>
          <w:numId w:val="14"/>
        </w:numPr>
        <w:spacing w:line="276" w:lineRule="auto"/>
        <w:ind w:left="360" w:hanging="180"/>
        <w:jc w:val="both"/>
        <w:rPr>
          <w:rFonts w:ascii="Sylfaen" w:hAnsi="Sylfaen"/>
          <w:bCs/>
        </w:rPr>
      </w:pPr>
      <w:r w:rsidRPr="00164081">
        <w:rPr>
          <w:rFonts w:ascii="Sylfaen" w:hAnsi="Sylfaen"/>
          <w:bCs/>
        </w:rPr>
        <w:lastRenderedPageBreak/>
        <w:t xml:space="preserve">An Indian company or an LLP, having foreign investment, is also permitted to make downstream investment in another company or LLP in sectors in which 100% FDI is allowed under the automatic route and </w:t>
      </w:r>
    </w:p>
    <w:p w:rsidR="00950D59" w:rsidRPr="00164081" w:rsidRDefault="00950D59" w:rsidP="00950D59">
      <w:pPr>
        <w:pStyle w:val="Default"/>
        <w:numPr>
          <w:ilvl w:val="0"/>
          <w:numId w:val="14"/>
        </w:numPr>
        <w:spacing w:line="276" w:lineRule="auto"/>
        <w:ind w:left="360" w:hanging="180"/>
        <w:jc w:val="both"/>
        <w:rPr>
          <w:rFonts w:ascii="Sylfaen" w:hAnsi="Sylfaen"/>
          <w:bCs/>
        </w:rPr>
      </w:pPr>
      <w:r w:rsidRPr="00164081">
        <w:rPr>
          <w:rFonts w:ascii="Sylfaen" w:hAnsi="Sylfaen"/>
          <w:bCs/>
        </w:rPr>
        <w:t xml:space="preserve">There are no FDI-linked performance conditions </w:t>
      </w:r>
    </w:p>
    <w:p w:rsidR="00950D59" w:rsidRPr="00164081" w:rsidRDefault="00950D59" w:rsidP="00950D59">
      <w:pPr>
        <w:pStyle w:val="Default"/>
        <w:spacing w:line="276" w:lineRule="auto"/>
        <w:jc w:val="both"/>
        <w:rPr>
          <w:rFonts w:ascii="Berlin Sans FB Demi" w:hAnsi="Berlin Sans FB Demi"/>
          <w:bCs/>
          <w:sz w:val="20"/>
          <w:szCs w:val="20"/>
          <w:u w:val="single"/>
        </w:rPr>
      </w:pPr>
    </w:p>
    <w:p w:rsidR="00950D59" w:rsidRPr="00164081" w:rsidRDefault="00950D59" w:rsidP="00950D59">
      <w:pPr>
        <w:pStyle w:val="Default"/>
        <w:spacing w:line="276" w:lineRule="auto"/>
        <w:jc w:val="both"/>
        <w:rPr>
          <w:rFonts w:ascii="Berlin Sans FB Demi" w:hAnsi="Berlin Sans FB Demi"/>
          <w:bCs/>
          <w:sz w:val="20"/>
          <w:szCs w:val="20"/>
          <w:u w:val="single"/>
        </w:rPr>
      </w:pPr>
      <w:r w:rsidRPr="00164081">
        <w:rPr>
          <w:rFonts w:ascii="Berlin Sans FB Demi" w:hAnsi="Berlin Sans FB Demi"/>
          <w:bCs/>
          <w:sz w:val="20"/>
          <w:szCs w:val="20"/>
          <w:u w:val="single"/>
        </w:rPr>
        <w:t>Condition:</w:t>
      </w:r>
    </w:p>
    <w:p w:rsidR="00950D59" w:rsidRPr="00164081" w:rsidRDefault="00950D59" w:rsidP="00950D59">
      <w:pPr>
        <w:pStyle w:val="Default"/>
        <w:spacing w:line="276" w:lineRule="auto"/>
        <w:jc w:val="both"/>
        <w:rPr>
          <w:rFonts w:ascii="Sylfaen" w:hAnsi="Sylfaen"/>
          <w:bCs/>
        </w:rPr>
      </w:pPr>
      <w:r w:rsidRPr="00164081">
        <w:rPr>
          <w:rFonts w:ascii="Sylfaen" w:hAnsi="Sylfaen"/>
          <w:bCs/>
        </w:rPr>
        <w:t>Downstream investment only in LLP or Company which are working in the section in which are 100% FDI allowed.</w:t>
      </w:r>
    </w:p>
    <w:p w:rsidR="00A7664F" w:rsidRPr="00164081" w:rsidRDefault="00A7664F" w:rsidP="00A7664F">
      <w:pPr>
        <w:pStyle w:val="Default"/>
      </w:pPr>
    </w:p>
    <w:p w:rsidR="00A7664F" w:rsidRPr="00164081" w:rsidRDefault="00A7664F" w:rsidP="00A7664F">
      <w:pPr>
        <w:pStyle w:val="Default"/>
        <w:numPr>
          <w:ilvl w:val="0"/>
          <w:numId w:val="12"/>
        </w:numPr>
        <w:spacing w:line="276" w:lineRule="auto"/>
        <w:ind w:left="180" w:hanging="180"/>
        <w:jc w:val="both"/>
        <w:rPr>
          <w:rFonts w:ascii="Sylfaen" w:hAnsi="Sylfaen"/>
          <w:bCs/>
        </w:rPr>
      </w:pPr>
      <w:r w:rsidRPr="00164081">
        <w:rPr>
          <w:rFonts w:ascii="Sylfaen" w:hAnsi="Sylfaen"/>
          <w:bCs/>
        </w:rPr>
        <w:t xml:space="preserve">FDI in LLP is subject to the compliance of the conditions of LLP Act, 2008 </w:t>
      </w:r>
    </w:p>
    <w:p w:rsidR="00040502" w:rsidRPr="00164081" w:rsidRDefault="00040502" w:rsidP="00950D59">
      <w:pPr>
        <w:pStyle w:val="Default"/>
        <w:spacing w:line="276" w:lineRule="auto"/>
        <w:jc w:val="both"/>
        <w:rPr>
          <w:rFonts w:ascii="Sylfaen" w:hAnsi="Sylfaen"/>
          <w:bCs/>
        </w:rPr>
      </w:pPr>
    </w:p>
    <w:p w:rsidR="00040502" w:rsidRPr="00164081" w:rsidRDefault="00040502" w:rsidP="00040502">
      <w:pPr>
        <w:pStyle w:val="Default"/>
        <w:numPr>
          <w:ilvl w:val="0"/>
          <w:numId w:val="10"/>
        </w:numPr>
        <w:spacing w:line="276" w:lineRule="auto"/>
        <w:ind w:left="0" w:hanging="270"/>
        <w:jc w:val="both"/>
        <w:rPr>
          <w:rFonts w:ascii="Sylfaen" w:hAnsi="Sylfaen"/>
          <w:bCs/>
          <w:u w:val="single"/>
        </w:rPr>
      </w:pPr>
      <w:r w:rsidRPr="00164081">
        <w:rPr>
          <w:rFonts w:ascii="Sylfaen" w:hAnsi="Sylfaen"/>
          <w:bCs/>
          <w:u w:val="single"/>
        </w:rPr>
        <w:t>FDI in other Entities:</w:t>
      </w:r>
    </w:p>
    <w:p w:rsidR="00040502" w:rsidRPr="00164081" w:rsidRDefault="00040502" w:rsidP="00040502">
      <w:pPr>
        <w:pStyle w:val="Default"/>
        <w:spacing w:line="276" w:lineRule="auto"/>
        <w:jc w:val="both"/>
        <w:rPr>
          <w:rFonts w:ascii="Sylfaen" w:hAnsi="Sylfaen"/>
          <w:bCs/>
        </w:rPr>
      </w:pPr>
      <w:r w:rsidRPr="00164081">
        <w:rPr>
          <w:rFonts w:ascii="Sylfaen" w:hAnsi="Sylfaen"/>
          <w:bCs/>
        </w:rPr>
        <w:t>FDI in resident entities other than those mentioned above is not permitted.</w:t>
      </w:r>
    </w:p>
    <w:p w:rsidR="00040502" w:rsidRPr="00164081" w:rsidRDefault="00040502" w:rsidP="00040502">
      <w:pPr>
        <w:pStyle w:val="Default"/>
        <w:spacing w:line="276" w:lineRule="auto"/>
        <w:jc w:val="both"/>
        <w:rPr>
          <w:rFonts w:ascii="Sylfaen" w:hAnsi="Sylfaen"/>
          <w:bCs/>
        </w:rPr>
      </w:pPr>
    </w:p>
    <w:p w:rsidR="00B14AAC" w:rsidRPr="00164081" w:rsidRDefault="0083130C" w:rsidP="00B14AAC">
      <w:pPr>
        <w:pStyle w:val="Default"/>
        <w:numPr>
          <w:ilvl w:val="0"/>
          <w:numId w:val="10"/>
        </w:numPr>
        <w:spacing w:line="276" w:lineRule="auto"/>
        <w:ind w:left="0" w:hanging="270"/>
        <w:jc w:val="both"/>
        <w:rPr>
          <w:rFonts w:ascii="Sylfaen" w:hAnsi="Sylfaen"/>
          <w:bCs/>
          <w:u w:val="single"/>
        </w:rPr>
      </w:pPr>
      <w:r w:rsidRPr="00164081">
        <w:rPr>
          <w:rFonts w:ascii="Sylfaen" w:hAnsi="Sylfaen"/>
          <w:bCs/>
          <w:u w:val="single"/>
        </w:rPr>
        <w:t>Investment Vehicle</w:t>
      </w:r>
      <w:r w:rsidR="00B14AAC" w:rsidRPr="00164081">
        <w:rPr>
          <w:rFonts w:ascii="Sylfaen" w:hAnsi="Sylfaen"/>
          <w:bCs/>
          <w:u w:val="single"/>
        </w:rPr>
        <w:t>:</w:t>
      </w:r>
    </w:p>
    <w:p w:rsidR="000E4288" w:rsidRPr="00164081" w:rsidRDefault="000E4288" w:rsidP="0083130C">
      <w:pPr>
        <w:pStyle w:val="Default"/>
        <w:spacing w:line="276" w:lineRule="auto"/>
        <w:jc w:val="both"/>
        <w:rPr>
          <w:rFonts w:ascii="Berlin Sans FB Demi" w:hAnsi="Berlin Sans FB Demi"/>
          <w:bCs/>
          <w:sz w:val="20"/>
          <w:szCs w:val="20"/>
          <w:u w:val="single"/>
        </w:rPr>
      </w:pPr>
    </w:p>
    <w:p w:rsidR="000E4288" w:rsidRPr="00164081" w:rsidRDefault="000E4288" w:rsidP="0083130C">
      <w:pPr>
        <w:pStyle w:val="Default"/>
        <w:spacing w:line="276" w:lineRule="auto"/>
        <w:jc w:val="both"/>
        <w:rPr>
          <w:rFonts w:ascii="Berlin Sans FB Demi" w:hAnsi="Berlin Sans FB Demi"/>
          <w:bCs/>
          <w:sz w:val="20"/>
          <w:szCs w:val="20"/>
          <w:u w:val="single"/>
        </w:rPr>
      </w:pPr>
      <w:r w:rsidRPr="00164081">
        <w:rPr>
          <w:rFonts w:ascii="Berlin Sans FB Demi" w:hAnsi="Berlin Sans FB Demi"/>
          <w:bCs/>
          <w:sz w:val="20"/>
          <w:szCs w:val="20"/>
          <w:u w:val="single"/>
        </w:rPr>
        <w:t xml:space="preserve">Meaning: </w:t>
      </w:r>
    </w:p>
    <w:p w:rsidR="000E4288" w:rsidRPr="00164081" w:rsidRDefault="0083130C" w:rsidP="0083130C">
      <w:pPr>
        <w:pStyle w:val="Default"/>
        <w:spacing w:line="276" w:lineRule="auto"/>
        <w:jc w:val="both"/>
        <w:rPr>
          <w:rFonts w:ascii="Sylfaen" w:hAnsi="Sylfaen"/>
          <w:bCs/>
        </w:rPr>
      </w:pPr>
      <w:r w:rsidRPr="00164081">
        <w:rPr>
          <w:rFonts w:ascii="Sylfaen" w:hAnsi="Sylfaen"/>
          <w:bCs/>
        </w:rPr>
        <w:t>An entity being ‘investment vehicle’ registered and regulated under relevant regulations framed by SEBI or any other authority designated</w:t>
      </w:r>
      <w:r w:rsidR="000E4288" w:rsidRPr="00164081">
        <w:rPr>
          <w:rFonts w:ascii="Sylfaen" w:hAnsi="Sylfaen"/>
          <w:bCs/>
        </w:rPr>
        <w:t>:-</w:t>
      </w:r>
    </w:p>
    <w:p w:rsidR="000E4288" w:rsidRPr="00164081" w:rsidRDefault="0083130C" w:rsidP="0083130C">
      <w:pPr>
        <w:pStyle w:val="Default"/>
        <w:spacing w:line="276" w:lineRule="auto"/>
        <w:jc w:val="both"/>
        <w:rPr>
          <w:rFonts w:ascii="Sylfaen" w:hAnsi="Sylfaen"/>
          <w:bCs/>
        </w:rPr>
      </w:pPr>
      <w:r w:rsidRPr="00164081">
        <w:rPr>
          <w:rFonts w:ascii="Sylfaen" w:hAnsi="Sylfaen"/>
          <w:bCs/>
        </w:rPr>
        <w:t xml:space="preserve"> </w:t>
      </w:r>
    </w:p>
    <w:p w:rsidR="000E4288" w:rsidRPr="00164081" w:rsidRDefault="000E4288" w:rsidP="0083130C">
      <w:pPr>
        <w:pStyle w:val="Default"/>
        <w:spacing w:line="276" w:lineRule="auto"/>
        <w:jc w:val="both"/>
        <w:rPr>
          <w:rFonts w:ascii="Sylfaen" w:hAnsi="Sylfaen"/>
          <w:bCs/>
        </w:rPr>
      </w:pPr>
      <w:r w:rsidRPr="00164081">
        <w:rPr>
          <w:rFonts w:ascii="Berlin Sans FB Demi" w:hAnsi="Berlin Sans FB Demi"/>
          <w:bCs/>
          <w:sz w:val="20"/>
          <w:szCs w:val="20"/>
          <w:u w:val="single"/>
        </w:rPr>
        <w:t xml:space="preserve">For </w:t>
      </w:r>
      <w:r w:rsidR="0083130C" w:rsidRPr="00164081">
        <w:rPr>
          <w:rFonts w:ascii="Berlin Sans FB Demi" w:hAnsi="Berlin Sans FB Demi"/>
          <w:bCs/>
          <w:sz w:val="20"/>
          <w:szCs w:val="20"/>
          <w:u w:val="single"/>
        </w:rPr>
        <w:t>the purpose</w:t>
      </w:r>
      <w:r w:rsidRPr="00164081">
        <w:rPr>
          <w:rFonts w:ascii="Berlin Sans FB Demi" w:hAnsi="Berlin Sans FB Demi"/>
          <w:bCs/>
          <w:sz w:val="20"/>
          <w:szCs w:val="20"/>
          <w:u w:val="single"/>
        </w:rPr>
        <w:t xml:space="preserve"> </w:t>
      </w:r>
      <w:r w:rsidR="0083130C" w:rsidRPr="00164081">
        <w:rPr>
          <w:rFonts w:ascii="Berlin Sans FB Demi" w:hAnsi="Berlin Sans FB Demi"/>
          <w:bCs/>
          <w:sz w:val="20"/>
          <w:szCs w:val="20"/>
          <w:u w:val="single"/>
        </w:rPr>
        <w:t>including</w:t>
      </w:r>
      <w:r w:rsidRPr="00164081">
        <w:rPr>
          <w:rFonts w:ascii="Berlin Sans FB Demi" w:hAnsi="Berlin Sans FB Demi"/>
          <w:bCs/>
          <w:sz w:val="20"/>
          <w:szCs w:val="20"/>
          <w:u w:val="single"/>
        </w:rPr>
        <w:t>:</w:t>
      </w:r>
      <w:r w:rsidR="0083130C" w:rsidRPr="00164081">
        <w:rPr>
          <w:rFonts w:ascii="Sylfaen" w:hAnsi="Sylfaen"/>
          <w:bCs/>
        </w:rPr>
        <w:t xml:space="preserve"> Real Estate Investment Trusts (REITs) governed by the SEBI (REITs) Regulations, 2014, Infrastructure Investment Trusts (</w:t>
      </w:r>
      <w:proofErr w:type="spellStart"/>
      <w:r w:rsidR="0083130C" w:rsidRPr="00164081">
        <w:rPr>
          <w:rFonts w:ascii="Sylfaen" w:hAnsi="Sylfaen"/>
          <w:bCs/>
        </w:rPr>
        <w:t>InvIts</w:t>
      </w:r>
      <w:proofErr w:type="spellEnd"/>
      <w:r w:rsidR="0083130C" w:rsidRPr="00164081">
        <w:rPr>
          <w:rFonts w:ascii="Sylfaen" w:hAnsi="Sylfaen"/>
          <w:bCs/>
        </w:rPr>
        <w:t>) governed by the SEBI (</w:t>
      </w:r>
      <w:proofErr w:type="spellStart"/>
      <w:r w:rsidR="0083130C" w:rsidRPr="00164081">
        <w:rPr>
          <w:rFonts w:ascii="Sylfaen" w:hAnsi="Sylfaen"/>
          <w:bCs/>
        </w:rPr>
        <w:t>InvIts</w:t>
      </w:r>
      <w:proofErr w:type="spellEnd"/>
      <w:r w:rsidR="0083130C" w:rsidRPr="00164081">
        <w:rPr>
          <w:rFonts w:ascii="Sylfaen" w:hAnsi="Sylfaen"/>
          <w:bCs/>
        </w:rPr>
        <w:t>) Regulations, 2014, Alternative Investment Funds (AIFs) governed by the SEBI (AIFs) Regulations, 2012 and notified under Schedule 11 of Foreign Exchange Management (Transfer or Issue of Security by a Person Resident outside India) Regulations, 2000</w:t>
      </w:r>
    </w:p>
    <w:p w:rsidR="000E4288" w:rsidRPr="00164081" w:rsidRDefault="000E4288" w:rsidP="0083130C">
      <w:pPr>
        <w:pStyle w:val="Default"/>
        <w:spacing w:line="276" w:lineRule="auto"/>
        <w:jc w:val="both"/>
        <w:rPr>
          <w:rFonts w:ascii="Sylfaen" w:hAnsi="Sylfaen"/>
          <w:bCs/>
        </w:rPr>
      </w:pPr>
    </w:p>
    <w:p w:rsidR="0083130C" w:rsidRPr="00164081" w:rsidRDefault="000E4288" w:rsidP="0083130C">
      <w:pPr>
        <w:pStyle w:val="Default"/>
        <w:spacing w:line="276" w:lineRule="auto"/>
        <w:jc w:val="both"/>
        <w:rPr>
          <w:rFonts w:ascii="Sylfaen" w:hAnsi="Sylfaen"/>
          <w:bCs/>
        </w:rPr>
      </w:pPr>
      <w:r w:rsidRPr="00164081">
        <w:rPr>
          <w:rFonts w:ascii="Sylfaen" w:hAnsi="Sylfaen"/>
          <w:bCs/>
        </w:rPr>
        <w:t xml:space="preserve">Is </w:t>
      </w:r>
      <w:r w:rsidR="0083130C" w:rsidRPr="00164081">
        <w:rPr>
          <w:rFonts w:ascii="Sylfaen" w:hAnsi="Sylfaen"/>
          <w:bCs/>
        </w:rPr>
        <w:t xml:space="preserve">permitted to receive foreign investment from a person resident outside India (other than an individual who is citizen of or any other entity which is registered / incorporated in Pakistan or Bangladesh), including </w:t>
      </w:r>
      <w:proofErr w:type="gramStart"/>
      <w:r w:rsidR="0083130C" w:rsidRPr="00164081">
        <w:rPr>
          <w:rFonts w:ascii="Sylfaen" w:hAnsi="Sylfaen"/>
          <w:bCs/>
        </w:rPr>
        <w:t>an</w:t>
      </w:r>
      <w:proofErr w:type="gramEnd"/>
      <w:r w:rsidR="0083130C" w:rsidRPr="00164081">
        <w:rPr>
          <w:rFonts w:ascii="Sylfaen" w:hAnsi="Sylfaen"/>
          <w:bCs/>
        </w:rPr>
        <w:t xml:space="preserve"> Registered Foreign Portfolio Investor (RFPI) or a non-resident Indian (NRI).</w:t>
      </w:r>
    </w:p>
    <w:p w:rsidR="00052FA3" w:rsidRPr="00164081" w:rsidRDefault="00052FA3" w:rsidP="00127C6F">
      <w:pPr>
        <w:pStyle w:val="Default"/>
        <w:spacing w:line="276" w:lineRule="auto"/>
        <w:jc w:val="both"/>
        <w:rPr>
          <w:rFonts w:ascii="Comic Sans MS" w:hAnsi="Comic Sans MS"/>
          <w:color w:val="244061" w:themeColor="accent1" w:themeShade="80"/>
          <w:sz w:val="26"/>
          <w:szCs w:val="26"/>
          <w:u w:val="single"/>
        </w:rPr>
      </w:pPr>
    </w:p>
    <w:p w:rsidR="00127C6F" w:rsidRPr="00164081" w:rsidRDefault="00127C6F" w:rsidP="00127C6F">
      <w:pPr>
        <w:pStyle w:val="Default"/>
        <w:spacing w:line="276" w:lineRule="auto"/>
        <w:jc w:val="both"/>
        <w:rPr>
          <w:rFonts w:ascii="Comic Sans MS" w:hAnsi="Comic Sans MS"/>
          <w:color w:val="244061" w:themeColor="accent1" w:themeShade="80"/>
          <w:sz w:val="26"/>
          <w:szCs w:val="26"/>
          <w:u w:val="single"/>
        </w:rPr>
      </w:pPr>
      <w:r w:rsidRPr="00164081">
        <w:rPr>
          <w:rFonts w:ascii="Comic Sans MS" w:hAnsi="Comic Sans MS"/>
          <w:color w:val="244061" w:themeColor="accent1" w:themeShade="80"/>
          <w:sz w:val="26"/>
          <w:szCs w:val="26"/>
          <w:u w:val="single"/>
        </w:rPr>
        <w:t>Instruments of investments,</w:t>
      </w:r>
      <w:r w:rsidR="00E23FE2" w:rsidRPr="00164081">
        <w:rPr>
          <w:rFonts w:ascii="Comic Sans MS" w:hAnsi="Comic Sans MS"/>
          <w:color w:val="244061" w:themeColor="accent1" w:themeShade="80"/>
          <w:sz w:val="26"/>
          <w:szCs w:val="26"/>
          <w:u w:val="single"/>
        </w:rPr>
        <w:t xml:space="preserve"> </w:t>
      </w:r>
      <w:r w:rsidRPr="00164081">
        <w:rPr>
          <w:rFonts w:ascii="Comic Sans MS" w:hAnsi="Comic Sans MS"/>
          <w:color w:val="244061" w:themeColor="accent1" w:themeShade="80"/>
          <w:sz w:val="26"/>
          <w:szCs w:val="26"/>
          <w:u w:val="single"/>
        </w:rPr>
        <w:t>issue/transfer of shares etc.</w:t>
      </w:r>
    </w:p>
    <w:p w:rsidR="0075476A" w:rsidRPr="00164081" w:rsidRDefault="0075476A" w:rsidP="00127C6F">
      <w:pPr>
        <w:pStyle w:val="Default"/>
        <w:jc w:val="both"/>
        <w:rPr>
          <w:rFonts w:ascii="Comic Sans MS" w:hAnsi="Comic Sans MS"/>
          <w:color w:val="244061" w:themeColor="accent1" w:themeShade="80"/>
          <w:sz w:val="26"/>
          <w:szCs w:val="26"/>
          <w:u w:val="single"/>
        </w:rPr>
      </w:pPr>
    </w:p>
    <w:p w:rsidR="0075476A" w:rsidRPr="00164081" w:rsidRDefault="0075476A" w:rsidP="0075476A">
      <w:pPr>
        <w:pStyle w:val="Default"/>
        <w:numPr>
          <w:ilvl w:val="0"/>
          <w:numId w:val="15"/>
        </w:numPr>
        <w:spacing w:line="276" w:lineRule="auto"/>
        <w:ind w:left="180" w:hanging="180"/>
        <w:jc w:val="both"/>
        <w:rPr>
          <w:rFonts w:ascii="Sylfaen" w:hAnsi="Sylfaen"/>
          <w:bCs/>
        </w:rPr>
      </w:pPr>
      <w:r w:rsidRPr="00164081">
        <w:rPr>
          <w:rFonts w:ascii="Sylfaen" w:hAnsi="Sylfaen"/>
          <w:bCs/>
        </w:rPr>
        <w:lastRenderedPageBreak/>
        <w:t xml:space="preserve">Types of instruments for investment and provisions relating to issue/ transfer of shares are given at </w:t>
      </w:r>
      <w:r w:rsidRPr="00164081">
        <w:rPr>
          <w:rStyle w:val="FootnoteReference"/>
          <w:rFonts w:ascii="Sylfaen" w:hAnsi="Sylfaen"/>
          <w:bCs/>
        </w:rPr>
        <w:footnoteReference w:id="4"/>
      </w:r>
      <w:r w:rsidRPr="00164081">
        <w:rPr>
          <w:rFonts w:ascii="Sylfaen" w:hAnsi="Sylfaen"/>
          <w:bCs/>
        </w:rPr>
        <w:t xml:space="preserve">Annexure 2 &amp; Annexure 3 respectively. </w:t>
      </w:r>
    </w:p>
    <w:p w:rsidR="0075476A" w:rsidRPr="00164081" w:rsidRDefault="0075476A" w:rsidP="0075476A">
      <w:pPr>
        <w:pStyle w:val="Default"/>
        <w:numPr>
          <w:ilvl w:val="0"/>
          <w:numId w:val="15"/>
        </w:numPr>
        <w:spacing w:line="276" w:lineRule="auto"/>
        <w:ind w:left="180" w:hanging="180"/>
        <w:jc w:val="both"/>
        <w:rPr>
          <w:rFonts w:ascii="Sylfaen" w:hAnsi="Sylfaen"/>
          <w:bCs/>
        </w:rPr>
      </w:pPr>
      <w:r w:rsidRPr="00164081">
        <w:rPr>
          <w:rFonts w:ascii="Sylfaen" w:hAnsi="Sylfaen"/>
          <w:bCs/>
        </w:rPr>
        <w:t>Specific conditions of compliance for certain cases are given in Annexure-4.</w:t>
      </w:r>
    </w:p>
    <w:p w:rsidR="00127C6F" w:rsidRPr="00164081" w:rsidRDefault="00127C6F" w:rsidP="0075476A">
      <w:pPr>
        <w:pStyle w:val="Default"/>
        <w:spacing w:line="276" w:lineRule="auto"/>
        <w:jc w:val="both"/>
        <w:rPr>
          <w:rFonts w:ascii="Berlin Sans FB Demi" w:hAnsi="Berlin Sans FB Demi"/>
          <w:bCs/>
          <w:sz w:val="20"/>
          <w:szCs w:val="20"/>
          <w:u w:val="single"/>
        </w:rPr>
      </w:pPr>
    </w:p>
    <w:p w:rsidR="0075476A" w:rsidRPr="00164081" w:rsidRDefault="0075476A" w:rsidP="0075476A">
      <w:pPr>
        <w:pStyle w:val="Default"/>
        <w:spacing w:line="276" w:lineRule="auto"/>
        <w:jc w:val="both"/>
        <w:rPr>
          <w:rFonts w:ascii="Berlin Sans FB Demi" w:hAnsi="Berlin Sans FB Demi"/>
          <w:bCs/>
          <w:sz w:val="20"/>
          <w:szCs w:val="20"/>
          <w:u w:val="single"/>
        </w:rPr>
      </w:pPr>
      <w:r w:rsidRPr="00164081">
        <w:rPr>
          <w:rFonts w:ascii="Berlin Sans FB Demi" w:hAnsi="Berlin Sans FB Demi"/>
          <w:bCs/>
          <w:sz w:val="20"/>
          <w:szCs w:val="20"/>
          <w:u w:val="single"/>
        </w:rPr>
        <w:t>Brief of Annexure 2:</w:t>
      </w:r>
    </w:p>
    <w:p w:rsidR="0075476A" w:rsidRPr="00164081" w:rsidRDefault="0075476A" w:rsidP="00127C6F">
      <w:pPr>
        <w:pStyle w:val="Default"/>
        <w:numPr>
          <w:ilvl w:val="0"/>
          <w:numId w:val="16"/>
        </w:numPr>
        <w:spacing w:line="276" w:lineRule="auto"/>
        <w:ind w:left="360" w:hanging="180"/>
        <w:jc w:val="both"/>
        <w:rPr>
          <w:rFonts w:ascii="Comic Sans MS" w:hAnsi="Comic Sans MS"/>
          <w:bCs/>
          <w:sz w:val="20"/>
          <w:szCs w:val="20"/>
        </w:rPr>
      </w:pPr>
      <w:r w:rsidRPr="00164081">
        <w:rPr>
          <w:rFonts w:ascii="Comic Sans MS" w:hAnsi="Comic Sans MS"/>
          <w:bCs/>
          <w:sz w:val="20"/>
          <w:szCs w:val="20"/>
        </w:rPr>
        <w:t>Type of issue of security as given at page No. 1</w:t>
      </w:r>
    </w:p>
    <w:p w:rsidR="0075476A" w:rsidRPr="00164081" w:rsidRDefault="0075476A" w:rsidP="00127C6F">
      <w:pPr>
        <w:pStyle w:val="Default"/>
        <w:numPr>
          <w:ilvl w:val="0"/>
          <w:numId w:val="16"/>
        </w:numPr>
        <w:spacing w:line="276" w:lineRule="auto"/>
        <w:ind w:left="360" w:hanging="180"/>
        <w:jc w:val="both"/>
        <w:rPr>
          <w:rFonts w:ascii="Comic Sans MS" w:hAnsi="Comic Sans MS"/>
          <w:bCs/>
          <w:sz w:val="20"/>
          <w:szCs w:val="20"/>
        </w:rPr>
      </w:pPr>
      <w:r w:rsidRPr="00164081">
        <w:rPr>
          <w:rFonts w:ascii="Comic Sans MS" w:hAnsi="Comic Sans MS"/>
          <w:bCs/>
          <w:sz w:val="20"/>
          <w:szCs w:val="20"/>
        </w:rPr>
        <w:t>Optionality clauses are allowed in equity shares, fully, compulsorily and mandatorily convertible debentures and fully, compulsorily and mandatorily convertible preference shares under FDI scheme, subject to the following conditions</w:t>
      </w:r>
    </w:p>
    <w:p w:rsidR="0075476A" w:rsidRPr="00164081" w:rsidRDefault="00127C6F" w:rsidP="00127C6F">
      <w:pPr>
        <w:pStyle w:val="Default"/>
        <w:numPr>
          <w:ilvl w:val="0"/>
          <w:numId w:val="16"/>
        </w:numPr>
        <w:spacing w:line="276" w:lineRule="auto"/>
        <w:ind w:left="360" w:hanging="180"/>
        <w:jc w:val="both"/>
        <w:rPr>
          <w:rFonts w:ascii="Comic Sans MS" w:hAnsi="Comic Sans MS"/>
          <w:bCs/>
          <w:sz w:val="20"/>
          <w:szCs w:val="20"/>
        </w:rPr>
      </w:pPr>
      <w:r w:rsidRPr="00164081">
        <w:rPr>
          <w:rFonts w:ascii="Comic Sans MS" w:hAnsi="Comic Sans MS"/>
          <w:bCs/>
          <w:sz w:val="20"/>
          <w:szCs w:val="20"/>
        </w:rPr>
        <w:t>Other types of Preference shares/Debentures i.e. non-convertible, optionally convertible or partially convertible for issue of which funds have been received on or after May 1, 2007 are considered as debt.</w:t>
      </w:r>
    </w:p>
    <w:p w:rsidR="00127C6F" w:rsidRPr="00164081" w:rsidRDefault="00127C6F" w:rsidP="00127C6F">
      <w:pPr>
        <w:pStyle w:val="Default"/>
        <w:numPr>
          <w:ilvl w:val="0"/>
          <w:numId w:val="16"/>
        </w:numPr>
        <w:spacing w:line="276" w:lineRule="auto"/>
        <w:ind w:left="360" w:hanging="180"/>
        <w:jc w:val="both"/>
        <w:rPr>
          <w:rFonts w:ascii="Comic Sans MS" w:hAnsi="Comic Sans MS"/>
          <w:bCs/>
          <w:sz w:val="20"/>
          <w:szCs w:val="20"/>
        </w:rPr>
      </w:pPr>
      <w:r w:rsidRPr="00164081">
        <w:rPr>
          <w:rFonts w:ascii="Comic Sans MS" w:hAnsi="Comic Sans MS"/>
          <w:bCs/>
          <w:sz w:val="20"/>
          <w:szCs w:val="20"/>
        </w:rPr>
        <w:t>Acquisition of Warrants and Partly Paid Shares</w:t>
      </w:r>
    </w:p>
    <w:p w:rsidR="00C5370E" w:rsidRPr="00164081" w:rsidRDefault="00C5370E" w:rsidP="00C5370E">
      <w:pPr>
        <w:rPr>
          <w:rFonts w:ascii="Comic Sans MS" w:hAnsi="Comic Sans MS"/>
          <w:bCs/>
          <w:sz w:val="20"/>
          <w:szCs w:val="20"/>
        </w:rPr>
      </w:pPr>
    </w:p>
    <w:p w:rsidR="00127C6F" w:rsidRPr="00164081" w:rsidRDefault="00127C6F" w:rsidP="00C5370E">
      <w:pPr>
        <w:rPr>
          <w:rFonts w:ascii="Comic Sans MS" w:hAnsi="Comic Sans MS"/>
          <w:color w:val="244061" w:themeColor="accent1" w:themeShade="80"/>
          <w:sz w:val="26"/>
          <w:szCs w:val="26"/>
          <w:u w:val="single"/>
        </w:rPr>
      </w:pPr>
      <w:r w:rsidRPr="00164081">
        <w:rPr>
          <w:rFonts w:ascii="Comic Sans MS" w:hAnsi="Comic Sans MS"/>
          <w:color w:val="244061" w:themeColor="accent1" w:themeShade="80"/>
          <w:sz w:val="26"/>
          <w:szCs w:val="26"/>
          <w:u w:val="single"/>
        </w:rPr>
        <w:t>Entry Routes for Investment:</w:t>
      </w:r>
    </w:p>
    <w:p w:rsidR="00127C6F" w:rsidRPr="00164081" w:rsidRDefault="00127C6F" w:rsidP="000611D7">
      <w:pPr>
        <w:pStyle w:val="Default"/>
        <w:spacing w:line="276" w:lineRule="auto"/>
        <w:ind w:left="180"/>
        <w:jc w:val="both"/>
        <w:rPr>
          <w:rFonts w:ascii="Comic Sans MS" w:hAnsi="Comic Sans MS"/>
          <w:color w:val="244061" w:themeColor="accent1" w:themeShade="80"/>
          <w:sz w:val="26"/>
          <w:szCs w:val="26"/>
          <w:u w:val="single"/>
        </w:rPr>
      </w:pPr>
    </w:p>
    <w:p w:rsidR="000611D7" w:rsidRPr="00164081" w:rsidRDefault="000611D7" w:rsidP="000611D7">
      <w:pPr>
        <w:pStyle w:val="Default"/>
        <w:spacing w:line="276" w:lineRule="auto"/>
        <w:ind w:left="180"/>
        <w:jc w:val="both"/>
        <w:rPr>
          <w:rFonts w:ascii="Comic Sans MS" w:hAnsi="Comic Sans MS"/>
          <w:color w:val="244061" w:themeColor="accent1" w:themeShade="80"/>
          <w:sz w:val="26"/>
          <w:szCs w:val="26"/>
          <w:u w:val="single"/>
        </w:rPr>
      </w:pPr>
      <w:r w:rsidRPr="00164081">
        <w:rPr>
          <w:rFonts w:ascii="Comic Sans MS" w:hAnsi="Comic Sans MS"/>
          <w:noProof/>
          <w:color w:val="244061" w:themeColor="accent1" w:themeShade="80"/>
          <w:sz w:val="26"/>
          <w:szCs w:val="26"/>
        </w:rPr>
        <w:drawing>
          <wp:inline distT="0" distB="0" distL="0" distR="0">
            <wp:extent cx="6029325" cy="1381125"/>
            <wp:effectExtent l="0" t="19050" r="0" b="952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0611D7" w:rsidRPr="00164081" w:rsidRDefault="000611D7" w:rsidP="000611D7">
      <w:pPr>
        <w:pStyle w:val="Default"/>
        <w:spacing w:line="276" w:lineRule="auto"/>
        <w:jc w:val="both"/>
        <w:rPr>
          <w:rFonts w:ascii="Berlin Sans FB Demi" w:hAnsi="Berlin Sans FB Demi"/>
          <w:bCs/>
          <w:sz w:val="20"/>
          <w:szCs w:val="20"/>
          <w:u w:val="single"/>
        </w:rPr>
      </w:pPr>
    </w:p>
    <w:p w:rsidR="000611D7" w:rsidRPr="00164081" w:rsidRDefault="000611D7" w:rsidP="000611D7">
      <w:pPr>
        <w:pStyle w:val="Default"/>
        <w:spacing w:line="276" w:lineRule="auto"/>
        <w:jc w:val="both"/>
        <w:rPr>
          <w:rFonts w:ascii="Sylfaen" w:hAnsi="Sylfaen"/>
          <w:bCs/>
        </w:rPr>
      </w:pPr>
      <w:r w:rsidRPr="00164081">
        <w:rPr>
          <w:rFonts w:ascii="Berlin Sans FB Demi" w:hAnsi="Berlin Sans FB Demi"/>
          <w:bCs/>
          <w:color w:val="403152" w:themeColor="accent4" w:themeShade="80"/>
          <w:sz w:val="22"/>
          <w:szCs w:val="22"/>
          <w:u w:val="single"/>
        </w:rPr>
        <w:t>Automatic Route:</w:t>
      </w:r>
      <w:r w:rsidRPr="00164081">
        <w:rPr>
          <w:sz w:val="22"/>
          <w:szCs w:val="22"/>
        </w:rPr>
        <w:t xml:space="preserve"> </w:t>
      </w:r>
      <w:r w:rsidRPr="00164081">
        <w:rPr>
          <w:rFonts w:ascii="Sylfaen" w:hAnsi="Sylfaen"/>
          <w:bCs/>
        </w:rPr>
        <w:t>Under the Automatic Route, the non-resident investor or the Indian company does not require any approval from Government of India for the investment.</w:t>
      </w:r>
    </w:p>
    <w:p w:rsidR="000611D7" w:rsidRPr="00164081" w:rsidRDefault="000611D7" w:rsidP="000611D7">
      <w:pPr>
        <w:pStyle w:val="Default"/>
        <w:spacing w:line="276" w:lineRule="auto"/>
        <w:jc w:val="both"/>
        <w:rPr>
          <w:rFonts w:ascii="Berlin Sans FB Demi" w:hAnsi="Berlin Sans FB Demi"/>
          <w:bCs/>
          <w:sz w:val="20"/>
          <w:szCs w:val="20"/>
          <w:u w:val="single"/>
        </w:rPr>
      </w:pPr>
    </w:p>
    <w:p w:rsidR="000611D7" w:rsidRPr="00164081" w:rsidRDefault="000611D7" w:rsidP="000611D7">
      <w:pPr>
        <w:pStyle w:val="Default"/>
        <w:spacing w:line="276" w:lineRule="auto"/>
        <w:jc w:val="both"/>
        <w:rPr>
          <w:rFonts w:ascii="Sylfaen" w:hAnsi="Sylfaen"/>
          <w:bCs/>
        </w:rPr>
      </w:pPr>
      <w:r w:rsidRPr="00164081">
        <w:rPr>
          <w:rFonts w:ascii="Berlin Sans FB Demi" w:hAnsi="Berlin Sans FB Demi"/>
          <w:bCs/>
          <w:color w:val="403152" w:themeColor="accent4" w:themeShade="80"/>
          <w:sz w:val="22"/>
          <w:szCs w:val="22"/>
          <w:u w:val="single"/>
        </w:rPr>
        <w:t>Government Approval Route:</w:t>
      </w:r>
      <w:r w:rsidRPr="00164081">
        <w:rPr>
          <w:sz w:val="22"/>
          <w:szCs w:val="22"/>
        </w:rPr>
        <w:t xml:space="preserve"> </w:t>
      </w:r>
      <w:r w:rsidRPr="00164081">
        <w:rPr>
          <w:rFonts w:ascii="Sylfaen" w:hAnsi="Sylfaen"/>
          <w:bCs/>
        </w:rPr>
        <w:t>Under the Government Route, prior approval of the Government of India is required. Proposals for foreign investment under Government route, are considered by FIPB</w:t>
      </w:r>
    </w:p>
    <w:p w:rsidR="000611D7" w:rsidRPr="00164081" w:rsidRDefault="000611D7" w:rsidP="000611D7">
      <w:pPr>
        <w:pStyle w:val="Default"/>
        <w:spacing w:line="276" w:lineRule="auto"/>
        <w:jc w:val="both"/>
        <w:rPr>
          <w:rFonts w:ascii="Sylfaen" w:hAnsi="Sylfaen"/>
          <w:bCs/>
        </w:rPr>
      </w:pPr>
    </w:p>
    <w:p w:rsidR="00AE323C" w:rsidRPr="00164081" w:rsidRDefault="00AE323C" w:rsidP="00AE323C">
      <w:pPr>
        <w:pStyle w:val="Default"/>
        <w:spacing w:line="276" w:lineRule="auto"/>
        <w:jc w:val="both"/>
        <w:rPr>
          <w:rFonts w:ascii="Comic Sans MS" w:hAnsi="Comic Sans MS"/>
          <w:color w:val="244061" w:themeColor="accent1" w:themeShade="80"/>
          <w:sz w:val="26"/>
          <w:szCs w:val="26"/>
          <w:u w:val="single"/>
        </w:rPr>
      </w:pPr>
      <w:r w:rsidRPr="00164081">
        <w:rPr>
          <w:rFonts w:ascii="Comic Sans MS" w:hAnsi="Comic Sans MS"/>
          <w:color w:val="244061" w:themeColor="accent1" w:themeShade="80"/>
          <w:sz w:val="26"/>
          <w:szCs w:val="26"/>
          <w:u w:val="single"/>
        </w:rPr>
        <w:t xml:space="preserve">Caps on Investments </w:t>
      </w:r>
    </w:p>
    <w:p w:rsidR="00AD2571" w:rsidRPr="00164081" w:rsidRDefault="00AE323C" w:rsidP="00AE323C">
      <w:pPr>
        <w:pStyle w:val="Default"/>
        <w:spacing w:line="276" w:lineRule="auto"/>
        <w:jc w:val="both"/>
        <w:rPr>
          <w:rFonts w:ascii="Sylfaen" w:hAnsi="Sylfaen"/>
          <w:bCs/>
        </w:rPr>
      </w:pPr>
      <w:r w:rsidRPr="00164081">
        <w:rPr>
          <w:rFonts w:ascii="Sylfaen" w:hAnsi="Sylfaen"/>
          <w:bCs/>
        </w:rPr>
        <w:lastRenderedPageBreak/>
        <w:t>Investments can be made by non-residents in the capital of a resident entity only to the extent of the percentage of the total capital as specified in the FDI policy</w:t>
      </w:r>
      <w:r w:rsidR="00091B98" w:rsidRPr="00164081">
        <w:rPr>
          <w:rFonts w:ascii="Sylfaen" w:hAnsi="Sylfaen"/>
          <w:bCs/>
        </w:rPr>
        <w:t xml:space="preserve"> (will discuss in separate article)</w:t>
      </w:r>
      <w:r w:rsidRPr="00164081">
        <w:rPr>
          <w:rFonts w:ascii="Sylfaen" w:hAnsi="Sylfaen"/>
          <w:bCs/>
        </w:rPr>
        <w:t xml:space="preserve">. </w:t>
      </w:r>
    </w:p>
    <w:p w:rsidR="00091B98" w:rsidRPr="00164081" w:rsidRDefault="00091B98" w:rsidP="00AE323C">
      <w:pPr>
        <w:pStyle w:val="Default"/>
        <w:spacing w:line="276" w:lineRule="auto"/>
        <w:jc w:val="both"/>
        <w:rPr>
          <w:rFonts w:ascii="Sylfaen" w:hAnsi="Sylfaen"/>
          <w:bCs/>
        </w:rPr>
      </w:pPr>
    </w:p>
    <w:p w:rsidR="00A21C63" w:rsidRPr="00164081" w:rsidRDefault="00A21C63" w:rsidP="00A21C63">
      <w:pPr>
        <w:pStyle w:val="Default"/>
        <w:spacing w:line="276" w:lineRule="auto"/>
        <w:jc w:val="both"/>
        <w:rPr>
          <w:rFonts w:ascii="Copperplate Gothic Bold" w:hAnsi="Copperplate Gothic Bold"/>
          <w:color w:val="403152" w:themeColor="accent4" w:themeShade="80"/>
          <w:sz w:val="26"/>
          <w:szCs w:val="26"/>
          <w:u w:val="single"/>
        </w:rPr>
      </w:pPr>
      <w:r w:rsidRPr="00164081">
        <w:rPr>
          <w:rFonts w:ascii="Copperplate Gothic Bold" w:hAnsi="Copperplate Gothic Bold"/>
          <w:color w:val="403152" w:themeColor="accent4" w:themeShade="80"/>
          <w:sz w:val="26"/>
          <w:szCs w:val="26"/>
          <w:u w:val="single"/>
        </w:rPr>
        <w:t>Condition for Entity:</w:t>
      </w:r>
    </w:p>
    <w:p w:rsidR="00A21C63" w:rsidRPr="00164081" w:rsidRDefault="00A21C63" w:rsidP="00A21C63">
      <w:pPr>
        <w:pStyle w:val="Default"/>
        <w:spacing w:line="276" w:lineRule="auto"/>
        <w:jc w:val="both"/>
        <w:rPr>
          <w:rFonts w:ascii="Copperplate Gothic Bold" w:hAnsi="Copperplate Gothic Bold"/>
          <w:color w:val="403152" w:themeColor="accent4" w:themeShade="80"/>
          <w:sz w:val="26"/>
          <w:szCs w:val="26"/>
          <w:u w:val="single"/>
        </w:rPr>
      </w:pPr>
    </w:p>
    <w:p w:rsidR="00A21C63" w:rsidRPr="00164081" w:rsidRDefault="00A21C63" w:rsidP="00A21C63">
      <w:pPr>
        <w:pStyle w:val="Default"/>
        <w:spacing w:line="276" w:lineRule="auto"/>
        <w:jc w:val="both"/>
        <w:rPr>
          <w:rFonts w:ascii="Comic Sans MS" w:hAnsi="Comic Sans MS"/>
          <w:color w:val="244061" w:themeColor="accent1" w:themeShade="80"/>
          <w:sz w:val="26"/>
          <w:szCs w:val="26"/>
          <w:u w:val="single"/>
        </w:rPr>
      </w:pPr>
      <w:r w:rsidRPr="00164081">
        <w:rPr>
          <w:rFonts w:ascii="Comic Sans MS" w:hAnsi="Comic Sans MS"/>
          <w:color w:val="244061" w:themeColor="accent1" w:themeShade="80"/>
          <w:sz w:val="26"/>
          <w:szCs w:val="26"/>
          <w:u w:val="single"/>
        </w:rPr>
        <w:t xml:space="preserve">Entry Conditions </w:t>
      </w:r>
    </w:p>
    <w:p w:rsidR="00091B98" w:rsidRPr="00164081" w:rsidRDefault="00A21C63" w:rsidP="00A21C63">
      <w:pPr>
        <w:pStyle w:val="Default"/>
        <w:spacing w:line="276" w:lineRule="auto"/>
        <w:jc w:val="both"/>
        <w:rPr>
          <w:rFonts w:ascii="Sylfaen" w:hAnsi="Sylfaen"/>
          <w:bCs/>
        </w:rPr>
      </w:pPr>
      <w:r w:rsidRPr="00164081">
        <w:rPr>
          <w:rFonts w:ascii="Sylfaen" w:hAnsi="Sylfaen"/>
          <w:bCs/>
        </w:rPr>
        <w:t>Investments by non-residents can be permitted in the capital of a resident entity in certain sectors/activity with entry conditions. Such conditions may include norms for minimum capitalization, lock-in period, etc. The entry conditions in various sectors/activities are detailed in Chapter 5 of the Circular (will discussed separately).</w:t>
      </w:r>
    </w:p>
    <w:p w:rsidR="00A21C63" w:rsidRPr="00164081" w:rsidRDefault="00A21C63" w:rsidP="00A21C63">
      <w:pPr>
        <w:pStyle w:val="Default"/>
        <w:spacing w:line="276" w:lineRule="auto"/>
        <w:jc w:val="both"/>
        <w:rPr>
          <w:rFonts w:ascii="Sylfaen" w:hAnsi="Sylfaen"/>
          <w:bCs/>
        </w:rPr>
      </w:pPr>
    </w:p>
    <w:p w:rsidR="00A21C63" w:rsidRPr="00164081" w:rsidRDefault="00A21C63" w:rsidP="00A21C63">
      <w:pPr>
        <w:pStyle w:val="Default"/>
        <w:spacing w:line="276" w:lineRule="auto"/>
        <w:jc w:val="both"/>
        <w:rPr>
          <w:rFonts w:ascii="Comic Sans MS" w:hAnsi="Comic Sans MS"/>
          <w:color w:val="244061" w:themeColor="accent1" w:themeShade="80"/>
          <w:sz w:val="26"/>
          <w:szCs w:val="26"/>
          <w:u w:val="single"/>
        </w:rPr>
      </w:pPr>
      <w:r w:rsidRPr="00164081">
        <w:rPr>
          <w:rFonts w:ascii="Comic Sans MS" w:hAnsi="Comic Sans MS"/>
          <w:color w:val="244061" w:themeColor="accent1" w:themeShade="80"/>
          <w:sz w:val="26"/>
          <w:szCs w:val="26"/>
          <w:u w:val="single"/>
        </w:rPr>
        <w:t>Other Conditions:</w:t>
      </w:r>
    </w:p>
    <w:p w:rsidR="00A21C63" w:rsidRPr="00164081" w:rsidRDefault="00A21C63" w:rsidP="00A21C63">
      <w:pPr>
        <w:pStyle w:val="Default"/>
        <w:spacing w:line="276" w:lineRule="auto"/>
        <w:jc w:val="both"/>
        <w:rPr>
          <w:rFonts w:ascii="Sylfaen" w:hAnsi="Sylfaen"/>
          <w:bCs/>
        </w:rPr>
      </w:pPr>
      <w:r w:rsidRPr="00164081">
        <w:rPr>
          <w:rFonts w:ascii="Sylfaen" w:hAnsi="Sylfaen"/>
          <w:bCs/>
        </w:rPr>
        <w:t xml:space="preserve">The investment/investors are required to comply with all relevant </w:t>
      </w:r>
    </w:p>
    <w:p w:rsidR="00A21C63" w:rsidRPr="00164081" w:rsidRDefault="00A21C63" w:rsidP="00A21C63">
      <w:pPr>
        <w:pStyle w:val="Default"/>
        <w:numPr>
          <w:ilvl w:val="0"/>
          <w:numId w:val="17"/>
        </w:numPr>
        <w:spacing w:line="276" w:lineRule="auto"/>
        <w:jc w:val="both"/>
        <w:rPr>
          <w:rFonts w:ascii="Sylfaen" w:hAnsi="Sylfaen"/>
          <w:bCs/>
        </w:rPr>
      </w:pPr>
      <w:r w:rsidRPr="00164081">
        <w:rPr>
          <w:rFonts w:ascii="Sylfaen" w:hAnsi="Sylfaen"/>
          <w:bCs/>
        </w:rPr>
        <w:t xml:space="preserve">Sectoral Laws, </w:t>
      </w:r>
    </w:p>
    <w:p w:rsidR="00A21C63" w:rsidRPr="00164081" w:rsidRDefault="00A21C63" w:rsidP="00A21C63">
      <w:pPr>
        <w:pStyle w:val="Default"/>
        <w:numPr>
          <w:ilvl w:val="0"/>
          <w:numId w:val="17"/>
        </w:numPr>
        <w:spacing w:line="276" w:lineRule="auto"/>
        <w:jc w:val="both"/>
        <w:rPr>
          <w:rFonts w:ascii="Sylfaen" w:hAnsi="Sylfaen"/>
          <w:bCs/>
        </w:rPr>
      </w:pPr>
      <w:r w:rsidRPr="00164081">
        <w:rPr>
          <w:rFonts w:ascii="Sylfaen" w:hAnsi="Sylfaen"/>
          <w:bCs/>
        </w:rPr>
        <w:t xml:space="preserve">Regulations, </w:t>
      </w:r>
    </w:p>
    <w:p w:rsidR="00A21C63" w:rsidRPr="00164081" w:rsidRDefault="00A21C63" w:rsidP="00A21C63">
      <w:pPr>
        <w:pStyle w:val="Default"/>
        <w:numPr>
          <w:ilvl w:val="0"/>
          <w:numId w:val="17"/>
        </w:numPr>
        <w:spacing w:line="276" w:lineRule="auto"/>
        <w:jc w:val="both"/>
        <w:rPr>
          <w:rFonts w:ascii="Sylfaen" w:hAnsi="Sylfaen"/>
          <w:bCs/>
        </w:rPr>
      </w:pPr>
      <w:r w:rsidRPr="00164081">
        <w:rPr>
          <w:rFonts w:ascii="Sylfaen" w:hAnsi="Sylfaen"/>
          <w:bCs/>
        </w:rPr>
        <w:t xml:space="preserve">Rules, </w:t>
      </w:r>
    </w:p>
    <w:p w:rsidR="00A21C63" w:rsidRPr="00164081" w:rsidRDefault="00A21C63" w:rsidP="00A21C63">
      <w:pPr>
        <w:pStyle w:val="Default"/>
        <w:numPr>
          <w:ilvl w:val="0"/>
          <w:numId w:val="17"/>
        </w:numPr>
        <w:spacing w:line="276" w:lineRule="auto"/>
        <w:jc w:val="both"/>
        <w:rPr>
          <w:rFonts w:ascii="Sylfaen" w:hAnsi="Sylfaen"/>
          <w:bCs/>
        </w:rPr>
      </w:pPr>
      <w:r w:rsidRPr="00164081">
        <w:rPr>
          <w:rFonts w:ascii="Sylfaen" w:hAnsi="Sylfaen"/>
          <w:bCs/>
        </w:rPr>
        <w:t xml:space="preserve">Security Conditions, </w:t>
      </w:r>
    </w:p>
    <w:p w:rsidR="00A21C63" w:rsidRPr="00164081" w:rsidRDefault="00A21C63" w:rsidP="00A21C63">
      <w:pPr>
        <w:pStyle w:val="Default"/>
        <w:numPr>
          <w:ilvl w:val="0"/>
          <w:numId w:val="17"/>
        </w:numPr>
        <w:spacing w:line="276" w:lineRule="auto"/>
        <w:jc w:val="both"/>
        <w:rPr>
          <w:rFonts w:ascii="Sylfaen" w:hAnsi="Sylfaen"/>
          <w:bCs/>
        </w:rPr>
      </w:pPr>
      <w:r w:rsidRPr="00164081">
        <w:rPr>
          <w:rFonts w:ascii="Sylfaen" w:hAnsi="Sylfaen"/>
          <w:bCs/>
        </w:rPr>
        <w:t>and State/Local Laws/Regulations</w:t>
      </w:r>
    </w:p>
    <w:p w:rsidR="00A21C63" w:rsidRPr="00164081" w:rsidRDefault="00A21C63" w:rsidP="00A21C63">
      <w:pPr>
        <w:pStyle w:val="Default"/>
        <w:spacing w:line="276" w:lineRule="auto"/>
        <w:jc w:val="both"/>
        <w:rPr>
          <w:rFonts w:ascii="Sylfaen" w:hAnsi="Sylfaen"/>
          <w:bCs/>
        </w:rPr>
      </w:pPr>
    </w:p>
    <w:p w:rsidR="00A21C63" w:rsidRPr="00164081" w:rsidRDefault="00A21C63" w:rsidP="00A21C63">
      <w:pPr>
        <w:pStyle w:val="Default"/>
        <w:spacing w:line="276" w:lineRule="auto"/>
        <w:jc w:val="both"/>
        <w:rPr>
          <w:rFonts w:ascii="Copperplate Gothic Bold" w:hAnsi="Copperplate Gothic Bold"/>
          <w:color w:val="403152" w:themeColor="accent4" w:themeShade="80"/>
          <w:sz w:val="26"/>
          <w:szCs w:val="26"/>
          <w:u w:val="single"/>
        </w:rPr>
      </w:pPr>
      <w:r w:rsidRPr="00164081">
        <w:rPr>
          <w:rFonts w:ascii="Copperplate Gothic Bold" w:hAnsi="Copperplate Gothic Bold"/>
          <w:color w:val="403152" w:themeColor="accent4" w:themeShade="80"/>
          <w:sz w:val="26"/>
          <w:szCs w:val="26"/>
          <w:u w:val="single"/>
        </w:rPr>
        <w:t xml:space="preserve">Remittance, Reporting and Violation </w:t>
      </w:r>
    </w:p>
    <w:p w:rsidR="00052FA3" w:rsidRPr="00164081" w:rsidRDefault="00A21C63" w:rsidP="00A21C63">
      <w:pPr>
        <w:pStyle w:val="Default"/>
        <w:spacing w:line="276" w:lineRule="auto"/>
        <w:jc w:val="both"/>
        <w:rPr>
          <w:rFonts w:ascii="Sylfaen" w:hAnsi="Sylfaen"/>
          <w:bCs/>
        </w:rPr>
      </w:pPr>
      <w:r w:rsidRPr="00164081">
        <w:rPr>
          <w:rFonts w:ascii="Sylfaen" w:hAnsi="Sylfaen"/>
          <w:bCs/>
        </w:rPr>
        <w:t>The Government has provided elaborated scheme for remittance, reporting and violation of FDI policy. These are available at Annexure-6.</w:t>
      </w:r>
    </w:p>
    <w:p w:rsidR="00A21C63" w:rsidRPr="00164081" w:rsidRDefault="00A21C63" w:rsidP="00052FA3">
      <w:pPr>
        <w:rPr>
          <w:rFonts w:ascii="Sylfaen" w:hAnsi="Sylfaen"/>
          <w:bCs/>
        </w:rPr>
      </w:pPr>
    </w:p>
    <w:p w:rsidR="00A21C63" w:rsidRPr="00A21C63" w:rsidRDefault="00DF0F58" w:rsidP="00A21C63">
      <w:pPr>
        <w:pStyle w:val="Default"/>
        <w:spacing w:line="276" w:lineRule="auto"/>
        <w:jc w:val="both"/>
        <w:rPr>
          <w:rFonts w:ascii="Sylfaen" w:hAnsi="Sylfaen"/>
          <w:bCs/>
        </w:rPr>
      </w:pPr>
      <w:r>
        <w:rPr>
          <w:rFonts w:ascii="Sylfaen" w:hAnsi="Sylfaen"/>
          <w:bCs/>
          <w:noProof/>
        </w:rPr>
        <w:pict>
          <v:rect id="AutoShape 9" o:spid="_x0000_s1031" style="position:absolute;left:0;text-align:left;margin-left:-31.5pt;margin-top:6.35pt;width:530.25pt;height:162pt;z-index:251660288;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" fillcolor="white [3201]" strokecolor="#8064a2 [3207]" strokeweight="2.5pt">
            <v:shadow color="#868686"/>
            <v:textbox style="mso-next-textbox:#AutoShape 9">
              <w:txbxContent>
                <w:p w:rsidR="00052FA3" w:rsidRDefault="00052FA3" w:rsidP="00052FA3">
                  <w:pPr>
                    <w:tabs>
                      <w:tab w:val="left" w:pos="540"/>
                    </w:tabs>
                    <w:jc w:val="both"/>
                    <w:rPr>
                      <w:rFonts w:ascii="Andalus" w:hAnsi="Andalus" w:cs="Andalus"/>
                      <w:sz w:val="26"/>
                      <w:szCs w:val="26"/>
                    </w:rPr>
                  </w:pPr>
                  <w:r w:rsidRPr="00231E57">
                    <w:rPr>
                      <w:rFonts w:ascii="Andalus" w:hAnsi="Andalus" w:cs="Andalus"/>
                      <w:sz w:val="26"/>
                      <w:szCs w:val="26"/>
                    </w:rPr>
                    <w:t xml:space="preserve">(Author – CS Divesh Goyal, GOYAL DIVESH &amp; ASSOCIATES Company Secretary in Practice from Delhi and can be contacted at csdiveshgoyal@gmail.com) </w:t>
                  </w:r>
                </w:p>
                <w:p w:rsidR="00052FA3" w:rsidRPr="00AB1B08" w:rsidRDefault="00052FA3" w:rsidP="00052FA3">
                  <w:pPr>
                    <w:tabs>
                      <w:tab w:val="left" w:pos="540"/>
                    </w:tabs>
                    <w:jc w:val="both"/>
                    <w:rPr>
                      <w:rFonts w:ascii="Sylfaen" w:hAnsi="Sylfaen" w:cs="Calibri"/>
                      <w:sz w:val="24"/>
                      <w:szCs w:val="24"/>
                    </w:rPr>
                  </w:pPr>
                  <w:r w:rsidRPr="00231E57">
                    <w:rPr>
                      <w:rFonts w:ascii="Andalus" w:hAnsi="Andalus" w:cs="Andalus"/>
                      <w:sz w:val="26"/>
                      <w:szCs w:val="26"/>
                    </w:rPr>
                    <w:t>Disclaimer: The entire contents of this document have been prepared on the basis of relevant provisions and as per the information existing at the time of the preparation. The observations of the author</w:t>
                  </w:r>
                  <w:r w:rsidRPr="00AB1B08">
                    <w:rPr>
                      <w:rFonts w:ascii="Sylfaen" w:hAnsi="Sylfaen" w:cs="Calibri"/>
                      <w:sz w:val="24"/>
                      <w:szCs w:val="24"/>
                    </w:rPr>
                    <w:t xml:space="preserve"> are personal view and the authors do not take responsibility of the same and this cannot be quoted before any authority without the written</w:t>
                  </w:r>
                  <w:r>
                    <w:rPr>
                      <w:rFonts w:ascii="Sylfaen" w:hAnsi="Sylfaen" w:cs="Calibri"/>
                      <w:sz w:val="24"/>
                      <w:szCs w:val="24"/>
                    </w:rPr>
                    <w:t>.</w:t>
                  </w:r>
                </w:p>
                <w:p w:rsidR="00052FA3" w:rsidRDefault="00052FA3" w:rsidP="00052FA3">
                  <w:pPr>
                    <w:tabs>
                      <w:tab w:val="left" w:pos="540"/>
                    </w:tabs>
                  </w:pPr>
                </w:p>
              </w:txbxContent>
            </v:textbox>
          </v:rect>
        </w:pict>
      </w:r>
      <w:r w:rsidR="00A21C63" w:rsidRPr="00A21C63">
        <w:rPr>
          <w:rFonts w:ascii="Sylfaen" w:hAnsi="Sylfaen"/>
          <w:bCs/>
        </w:rPr>
        <w:t xml:space="preserve"> </w:t>
      </w:r>
    </w:p>
    <w:sectPr w:rsidR="00A21C63" w:rsidRPr="00A21C63" w:rsidSect="00DF264E">
      <w:headerReference w:type="default" r:id="rId22"/>
      <w:footerReference w:type="default" r:id="rId23"/>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0B03" w:rsidRDefault="00820B03" w:rsidP="00820B03">
      <w:pPr>
        <w:spacing w:after="0" w:line="240" w:lineRule="auto"/>
      </w:pPr>
      <w:r>
        <w:separator/>
      </w:r>
    </w:p>
  </w:endnote>
  <w:endnote w:type="continuationSeparator" w:id="1">
    <w:p w:rsidR="00820B03" w:rsidRDefault="00820B03" w:rsidP="00820B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Hobo std">
    <w:altName w:val="Times New Roman"/>
    <w:panose1 w:val="00000000000000000000"/>
    <w:charset w:val="00"/>
    <w:family w:val="roman"/>
    <w:notTrueType/>
    <w:pitch w:val="default"/>
    <w:sig w:usb0="00000000" w:usb1="00000000" w:usb2="00000000" w:usb3="00000000" w:csb0="00000000" w:csb1="00000000"/>
  </w:font>
  <w:font w:name="High Tower Text">
    <w:panose1 w:val="02040502050506030303"/>
    <w:charset w:val="00"/>
    <w:family w:val="roman"/>
    <w:pitch w:val="variable"/>
    <w:sig w:usb0="00000003" w:usb1="00000000" w:usb2="00000000" w:usb3="00000000" w:csb0="00000001" w:csb1="00000000"/>
  </w:font>
  <w:font w:name="DaunPenh">
    <w:panose1 w:val="01010101010101010101"/>
    <w:charset w:val="00"/>
    <w:family w:val="auto"/>
    <w:pitch w:val="variable"/>
    <w:sig w:usb0="00000003" w:usb1="00000000" w:usb2="0001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Berlin Sans FB">
    <w:panose1 w:val="020E0602020502020306"/>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33114"/>
      <w:docPartObj>
        <w:docPartGallery w:val="Page Numbers (Bottom of Page)"/>
        <w:docPartUnique/>
      </w:docPartObj>
    </w:sdtPr>
    <w:sdtContent>
      <w:p w:rsidR="00052FA3" w:rsidRDefault="00DF0F58" w:rsidP="00052FA3">
        <w:pPr>
          <w:pStyle w:val="Footer"/>
          <w:pBdr>
            <w:top w:val="single" w:sz="4" w:space="1" w:color="auto"/>
          </w:pBdr>
          <w:tabs>
            <w:tab w:val="clear" w:pos="4680"/>
          </w:tabs>
          <w:ind w:right="-864"/>
          <w:rPr>
            <w:sz w:val="16"/>
            <w:szCs w:val="16"/>
          </w:rPr>
        </w:pPr>
        <w:r w:rsidRPr="00DF0F58">
          <w:rPr>
            <w:noProof/>
            <w:lang w:eastAsia="zh-TW"/>
          </w:rPr>
          <w:pict>
            <v:group id="_x0000_s2049" style="position:absolute;margin-left:-509.05pt;margin-top:5.3pt;width:28.2pt;height:27pt;z-index:251658240;mso-position-horizontal-relative:right-margin-area;mso-position-vertical-relative:bottom-margin-area" coordorigin="10104,14464" coordsize="720,548">
              <v:rect id="_x0000_s2050" style="position:absolute;left:10190;top:14378;width:548;height:720;rotation:-6319877fd" fillcolor="white [3212]" strokecolor="#737373 [1789]"/>
              <v:rect id="_x0000_s2051" style="position:absolute;left:10190;top:14378;width:548;height:720;rotation:-5392141fd" fillcolor="white [3212]" strokecolor="#737373 [1789]"/>
              <v:rect id="_x0000_s2052" style="position:absolute;left:10190;top:14378;width:548;height:720;rotation:270" fillcolor="white [3212]" strokecolor="#737373 [1789]">
                <v:textbox style="mso-next-textbox:#_x0000_s2052">
                  <w:txbxContent>
                    <w:p w:rsidR="00052FA3" w:rsidRDefault="00DF0F58" w:rsidP="00052FA3">
                      <w:pPr>
                        <w:pStyle w:val="Footer"/>
                        <w:jc w:val="center"/>
                      </w:pPr>
                      <w:fldSimple w:instr=" PAGE    \* MERGEFORMAT ">
                        <w:r w:rsidR="00E0149D">
                          <w:rPr>
                            <w:noProof/>
                          </w:rPr>
                          <w:t>10</w:t>
                        </w:r>
                      </w:fldSimple>
                    </w:p>
                  </w:txbxContent>
                </v:textbox>
              </v:rect>
              <w10:wrap anchorx="page" anchory="page"/>
            </v:group>
          </w:pict>
        </w:r>
        <w:r w:rsidR="00052FA3" w:rsidRPr="00931153">
          <w:rPr>
            <w:sz w:val="16"/>
            <w:szCs w:val="16"/>
          </w:rPr>
          <w:t>Twitter: @DiveshGoyal04</w:t>
        </w:r>
        <w:r w:rsidR="00052FA3">
          <w:rPr>
            <w:sz w:val="16"/>
            <w:szCs w:val="16"/>
          </w:rPr>
          <w:tab/>
        </w:r>
        <w:proofErr w:type="spellStart"/>
        <w:r w:rsidR="00052FA3" w:rsidRPr="00931153">
          <w:rPr>
            <w:sz w:val="16"/>
            <w:szCs w:val="16"/>
          </w:rPr>
          <w:t>Whatsapp</w:t>
        </w:r>
        <w:proofErr w:type="spellEnd"/>
        <w:r w:rsidR="00052FA3" w:rsidRPr="00931153">
          <w:rPr>
            <w:sz w:val="16"/>
            <w:szCs w:val="16"/>
          </w:rPr>
          <w:t>: 8130757966</w:t>
        </w:r>
      </w:p>
      <w:p w:rsidR="00052FA3" w:rsidRDefault="00052FA3" w:rsidP="00052FA3">
        <w:pPr>
          <w:pStyle w:val="Footer"/>
          <w:rPr>
            <w:rStyle w:val="Hyperlink"/>
            <w:sz w:val="16"/>
            <w:szCs w:val="16"/>
          </w:rPr>
        </w:pPr>
        <w:r w:rsidRPr="00931153">
          <w:rPr>
            <w:sz w:val="16"/>
            <w:szCs w:val="16"/>
          </w:rPr>
          <w:t xml:space="preserve">FB: </w:t>
        </w:r>
        <w:hyperlink r:id="rId1" w:history="1">
          <w:r w:rsidRPr="00931153">
            <w:rPr>
              <w:rStyle w:val="Hyperlink"/>
              <w:sz w:val="16"/>
              <w:szCs w:val="16"/>
            </w:rPr>
            <w:t>csdiveshgoyal@gmail.com</w:t>
          </w:r>
        </w:hyperlink>
        <w:r w:rsidRPr="00931153">
          <w:rPr>
            <w:sz w:val="16"/>
            <w:szCs w:val="16"/>
          </w:rPr>
          <w:tab/>
        </w:r>
        <w:r w:rsidRPr="003122B2">
          <w:rPr>
            <w:sz w:val="24"/>
            <w:szCs w:val="24"/>
          </w:rPr>
          <w:t xml:space="preserve">Blog: </w:t>
        </w:r>
        <w:hyperlink r:id="rId2" w:history="1">
          <w:r w:rsidRPr="003122B2">
            <w:rPr>
              <w:rStyle w:val="Hyperlink"/>
              <w:sz w:val="24"/>
              <w:szCs w:val="24"/>
            </w:rPr>
            <w:t>www.csdiveshgoyal.info</w:t>
          </w:r>
        </w:hyperlink>
        <w:r>
          <w:rPr>
            <w:sz w:val="16"/>
            <w:szCs w:val="16"/>
          </w:rPr>
          <w:tab/>
        </w:r>
        <w:r w:rsidRPr="00931153">
          <w:rPr>
            <w:sz w:val="16"/>
            <w:szCs w:val="16"/>
          </w:rPr>
          <w:t xml:space="preserve">Gmail Id: </w:t>
        </w:r>
        <w:hyperlink r:id="rId3" w:history="1">
          <w:r w:rsidRPr="00931153">
            <w:rPr>
              <w:rStyle w:val="Hyperlink"/>
              <w:sz w:val="16"/>
              <w:szCs w:val="16"/>
            </w:rPr>
            <w:t>csdiveshgoyal@gmail.com</w:t>
          </w:r>
        </w:hyperlink>
      </w:p>
      <w:p w:rsidR="00052FA3" w:rsidRPr="003122B2" w:rsidRDefault="00052FA3" w:rsidP="00052FA3">
        <w:pPr>
          <w:pStyle w:val="Footer"/>
          <w:ind w:right="-864"/>
        </w:pPr>
        <w:r w:rsidRPr="00926B98">
          <w:rPr>
            <w:b/>
            <w:i/>
            <w:iCs/>
            <w:color w:val="403152" w:themeColor="accent4" w:themeShade="80"/>
          </w:rPr>
          <w:t>This blog post is not a professional advice but just a knowledge sharing initiative for mutual discussion</w:t>
        </w:r>
        <w:r>
          <w:rPr>
            <w:b/>
            <w:i/>
            <w:iCs/>
            <w:color w:val="403152" w:themeColor="accent4" w:themeShade="80"/>
          </w:rPr>
          <w:t>.</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0B03" w:rsidRDefault="00820B03" w:rsidP="00820B03">
      <w:pPr>
        <w:spacing w:after="0" w:line="240" w:lineRule="auto"/>
      </w:pPr>
      <w:r>
        <w:separator/>
      </w:r>
    </w:p>
  </w:footnote>
  <w:footnote w:type="continuationSeparator" w:id="1">
    <w:p w:rsidR="00820B03" w:rsidRDefault="00820B03" w:rsidP="00820B03">
      <w:pPr>
        <w:spacing w:after="0" w:line="240" w:lineRule="auto"/>
      </w:pPr>
      <w:r>
        <w:continuationSeparator/>
      </w:r>
    </w:p>
  </w:footnote>
  <w:footnote w:id="2">
    <w:p w:rsidR="00820B03" w:rsidRPr="00820B03" w:rsidRDefault="00820B03" w:rsidP="00820B03">
      <w:pPr>
        <w:pStyle w:val="Default"/>
        <w:jc w:val="both"/>
        <w:rPr>
          <w:rFonts w:ascii="Sylfaen" w:hAnsi="Sylfaen"/>
          <w:bCs/>
        </w:rPr>
      </w:pPr>
      <w:r>
        <w:rPr>
          <w:rStyle w:val="FootnoteReference"/>
        </w:rPr>
        <w:footnoteRef/>
      </w:r>
      <w:r>
        <w:t xml:space="preserve"> </w:t>
      </w:r>
      <w:r>
        <w:rPr>
          <w:b/>
          <w:bCs/>
          <w:i/>
          <w:iCs/>
          <w:sz w:val="22"/>
          <w:szCs w:val="22"/>
        </w:rPr>
        <w:t>‘</w:t>
      </w:r>
      <w:r w:rsidRPr="00E17E5A">
        <w:rPr>
          <w:rFonts w:ascii="Sylfaen" w:hAnsi="Sylfaen"/>
          <w:bCs/>
          <w:highlight w:val="yellow"/>
        </w:rPr>
        <w:t>Non-resident entity’</w:t>
      </w:r>
      <w:r w:rsidRPr="00820B03">
        <w:rPr>
          <w:rFonts w:ascii="Sylfaen" w:hAnsi="Sylfaen"/>
          <w:bCs/>
        </w:rPr>
        <w:t xml:space="preserve"> means a ‘person resident outside India’ as defined under as defined at Section 2(w) of FEMA, 1999. </w:t>
      </w:r>
    </w:p>
  </w:footnote>
  <w:footnote w:id="3">
    <w:p w:rsidR="00F61CB1" w:rsidRDefault="00F61CB1" w:rsidP="00F61CB1">
      <w:pPr>
        <w:pStyle w:val="Default"/>
        <w:jc w:val="both"/>
      </w:pPr>
      <w:r>
        <w:rPr>
          <w:rStyle w:val="FootnoteReference"/>
        </w:rPr>
        <w:footnoteRef/>
      </w:r>
      <w:r>
        <w:t xml:space="preserve"> </w:t>
      </w:r>
      <w:r w:rsidRPr="00636F41">
        <w:rPr>
          <w:rFonts w:ascii="Sylfaen" w:hAnsi="Sylfaen"/>
          <w:bCs/>
        </w:rPr>
        <w:t>OCBs have been derecognized as a class of investors in India with effect from September 16, 2003.</w:t>
      </w:r>
    </w:p>
  </w:footnote>
  <w:footnote w:id="4">
    <w:p w:rsidR="0075476A" w:rsidRDefault="0075476A">
      <w:pPr>
        <w:pStyle w:val="FootnoteText"/>
      </w:pPr>
      <w:r>
        <w:rPr>
          <w:rStyle w:val="FootnoteReference"/>
        </w:rPr>
        <w:footnoteRef/>
      </w:r>
      <w:r>
        <w:t xml:space="preserve"> </w:t>
      </w:r>
      <w:r w:rsidR="009C55DA">
        <w:t>In detailed discussed in article No. 159</w:t>
      </w:r>
      <w:r w:rsidR="00BB5E9C">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FA3" w:rsidRPr="003604FA" w:rsidRDefault="00052FA3" w:rsidP="00052FA3">
    <w:pPr>
      <w:pStyle w:val="Header"/>
      <w:tabs>
        <w:tab w:val="clear" w:pos="4680"/>
        <w:tab w:val="clear" w:pos="9360"/>
      </w:tabs>
      <w:ind w:left="-270"/>
      <w:rPr>
        <w:rFonts w:ascii="Berlin Sans FB" w:hAnsi="Berlin Sans FB" w:cs="Andalus"/>
      </w:rPr>
    </w:pPr>
    <w:r>
      <w:rPr>
        <w:rFonts w:ascii="Andalus" w:hAnsi="Andalus" w:cs="Andalus"/>
        <w:noProof/>
      </w:rPr>
      <w:drawing>
        <wp:inline distT="0" distB="0" distL="0" distR="0">
          <wp:extent cx="276225" cy="276225"/>
          <wp:effectExtent l="19050" t="0" r="9525" b="0"/>
          <wp:docPr id="4" name="Picture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mages.jpg"/>
                  <pic:cNvPicPr>
                    <a:picLocks noChangeAspect="1" noChangeArrowheads="1"/>
                  </pic:cNvPicPr>
                </pic:nvPicPr>
                <pic:blipFill>
                  <a:blip r:embed="rId1"/>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224DF7">
      <w:rPr>
        <w:rFonts w:ascii="Berlin Sans FB" w:hAnsi="Berlin Sans FB" w:cs="Andalus"/>
        <w:sz w:val="26"/>
        <w:szCs w:val="26"/>
      </w:rPr>
      <w:t>DIVESH GOYAL</w:t>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Pr>
        <w:rFonts w:ascii="Andalus" w:hAnsi="Andalus" w:cs="Andalus"/>
      </w:rPr>
      <w:tab/>
    </w:r>
    <w:r w:rsidRPr="003604FA">
      <w:rPr>
        <w:rFonts w:ascii="Berlin Sans FB" w:hAnsi="Berlin Sans FB" w:cs="Andalus"/>
      </w:rPr>
      <w:t>Mob: +918130757966</w:t>
    </w:r>
  </w:p>
  <w:p w:rsidR="00052FA3" w:rsidRPr="003604FA" w:rsidRDefault="00052FA3" w:rsidP="00052FA3">
    <w:pPr>
      <w:pStyle w:val="Header"/>
      <w:tabs>
        <w:tab w:val="clear" w:pos="4680"/>
        <w:tab w:val="clear" w:pos="9360"/>
      </w:tabs>
      <w:rPr>
        <w:rFonts w:ascii="Berlin Sans FB" w:hAnsi="Berlin Sans FB" w:cs="Andalus"/>
      </w:rPr>
    </w:pPr>
    <w:r w:rsidRPr="003604FA">
      <w:rPr>
        <w:rFonts w:ascii="Berlin Sans FB" w:hAnsi="Berlin Sans FB" w:cs="Andalus"/>
      </w:rPr>
      <w:t>Practicing Company Secretary</w:t>
    </w:r>
    <w:r w:rsidRPr="003604FA">
      <w:rPr>
        <w:rFonts w:ascii="Berlin Sans FB" w:hAnsi="Berlin Sans FB" w:cs="Andalus"/>
      </w:rPr>
      <w:tab/>
    </w:r>
    <w:r w:rsidRPr="003604FA">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hyperlink r:id="rId2" w:history="1">
      <w:r w:rsidRPr="003604FA">
        <w:rPr>
          <w:rStyle w:val="Hyperlink"/>
          <w:rFonts w:ascii="Berlin Sans FB" w:hAnsi="Berlin Sans FB" w:cs="Andalus"/>
        </w:rPr>
        <w:t>csdiveshgoyal@gmail.com</w:t>
      </w:r>
    </w:hyperlink>
  </w:p>
  <w:p w:rsidR="00052FA3" w:rsidRPr="00677073" w:rsidRDefault="00052FA3" w:rsidP="00052FA3">
    <w:pPr>
      <w:pStyle w:val="Header"/>
      <w:pBdr>
        <w:bottom w:val="thinThickLargeGap" w:sz="24" w:space="1" w:color="auto"/>
      </w:pBdr>
      <w:tabs>
        <w:tab w:val="clear" w:pos="4680"/>
        <w:tab w:val="clear" w:pos="9360"/>
      </w:tabs>
      <w:rPr>
        <w:rFonts w:ascii="Berlin Sans FB" w:hAnsi="Berlin Sans FB" w:cs="Andalus"/>
      </w:rPr>
    </w:pPr>
    <w:r w:rsidRPr="003604FA">
      <w:rPr>
        <w:rFonts w:ascii="Berlin Sans FB" w:hAnsi="Berlin Sans FB" w:cs="Andalus"/>
      </w:rPr>
      <w:t>GOYAL DIVESH&amp; ASSOCIATES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B70F1"/>
    <w:multiLevelType w:val="hybridMultilevel"/>
    <w:tmpl w:val="36C6B9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0756CA"/>
    <w:multiLevelType w:val="hybridMultilevel"/>
    <w:tmpl w:val="8B0E31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B90BF3"/>
    <w:multiLevelType w:val="hybridMultilevel"/>
    <w:tmpl w:val="24A652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3924AF"/>
    <w:multiLevelType w:val="hybridMultilevel"/>
    <w:tmpl w:val="222E9E16"/>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1D062482"/>
    <w:multiLevelType w:val="hybridMultilevel"/>
    <w:tmpl w:val="6D8CFC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B40BC4"/>
    <w:multiLevelType w:val="hybridMultilevel"/>
    <w:tmpl w:val="899A4B7C"/>
    <w:lvl w:ilvl="0" w:tplc="29E6D42E">
      <w:numFmt w:val="bullet"/>
      <w:lvlText w:val="-"/>
      <w:lvlJc w:val="left"/>
      <w:pPr>
        <w:ind w:left="720" w:hanging="360"/>
      </w:pPr>
      <w:rPr>
        <w:rFonts w:ascii="Sylfaen" w:eastAsiaTheme="minorEastAsia" w:hAnsi="Sylfaen"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7E1BB3"/>
    <w:multiLevelType w:val="hybridMultilevel"/>
    <w:tmpl w:val="C2E2CADA"/>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31041AC8"/>
    <w:multiLevelType w:val="hybridMultilevel"/>
    <w:tmpl w:val="222E9E16"/>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3461390C"/>
    <w:multiLevelType w:val="hybridMultilevel"/>
    <w:tmpl w:val="95402A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8447EE"/>
    <w:multiLevelType w:val="hybridMultilevel"/>
    <w:tmpl w:val="6DDE75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CB24B4B"/>
    <w:multiLevelType w:val="hybridMultilevel"/>
    <w:tmpl w:val="963890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FD6DF1"/>
    <w:multiLevelType w:val="hybridMultilevel"/>
    <w:tmpl w:val="158023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990987"/>
    <w:multiLevelType w:val="hybridMultilevel"/>
    <w:tmpl w:val="0106ABA2"/>
    <w:lvl w:ilvl="0" w:tplc="E3CA7570">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E23101"/>
    <w:multiLevelType w:val="hybridMultilevel"/>
    <w:tmpl w:val="9DB2391C"/>
    <w:lvl w:ilvl="0" w:tplc="6CF423DA">
      <w:start w:val="1"/>
      <w:numFmt w:val="upperLetter"/>
      <w:lvlText w:val="%1."/>
      <w:lvlJc w:val="left"/>
      <w:pPr>
        <w:ind w:left="720" w:hanging="360"/>
      </w:pPr>
      <w:rPr>
        <w:rFonts w:hint="default"/>
        <w:color w:val="403152" w:themeColor="accent4" w:themeShade="8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E06DE3"/>
    <w:multiLevelType w:val="hybridMultilevel"/>
    <w:tmpl w:val="DAE880E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39C7B1C"/>
    <w:multiLevelType w:val="hybridMultilevel"/>
    <w:tmpl w:val="7E90F84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75731719"/>
    <w:multiLevelType w:val="hybridMultilevel"/>
    <w:tmpl w:val="8D5478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A32AAF"/>
    <w:multiLevelType w:val="hybridMultilevel"/>
    <w:tmpl w:val="5B8A41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A893FB4"/>
    <w:multiLevelType w:val="hybridMultilevel"/>
    <w:tmpl w:val="C6D45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C790286"/>
    <w:multiLevelType w:val="hybridMultilevel"/>
    <w:tmpl w:val="DBCA4D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8"/>
  </w:num>
  <w:num w:numId="4">
    <w:abstractNumId w:val="15"/>
  </w:num>
  <w:num w:numId="5">
    <w:abstractNumId w:val="7"/>
  </w:num>
  <w:num w:numId="6">
    <w:abstractNumId w:val="1"/>
  </w:num>
  <w:num w:numId="7">
    <w:abstractNumId w:val="8"/>
  </w:num>
  <w:num w:numId="8">
    <w:abstractNumId w:val="11"/>
  </w:num>
  <w:num w:numId="9">
    <w:abstractNumId w:val="16"/>
  </w:num>
  <w:num w:numId="10">
    <w:abstractNumId w:val="3"/>
  </w:num>
  <w:num w:numId="11">
    <w:abstractNumId w:val="0"/>
  </w:num>
  <w:num w:numId="12">
    <w:abstractNumId w:val="9"/>
  </w:num>
  <w:num w:numId="13">
    <w:abstractNumId w:val="19"/>
  </w:num>
  <w:num w:numId="14">
    <w:abstractNumId w:val="5"/>
  </w:num>
  <w:num w:numId="15">
    <w:abstractNumId w:val="17"/>
  </w:num>
  <w:num w:numId="16">
    <w:abstractNumId w:val="14"/>
  </w:num>
  <w:num w:numId="17">
    <w:abstractNumId w:val="10"/>
  </w:num>
  <w:num w:numId="18">
    <w:abstractNumId w:val="6"/>
  </w:num>
  <w:num w:numId="19">
    <w:abstractNumId w:val="13"/>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0"/>
    <w:footnote w:id="1"/>
  </w:footnotePr>
  <w:endnotePr>
    <w:endnote w:id="0"/>
    <w:endnote w:id="1"/>
  </w:endnotePr>
  <w:compat>
    <w:useFELayout/>
  </w:compat>
  <w:rsids>
    <w:rsidRoot w:val="00DF264E"/>
    <w:rsid w:val="00011AF4"/>
    <w:rsid w:val="00040502"/>
    <w:rsid w:val="00052FA3"/>
    <w:rsid w:val="000611D7"/>
    <w:rsid w:val="00081EB8"/>
    <w:rsid w:val="00091B98"/>
    <w:rsid w:val="000A3BD4"/>
    <w:rsid w:val="000E4288"/>
    <w:rsid w:val="00127C6F"/>
    <w:rsid w:val="00164081"/>
    <w:rsid w:val="00191E53"/>
    <w:rsid w:val="001B23E6"/>
    <w:rsid w:val="0021241F"/>
    <w:rsid w:val="0028615C"/>
    <w:rsid w:val="002A76C1"/>
    <w:rsid w:val="002B2544"/>
    <w:rsid w:val="002F0193"/>
    <w:rsid w:val="00326AE1"/>
    <w:rsid w:val="00395A02"/>
    <w:rsid w:val="003C2FFE"/>
    <w:rsid w:val="00434F9C"/>
    <w:rsid w:val="004B429E"/>
    <w:rsid w:val="004D16A3"/>
    <w:rsid w:val="004F07F0"/>
    <w:rsid w:val="0055786B"/>
    <w:rsid w:val="005C72DF"/>
    <w:rsid w:val="005E2315"/>
    <w:rsid w:val="005E3445"/>
    <w:rsid w:val="0060350A"/>
    <w:rsid w:val="00626384"/>
    <w:rsid w:val="00636F41"/>
    <w:rsid w:val="00640D58"/>
    <w:rsid w:val="0068430D"/>
    <w:rsid w:val="00712ECC"/>
    <w:rsid w:val="007271B4"/>
    <w:rsid w:val="0075476A"/>
    <w:rsid w:val="007569F8"/>
    <w:rsid w:val="0076419F"/>
    <w:rsid w:val="00786E12"/>
    <w:rsid w:val="007D52E0"/>
    <w:rsid w:val="00820B03"/>
    <w:rsid w:val="0083130C"/>
    <w:rsid w:val="008514EE"/>
    <w:rsid w:val="008D7503"/>
    <w:rsid w:val="008D7A5C"/>
    <w:rsid w:val="008E115C"/>
    <w:rsid w:val="00913563"/>
    <w:rsid w:val="009365BA"/>
    <w:rsid w:val="00950D59"/>
    <w:rsid w:val="009B2BB1"/>
    <w:rsid w:val="009C55DA"/>
    <w:rsid w:val="00A0154F"/>
    <w:rsid w:val="00A21C63"/>
    <w:rsid w:val="00A53FF1"/>
    <w:rsid w:val="00A7664F"/>
    <w:rsid w:val="00AA3015"/>
    <w:rsid w:val="00AD2571"/>
    <w:rsid w:val="00AE323C"/>
    <w:rsid w:val="00B14AAC"/>
    <w:rsid w:val="00B42AA7"/>
    <w:rsid w:val="00BB5E9C"/>
    <w:rsid w:val="00C35F9E"/>
    <w:rsid w:val="00C5370E"/>
    <w:rsid w:val="00CC74EB"/>
    <w:rsid w:val="00CE1982"/>
    <w:rsid w:val="00CE26B0"/>
    <w:rsid w:val="00D2410B"/>
    <w:rsid w:val="00D24C9C"/>
    <w:rsid w:val="00D340F6"/>
    <w:rsid w:val="00D3460F"/>
    <w:rsid w:val="00D6323A"/>
    <w:rsid w:val="00D63A0A"/>
    <w:rsid w:val="00D764B4"/>
    <w:rsid w:val="00DE529C"/>
    <w:rsid w:val="00DF0F58"/>
    <w:rsid w:val="00DF264E"/>
    <w:rsid w:val="00E0149D"/>
    <w:rsid w:val="00E17E5A"/>
    <w:rsid w:val="00E23FE2"/>
    <w:rsid w:val="00EA1D97"/>
    <w:rsid w:val="00EC3F06"/>
    <w:rsid w:val="00F0422C"/>
    <w:rsid w:val="00F61CB1"/>
    <w:rsid w:val="00F66348"/>
    <w:rsid w:val="00FA57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rules v:ext="edit">
        <o:r id="V:Rule1" type="callout" idref="#AutoShape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BB1"/>
  </w:style>
  <w:style w:type="paragraph" w:styleId="Heading2">
    <w:name w:val="heading 2"/>
    <w:basedOn w:val="Normal"/>
    <w:next w:val="Normal"/>
    <w:link w:val="Heading2Char"/>
    <w:uiPriority w:val="9"/>
    <w:unhideWhenUsed/>
    <w:qFormat/>
    <w:rsid w:val="00DF264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F264E"/>
    <w:pPr>
      <w:autoSpaceDE w:val="0"/>
      <w:autoSpaceDN w:val="0"/>
      <w:adjustRightInd w:val="0"/>
      <w:spacing w:after="0" w:line="240" w:lineRule="auto"/>
    </w:pPr>
    <w:rPr>
      <w:rFonts w:ascii="Arial" w:hAnsi="Arial" w:cs="Arial"/>
      <w:color w:val="000000"/>
      <w:sz w:val="24"/>
      <w:szCs w:val="24"/>
    </w:rPr>
  </w:style>
  <w:style w:type="character" w:styleId="SubtleEmphasis">
    <w:name w:val="Subtle Emphasis"/>
    <w:basedOn w:val="DefaultParagraphFont"/>
    <w:uiPriority w:val="19"/>
    <w:qFormat/>
    <w:rsid w:val="00DF264E"/>
    <w:rPr>
      <w:i/>
      <w:iCs/>
      <w:color w:val="808080" w:themeColor="text1" w:themeTint="7F"/>
    </w:rPr>
  </w:style>
  <w:style w:type="character" w:customStyle="1" w:styleId="Heading2Char">
    <w:name w:val="Heading 2 Char"/>
    <w:basedOn w:val="DefaultParagraphFont"/>
    <w:link w:val="Heading2"/>
    <w:uiPriority w:val="9"/>
    <w:rsid w:val="00DF264E"/>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CC74EB"/>
    <w:pPr>
      <w:ind w:left="720"/>
      <w:contextualSpacing/>
    </w:pPr>
  </w:style>
  <w:style w:type="paragraph" w:styleId="Title">
    <w:name w:val="Title"/>
    <w:basedOn w:val="Normal"/>
    <w:next w:val="Normal"/>
    <w:link w:val="TitleChar"/>
    <w:uiPriority w:val="10"/>
    <w:qFormat/>
    <w:rsid w:val="009135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3563"/>
    <w:rPr>
      <w:rFonts w:asciiTheme="majorHAnsi" w:eastAsiaTheme="majorEastAsia" w:hAnsiTheme="majorHAnsi" w:cstheme="majorBidi"/>
      <w:color w:val="17365D" w:themeColor="text2" w:themeShade="BF"/>
      <w:spacing w:val="5"/>
      <w:kern w:val="28"/>
      <w:sz w:val="52"/>
      <w:szCs w:val="52"/>
    </w:rPr>
  </w:style>
  <w:style w:type="paragraph" w:styleId="FootnoteText">
    <w:name w:val="footnote text"/>
    <w:basedOn w:val="Normal"/>
    <w:link w:val="FootnoteTextChar"/>
    <w:uiPriority w:val="99"/>
    <w:semiHidden/>
    <w:unhideWhenUsed/>
    <w:rsid w:val="00820B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0B03"/>
    <w:rPr>
      <w:sz w:val="20"/>
      <w:szCs w:val="20"/>
    </w:rPr>
  </w:style>
  <w:style w:type="character" w:styleId="FootnoteReference">
    <w:name w:val="footnote reference"/>
    <w:basedOn w:val="DefaultParagraphFont"/>
    <w:uiPriority w:val="99"/>
    <w:semiHidden/>
    <w:unhideWhenUsed/>
    <w:rsid w:val="00820B03"/>
    <w:rPr>
      <w:vertAlign w:val="superscript"/>
    </w:rPr>
  </w:style>
  <w:style w:type="character" w:styleId="Hyperlink">
    <w:name w:val="Hyperlink"/>
    <w:basedOn w:val="DefaultParagraphFont"/>
    <w:uiPriority w:val="99"/>
    <w:unhideWhenUsed/>
    <w:rsid w:val="00FA5713"/>
    <w:rPr>
      <w:color w:val="0000FF" w:themeColor="hyperlink"/>
      <w:u w:val="single"/>
    </w:rPr>
  </w:style>
  <w:style w:type="paragraph" w:styleId="BalloonText">
    <w:name w:val="Balloon Text"/>
    <w:basedOn w:val="Normal"/>
    <w:link w:val="BalloonTextChar"/>
    <w:uiPriority w:val="99"/>
    <w:semiHidden/>
    <w:unhideWhenUsed/>
    <w:rsid w:val="00FA57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713"/>
    <w:rPr>
      <w:rFonts w:ascii="Tahoma" w:hAnsi="Tahoma" w:cs="Tahoma"/>
      <w:sz w:val="16"/>
      <w:szCs w:val="16"/>
    </w:rPr>
  </w:style>
  <w:style w:type="paragraph" w:styleId="Header">
    <w:name w:val="header"/>
    <w:basedOn w:val="Normal"/>
    <w:link w:val="HeaderChar"/>
    <w:uiPriority w:val="99"/>
    <w:unhideWhenUsed/>
    <w:rsid w:val="00052F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2FA3"/>
  </w:style>
  <w:style w:type="paragraph" w:styleId="Footer">
    <w:name w:val="footer"/>
    <w:basedOn w:val="Normal"/>
    <w:link w:val="FooterChar"/>
    <w:uiPriority w:val="99"/>
    <w:unhideWhenUsed/>
    <w:rsid w:val="00052F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2FA3"/>
  </w:style>
  <w:style w:type="table" w:styleId="TableGrid">
    <w:name w:val="Table Grid"/>
    <w:basedOn w:val="TableNormal"/>
    <w:uiPriority w:val="59"/>
    <w:rsid w:val="00326A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Grid-Accent1">
    <w:name w:val="Light Grid Accent 1"/>
    <w:basedOn w:val="TableNormal"/>
    <w:uiPriority w:val="62"/>
    <w:rsid w:val="00326AE1"/>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cweb.rbi.org.in/ORFSMainWeb/Login.jsp" TargetMode="External"/><Relationship Id="rId18" Type="http://schemas.openxmlformats.org/officeDocument/2006/relationships/diagramData" Target="diagrams/data3.xml"/><Relationship Id="rId3" Type="http://schemas.openxmlformats.org/officeDocument/2006/relationships/styles" Target="styles.xml"/><Relationship Id="rId21" Type="http://schemas.openxmlformats.org/officeDocument/2006/relationships/diagramColors" Target="diagrams/colors3.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diagramLayout" Target="diagrams/layout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csdiveshgoyal@gmail.com" TargetMode="External"/><Relationship Id="rId2" Type="http://schemas.openxmlformats.org/officeDocument/2006/relationships/hyperlink" Target="http://www.csdiveshgoyal.info" TargetMode="External"/><Relationship Id="rId1" Type="http://schemas.openxmlformats.org/officeDocument/2006/relationships/hyperlink" Target="mailto:csdiveshgoyal@gmail.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csdiveshgoyal@gmail.com" TargetMode="External"/><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C812F54-E8B4-42B0-9092-4D46D39ADF0B}" type="doc">
      <dgm:prSet loTypeId="urn:microsoft.com/office/officeart/2005/8/layout/radial5" loCatId="relationship" qsTypeId="urn:microsoft.com/office/officeart/2005/8/quickstyle/simple5" qsCatId="simple" csTypeId="urn:microsoft.com/office/officeart/2005/8/colors/colorful4" csCatId="colorful" phldr="1"/>
      <dgm:spPr/>
      <dgm:t>
        <a:bodyPr/>
        <a:lstStyle/>
        <a:p>
          <a:endParaRPr lang="en-US"/>
        </a:p>
      </dgm:t>
    </dgm:pt>
    <dgm:pt modelId="{C82081D3-7FF6-4798-87A1-A5B9C16565B6}">
      <dgm:prSet phldrT="[Text]"/>
      <dgm:spPr/>
      <dgm:t>
        <a:bodyPr/>
        <a:lstStyle/>
        <a:p>
          <a:r>
            <a:rPr lang="en-US" b="1">
              <a:latin typeface="Aharoni" pitchFamily="2" charset="-79"/>
              <a:cs typeface="Aharoni" pitchFamily="2" charset="-79"/>
            </a:rPr>
            <a:t>Eligible Investor</a:t>
          </a:r>
        </a:p>
      </dgm:t>
    </dgm:pt>
    <dgm:pt modelId="{11045DF0-B397-4E32-BA0B-3B5CD5198C85}" type="parTrans" cxnId="{716AEF83-6190-4B6C-9E23-DF71911D94A9}">
      <dgm:prSet/>
      <dgm:spPr/>
      <dgm:t>
        <a:bodyPr/>
        <a:lstStyle/>
        <a:p>
          <a:endParaRPr lang="en-US"/>
        </a:p>
      </dgm:t>
    </dgm:pt>
    <dgm:pt modelId="{92AC660C-8A63-4219-9ABD-3232D0146BF9}" type="sibTrans" cxnId="{716AEF83-6190-4B6C-9E23-DF71911D94A9}">
      <dgm:prSet/>
      <dgm:spPr/>
      <dgm:t>
        <a:bodyPr/>
        <a:lstStyle/>
        <a:p>
          <a:endParaRPr lang="en-US"/>
        </a:p>
      </dgm:t>
    </dgm:pt>
    <dgm:pt modelId="{A645FA07-3819-4329-94B0-A43A40682644}">
      <dgm:prSet phldrT="[Text]"/>
      <dgm:spPr/>
      <dgm:t>
        <a:bodyPr/>
        <a:lstStyle/>
        <a:p>
          <a:r>
            <a:rPr lang="en-US"/>
            <a:t>Non Resident Entity</a:t>
          </a:r>
        </a:p>
      </dgm:t>
    </dgm:pt>
    <dgm:pt modelId="{1F6F7370-DE81-441F-A700-E7820CB51015}" type="parTrans" cxnId="{46A36AF7-7FC4-4D28-9D37-F87941E973E7}">
      <dgm:prSet/>
      <dgm:spPr/>
      <dgm:t>
        <a:bodyPr/>
        <a:lstStyle/>
        <a:p>
          <a:endParaRPr lang="en-US"/>
        </a:p>
      </dgm:t>
    </dgm:pt>
    <dgm:pt modelId="{60B05D2C-3997-421F-9A59-CCE15329E83D}" type="sibTrans" cxnId="{46A36AF7-7FC4-4D28-9D37-F87941E973E7}">
      <dgm:prSet/>
      <dgm:spPr/>
      <dgm:t>
        <a:bodyPr/>
        <a:lstStyle/>
        <a:p>
          <a:endParaRPr lang="en-US"/>
        </a:p>
      </dgm:t>
    </dgm:pt>
    <dgm:pt modelId="{0EB23516-03A6-4488-830C-9F546D6323F9}">
      <dgm:prSet phldrT="[Text]"/>
      <dgm:spPr/>
      <dgm:t>
        <a:bodyPr/>
        <a:lstStyle/>
        <a:p>
          <a:r>
            <a:rPr lang="en-US"/>
            <a:t>NRI</a:t>
          </a:r>
        </a:p>
      </dgm:t>
    </dgm:pt>
    <dgm:pt modelId="{D322039F-8A36-4A48-8E5B-039F7B6C919A}" type="parTrans" cxnId="{6715DEBB-39EF-4BDF-8B66-1A14D1109CC1}">
      <dgm:prSet/>
      <dgm:spPr/>
      <dgm:t>
        <a:bodyPr/>
        <a:lstStyle/>
        <a:p>
          <a:endParaRPr lang="en-US"/>
        </a:p>
      </dgm:t>
    </dgm:pt>
    <dgm:pt modelId="{B3D76B17-93A1-4305-A04F-03FAC49DADC2}" type="sibTrans" cxnId="{6715DEBB-39EF-4BDF-8B66-1A14D1109CC1}">
      <dgm:prSet/>
      <dgm:spPr/>
      <dgm:t>
        <a:bodyPr/>
        <a:lstStyle/>
        <a:p>
          <a:endParaRPr lang="en-US"/>
        </a:p>
      </dgm:t>
    </dgm:pt>
    <dgm:pt modelId="{509CBCE0-1EAB-4C0C-90EA-F5F4EF179CB9}">
      <dgm:prSet phldrT="[Text]"/>
      <dgm:spPr/>
      <dgm:t>
        <a:bodyPr/>
        <a:lstStyle/>
        <a:p>
          <a:r>
            <a:rPr lang="en-US"/>
            <a:t>FFI &amp; FPI</a:t>
          </a:r>
        </a:p>
      </dgm:t>
    </dgm:pt>
    <dgm:pt modelId="{14ADF02C-9BA7-44B0-9EB8-4E1484AD7A03}" type="parTrans" cxnId="{4DE71150-E6AD-44BC-A954-A27615F0D345}">
      <dgm:prSet/>
      <dgm:spPr/>
      <dgm:t>
        <a:bodyPr/>
        <a:lstStyle/>
        <a:p>
          <a:endParaRPr lang="en-US"/>
        </a:p>
      </dgm:t>
    </dgm:pt>
    <dgm:pt modelId="{A79D2DC6-BC8F-4909-A371-135CB6B13352}" type="sibTrans" cxnId="{4DE71150-E6AD-44BC-A954-A27615F0D345}">
      <dgm:prSet/>
      <dgm:spPr/>
      <dgm:t>
        <a:bodyPr/>
        <a:lstStyle/>
        <a:p>
          <a:endParaRPr lang="en-US"/>
        </a:p>
      </dgm:t>
    </dgm:pt>
    <dgm:pt modelId="{0949BC6B-A08A-4A89-8237-CEA2FF51C7C2}">
      <dgm:prSet/>
      <dgm:spPr/>
      <dgm:t>
        <a:bodyPr/>
        <a:lstStyle/>
        <a:p>
          <a:r>
            <a:rPr lang="en-US" u="none"/>
            <a:t>Registered FIIs/FPIs and NRIs</a:t>
          </a:r>
        </a:p>
      </dgm:t>
    </dgm:pt>
    <dgm:pt modelId="{4A3141B0-367B-4CC6-A12D-BA95580C19F8}" type="parTrans" cxnId="{5FBC1BD7-9887-4D77-A25C-9D311FE98F93}">
      <dgm:prSet/>
      <dgm:spPr/>
      <dgm:t>
        <a:bodyPr/>
        <a:lstStyle/>
        <a:p>
          <a:endParaRPr lang="en-US"/>
        </a:p>
      </dgm:t>
    </dgm:pt>
    <dgm:pt modelId="{2D57BF21-5573-490A-BE2E-C5A1EEC96E7F}" type="sibTrans" cxnId="{5FBC1BD7-9887-4D77-A25C-9D311FE98F93}">
      <dgm:prSet/>
      <dgm:spPr/>
      <dgm:t>
        <a:bodyPr/>
        <a:lstStyle/>
        <a:p>
          <a:endParaRPr lang="en-US"/>
        </a:p>
      </dgm:t>
    </dgm:pt>
    <dgm:pt modelId="{D35E95CA-2693-4879-AAB6-2B91646718B4}">
      <dgm:prSet/>
      <dgm:spPr/>
      <dgm:t>
        <a:bodyPr/>
        <a:lstStyle/>
        <a:p>
          <a:r>
            <a:rPr lang="en-US"/>
            <a:t>OCB</a:t>
          </a:r>
        </a:p>
      </dgm:t>
    </dgm:pt>
    <dgm:pt modelId="{85CF7D00-F1B8-43BE-A38E-6A357C6D7847}" type="parTrans" cxnId="{F376251F-53AB-43ED-9EEB-88A74ED6D945}">
      <dgm:prSet/>
      <dgm:spPr/>
      <dgm:t>
        <a:bodyPr/>
        <a:lstStyle/>
        <a:p>
          <a:endParaRPr lang="en-US"/>
        </a:p>
      </dgm:t>
    </dgm:pt>
    <dgm:pt modelId="{EA5767B0-E9BD-437F-9AE6-5521A5277495}" type="sibTrans" cxnId="{F376251F-53AB-43ED-9EEB-88A74ED6D945}">
      <dgm:prSet/>
      <dgm:spPr/>
      <dgm:t>
        <a:bodyPr/>
        <a:lstStyle/>
        <a:p>
          <a:endParaRPr lang="en-US"/>
        </a:p>
      </dgm:t>
    </dgm:pt>
    <dgm:pt modelId="{DC03CB52-8D94-4711-B3FC-B4B4C06D0D91}">
      <dgm:prSet/>
      <dgm:spPr/>
      <dgm:t>
        <a:bodyPr/>
        <a:lstStyle/>
        <a:p>
          <a:r>
            <a:rPr lang="en-US"/>
            <a:t>Compay/ Trust/ Partnership</a:t>
          </a:r>
        </a:p>
      </dgm:t>
    </dgm:pt>
    <dgm:pt modelId="{3FE4DD7E-00A0-4C00-9559-D3153C8E8427}" type="parTrans" cxnId="{500E59D0-ED37-4E03-853F-E9D5379B08AA}">
      <dgm:prSet/>
      <dgm:spPr/>
      <dgm:t>
        <a:bodyPr/>
        <a:lstStyle/>
        <a:p>
          <a:endParaRPr lang="en-US"/>
        </a:p>
      </dgm:t>
    </dgm:pt>
    <dgm:pt modelId="{A8CDD531-7DC2-4836-A773-3FC6A50D91CB}" type="sibTrans" cxnId="{500E59D0-ED37-4E03-853F-E9D5379B08AA}">
      <dgm:prSet/>
      <dgm:spPr/>
      <dgm:t>
        <a:bodyPr/>
        <a:lstStyle/>
        <a:p>
          <a:endParaRPr lang="en-US"/>
        </a:p>
      </dgm:t>
    </dgm:pt>
    <dgm:pt modelId="{50F8025F-1F77-4455-B3E4-513B62DDC033}">
      <dgm:prSet/>
      <dgm:spPr/>
      <dgm:t>
        <a:bodyPr/>
        <a:lstStyle/>
        <a:p>
          <a:r>
            <a:rPr lang="en-US" u="none"/>
            <a:t>SEBI registered FVCI</a:t>
          </a:r>
        </a:p>
      </dgm:t>
    </dgm:pt>
    <dgm:pt modelId="{E030604A-0B8C-4C79-8766-63E5CE9D75D5}" type="parTrans" cxnId="{3698856B-3A73-4052-B503-25EA3CF7D6CA}">
      <dgm:prSet/>
      <dgm:spPr/>
      <dgm:t>
        <a:bodyPr/>
        <a:lstStyle/>
        <a:p>
          <a:endParaRPr lang="en-US"/>
        </a:p>
      </dgm:t>
    </dgm:pt>
    <dgm:pt modelId="{757456B9-4DC1-4347-BFE8-615BCB7A6884}" type="sibTrans" cxnId="{3698856B-3A73-4052-B503-25EA3CF7D6CA}">
      <dgm:prSet/>
      <dgm:spPr/>
      <dgm:t>
        <a:bodyPr/>
        <a:lstStyle/>
        <a:p>
          <a:endParaRPr lang="en-US"/>
        </a:p>
      </dgm:t>
    </dgm:pt>
    <dgm:pt modelId="{3A55D097-DB14-4052-9F1D-C228C1022F53}" type="pres">
      <dgm:prSet presAssocID="{6C812F54-E8B4-42B0-9092-4D46D39ADF0B}" presName="Name0" presStyleCnt="0">
        <dgm:presLayoutVars>
          <dgm:chMax val="1"/>
          <dgm:dir/>
          <dgm:animLvl val="ctr"/>
          <dgm:resizeHandles val="exact"/>
        </dgm:presLayoutVars>
      </dgm:prSet>
      <dgm:spPr/>
      <dgm:t>
        <a:bodyPr/>
        <a:lstStyle/>
        <a:p>
          <a:endParaRPr lang="en-US"/>
        </a:p>
      </dgm:t>
    </dgm:pt>
    <dgm:pt modelId="{CDA2290F-91E7-42DD-9B6E-CDCFC47F42D9}" type="pres">
      <dgm:prSet presAssocID="{C82081D3-7FF6-4798-87A1-A5B9C16565B6}" presName="centerShape" presStyleLbl="node0" presStyleIdx="0" presStyleCnt="1" custScaleX="131477" custScaleY="114864"/>
      <dgm:spPr/>
      <dgm:t>
        <a:bodyPr/>
        <a:lstStyle/>
        <a:p>
          <a:endParaRPr lang="en-US"/>
        </a:p>
      </dgm:t>
    </dgm:pt>
    <dgm:pt modelId="{326DDD89-9180-4D4A-A09B-6311A23D4114}" type="pres">
      <dgm:prSet presAssocID="{1F6F7370-DE81-441F-A700-E7820CB51015}" presName="parTrans" presStyleLbl="sibTrans2D1" presStyleIdx="0" presStyleCnt="7"/>
      <dgm:spPr/>
      <dgm:t>
        <a:bodyPr/>
        <a:lstStyle/>
        <a:p>
          <a:endParaRPr lang="en-US"/>
        </a:p>
      </dgm:t>
    </dgm:pt>
    <dgm:pt modelId="{E7E318AB-D287-46F9-8708-67F302437A5B}" type="pres">
      <dgm:prSet presAssocID="{1F6F7370-DE81-441F-A700-E7820CB51015}" presName="connectorText" presStyleLbl="sibTrans2D1" presStyleIdx="0" presStyleCnt="7"/>
      <dgm:spPr/>
      <dgm:t>
        <a:bodyPr/>
        <a:lstStyle/>
        <a:p>
          <a:endParaRPr lang="en-US"/>
        </a:p>
      </dgm:t>
    </dgm:pt>
    <dgm:pt modelId="{429C2323-631B-402B-B2AC-DCA6808FF51A}" type="pres">
      <dgm:prSet presAssocID="{A645FA07-3819-4329-94B0-A43A40682644}" presName="node" presStyleLbl="node1" presStyleIdx="0" presStyleCnt="7" custScaleX="120452" custScaleY="106047">
        <dgm:presLayoutVars>
          <dgm:bulletEnabled val="1"/>
        </dgm:presLayoutVars>
      </dgm:prSet>
      <dgm:spPr/>
      <dgm:t>
        <a:bodyPr/>
        <a:lstStyle/>
        <a:p>
          <a:endParaRPr lang="en-US"/>
        </a:p>
      </dgm:t>
    </dgm:pt>
    <dgm:pt modelId="{D2943EB9-B881-486F-9D0C-26489D045B12}" type="pres">
      <dgm:prSet presAssocID="{D322039F-8A36-4A48-8E5B-039F7B6C919A}" presName="parTrans" presStyleLbl="sibTrans2D1" presStyleIdx="1" presStyleCnt="7"/>
      <dgm:spPr/>
      <dgm:t>
        <a:bodyPr/>
        <a:lstStyle/>
        <a:p>
          <a:endParaRPr lang="en-US"/>
        </a:p>
      </dgm:t>
    </dgm:pt>
    <dgm:pt modelId="{A81177B0-C1AC-4C56-8E6D-A5603BA5B499}" type="pres">
      <dgm:prSet presAssocID="{D322039F-8A36-4A48-8E5B-039F7B6C919A}" presName="connectorText" presStyleLbl="sibTrans2D1" presStyleIdx="1" presStyleCnt="7"/>
      <dgm:spPr/>
      <dgm:t>
        <a:bodyPr/>
        <a:lstStyle/>
        <a:p>
          <a:endParaRPr lang="en-US"/>
        </a:p>
      </dgm:t>
    </dgm:pt>
    <dgm:pt modelId="{DB5D6C25-6ADA-4C4C-A212-EF316BB38B02}" type="pres">
      <dgm:prSet presAssocID="{0EB23516-03A6-4488-830C-9F546D6323F9}" presName="node" presStyleLbl="node1" presStyleIdx="1" presStyleCnt="7">
        <dgm:presLayoutVars>
          <dgm:bulletEnabled val="1"/>
        </dgm:presLayoutVars>
      </dgm:prSet>
      <dgm:spPr/>
      <dgm:t>
        <a:bodyPr/>
        <a:lstStyle/>
        <a:p>
          <a:endParaRPr lang="en-US"/>
        </a:p>
      </dgm:t>
    </dgm:pt>
    <dgm:pt modelId="{CC99C140-2C55-4E13-8288-D793BFAA4FEC}" type="pres">
      <dgm:prSet presAssocID="{85CF7D00-F1B8-43BE-A38E-6A357C6D7847}" presName="parTrans" presStyleLbl="sibTrans2D1" presStyleIdx="2" presStyleCnt="7"/>
      <dgm:spPr/>
      <dgm:t>
        <a:bodyPr/>
        <a:lstStyle/>
        <a:p>
          <a:endParaRPr lang="en-US"/>
        </a:p>
      </dgm:t>
    </dgm:pt>
    <dgm:pt modelId="{8883FC17-D31C-45F2-9C2C-BEDFD4C3F87E}" type="pres">
      <dgm:prSet presAssocID="{85CF7D00-F1B8-43BE-A38E-6A357C6D7847}" presName="connectorText" presStyleLbl="sibTrans2D1" presStyleIdx="2" presStyleCnt="7"/>
      <dgm:spPr/>
      <dgm:t>
        <a:bodyPr/>
        <a:lstStyle/>
        <a:p>
          <a:endParaRPr lang="en-US"/>
        </a:p>
      </dgm:t>
    </dgm:pt>
    <dgm:pt modelId="{61C49E44-8BB6-4741-A6E4-AEEA629AF068}" type="pres">
      <dgm:prSet presAssocID="{D35E95CA-2693-4879-AAB6-2B91646718B4}" presName="node" presStyleLbl="node1" presStyleIdx="2" presStyleCnt="7">
        <dgm:presLayoutVars>
          <dgm:bulletEnabled val="1"/>
        </dgm:presLayoutVars>
      </dgm:prSet>
      <dgm:spPr/>
      <dgm:t>
        <a:bodyPr/>
        <a:lstStyle/>
        <a:p>
          <a:endParaRPr lang="en-US"/>
        </a:p>
      </dgm:t>
    </dgm:pt>
    <dgm:pt modelId="{81FA9587-70FD-49F3-B508-27E411B55CCC}" type="pres">
      <dgm:prSet presAssocID="{3FE4DD7E-00A0-4C00-9559-D3153C8E8427}" presName="parTrans" presStyleLbl="sibTrans2D1" presStyleIdx="3" presStyleCnt="7"/>
      <dgm:spPr/>
      <dgm:t>
        <a:bodyPr/>
        <a:lstStyle/>
        <a:p>
          <a:endParaRPr lang="en-US"/>
        </a:p>
      </dgm:t>
    </dgm:pt>
    <dgm:pt modelId="{E7FF4E47-D24A-46B7-A1A0-779DF647675D}" type="pres">
      <dgm:prSet presAssocID="{3FE4DD7E-00A0-4C00-9559-D3153C8E8427}" presName="connectorText" presStyleLbl="sibTrans2D1" presStyleIdx="3" presStyleCnt="7"/>
      <dgm:spPr/>
      <dgm:t>
        <a:bodyPr/>
        <a:lstStyle/>
        <a:p>
          <a:endParaRPr lang="en-US"/>
        </a:p>
      </dgm:t>
    </dgm:pt>
    <dgm:pt modelId="{09B51E4E-3C06-4E32-B726-0D08C03DA9FB}" type="pres">
      <dgm:prSet presAssocID="{DC03CB52-8D94-4711-B3FC-B4B4C06D0D91}" presName="node" presStyleLbl="node1" presStyleIdx="3" presStyleCnt="7" custScaleX="136176" custRadScaleRad="117635" custRadScaleInc="-53578">
        <dgm:presLayoutVars>
          <dgm:bulletEnabled val="1"/>
        </dgm:presLayoutVars>
      </dgm:prSet>
      <dgm:spPr/>
      <dgm:t>
        <a:bodyPr/>
        <a:lstStyle/>
        <a:p>
          <a:endParaRPr lang="en-US"/>
        </a:p>
      </dgm:t>
    </dgm:pt>
    <dgm:pt modelId="{4AFC26DE-C90A-4E1F-A643-220B1B8B8D52}" type="pres">
      <dgm:prSet presAssocID="{4A3141B0-367B-4CC6-A12D-BA95580C19F8}" presName="parTrans" presStyleLbl="sibTrans2D1" presStyleIdx="4" presStyleCnt="7"/>
      <dgm:spPr/>
      <dgm:t>
        <a:bodyPr/>
        <a:lstStyle/>
        <a:p>
          <a:endParaRPr lang="en-US"/>
        </a:p>
      </dgm:t>
    </dgm:pt>
    <dgm:pt modelId="{65822DBF-1B88-4858-A59F-663E608AD451}" type="pres">
      <dgm:prSet presAssocID="{4A3141B0-367B-4CC6-A12D-BA95580C19F8}" presName="connectorText" presStyleLbl="sibTrans2D1" presStyleIdx="4" presStyleCnt="7"/>
      <dgm:spPr/>
      <dgm:t>
        <a:bodyPr/>
        <a:lstStyle/>
        <a:p>
          <a:endParaRPr lang="en-US"/>
        </a:p>
      </dgm:t>
    </dgm:pt>
    <dgm:pt modelId="{1ED0D7C7-938C-4918-AABD-1488E7B987A8}" type="pres">
      <dgm:prSet presAssocID="{0949BC6B-A08A-4A89-8237-CEA2FF51C7C2}" presName="node" presStyleLbl="node1" presStyleIdx="4" presStyleCnt="7" custScaleX="130575" custScaleY="109070">
        <dgm:presLayoutVars>
          <dgm:bulletEnabled val="1"/>
        </dgm:presLayoutVars>
      </dgm:prSet>
      <dgm:spPr/>
      <dgm:t>
        <a:bodyPr/>
        <a:lstStyle/>
        <a:p>
          <a:endParaRPr lang="en-US"/>
        </a:p>
      </dgm:t>
    </dgm:pt>
    <dgm:pt modelId="{C3C2D87E-9392-4694-8245-B257A0F8D4BD}" type="pres">
      <dgm:prSet presAssocID="{E030604A-0B8C-4C79-8766-63E5CE9D75D5}" presName="parTrans" presStyleLbl="sibTrans2D1" presStyleIdx="5" presStyleCnt="7"/>
      <dgm:spPr/>
      <dgm:t>
        <a:bodyPr/>
        <a:lstStyle/>
        <a:p>
          <a:endParaRPr lang="en-US"/>
        </a:p>
      </dgm:t>
    </dgm:pt>
    <dgm:pt modelId="{979A78E5-82B5-46FB-8537-1CBD0A3433C5}" type="pres">
      <dgm:prSet presAssocID="{E030604A-0B8C-4C79-8766-63E5CE9D75D5}" presName="connectorText" presStyleLbl="sibTrans2D1" presStyleIdx="5" presStyleCnt="7"/>
      <dgm:spPr/>
      <dgm:t>
        <a:bodyPr/>
        <a:lstStyle/>
        <a:p>
          <a:endParaRPr lang="en-US"/>
        </a:p>
      </dgm:t>
    </dgm:pt>
    <dgm:pt modelId="{B65FE260-1B55-491E-B034-3F9964191917}" type="pres">
      <dgm:prSet presAssocID="{50F8025F-1F77-4455-B3E4-513B62DDC033}" presName="node" presStyleLbl="node1" presStyleIdx="5" presStyleCnt="7" custScaleX="124223" custScaleY="115509">
        <dgm:presLayoutVars>
          <dgm:bulletEnabled val="1"/>
        </dgm:presLayoutVars>
      </dgm:prSet>
      <dgm:spPr/>
      <dgm:t>
        <a:bodyPr/>
        <a:lstStyle/>
        <a:p>
          <a:endParaRPr lang="en-US"/>
        </a:p>
      </dgm:t>
    </dgm:pt>
    <dgm:pt modelId="{48B1A2CA-A5DC-4C44-A4F8-057013E27735}" type="pres">
      <dgm:prSet presAssocID="{14ADF02C-9BA7-44B0-9EB8-4E1484AD7A03}" presName="parTrans" presStyleLbl="sibTrans2D1" presStyleIdx="6" presStyleCnt="7"/>
      <dgm:spPr/>
      <dgm:t>
        <a:bodyPr/>
        <a:lstStyle/>
        <a:p>
          <a:endParaRPr lang="en-US"/>
        </a:p>
      </dgm:t>
    </dgm:pt>
    <dgm:pt modelId="{BF2DEF95-8237-4C94-8FAC-7C7ED78D36C6}" type="pres">
      <dgm:prSet presAssocID="{14ADF02C-9BA7-44B0-9EB8-4E1484AD7A03}" presName="connectorText" presStyleLbl="sibTrans2D1" presStyleIdx="6" presStyleCnt="7"/>
      <dgm:spPr/>
      <dgm:t>
        <a:bodyPr/>
        <a:lstStyle/>
        <a:p>
          <a:endParaRPr lang="en-US"/>
        </a:p>
      </dgm:t>
    </dgm:pt>
    <dgm:pt modelId="{7B4C4269-76AA-438C-A027-E24A7CF15E01}" type="pres">
      <dgm:prSet presAssocID="{509CBCE0-1EAB-4C0C-90EA-F5F4EF179CB9}" presName="node" presStyleLbl="node1" presStyleIdx="6" presStyleCnt="7">
        <dgm:presLayoutVars>
          <dgm:bulletEnabled val="1"/>
        </dgm:presLayoutVars>
      </dgm:prSet>
      <dgm:spPr/>
      <dgm:t>
        <a:bodyPr/>
        <a:lstStyle/>
        <a:p>
          <a:endParaRPr lang="en-US"/>
        </a:p>
      </dgm:t>
    </dgm:pt>
  </dgm:ptLst>
  <dgm:cxnLst>
    <dgm:cxn modelId="{937049A3-7207-4512-9007-501769BAABFA}" type="presOf" srcId="{0EB23516-03A6-4488-830C-9F546D6323F9}" destId="{DB5D6C25-6ADA-4C4C-A212-EF316BB38B02}" srcOrd="0" destOrd="0" presId="urn:microsoft.com/office/officeart/2005/8/layout/radial5"/>
    <dgm:cxn modelId="{25FD1915-3C17-4622-9963-37BB68BC4496}" type="presOf" srcId="{3FE4DD7E-00A0-4C00-9559-D3153C8E8427}" destId="{E7FF4E47-D24A-46B7-A1A0-779DF647675D}" srcOrd="1" destOrd="0" presId="urn:microsoft.com/office/officeart/2005/8/layout/radial5"/>
    <dgm:cxn modelId="{500E59D0-ED37-4E03-853F-E9D5379B08AA}" srcId="{C82081D3-7FF6-4798-87A1-A5B9C16565B6}" destId="{DC03CB52-8D94-4711-B3FC-B4B4C06D0D91}" srcOrd="3" destOrd="0" parTransId="{3FE4DD7E-00A0-4C00-9559-D3153C8E8427}" sibTransId="{A8CDD531-7DC2-4836-A773-3FC6A50D91CB}"/>
    <dgm:cxn modelId="{197658CD-5C15-421A-90A2-B5DCA1302275}" type="presOf" srcId="{0949BC6B-A08A-4A89-8237-CEA2FF51C7C2}" destId="{1ED0D7C7-938C-4918-AABD-1488E7B987A8}" srcOrd="0" destOrd="0" presId="urn:microsoft.com/office/officeart/2005/8/layout/radial5"/>
    <dgm:cxn modelId="{4C0A4270-57CA-494F-A08B-9798FCE83287}" type="presOf" srcId="{6C812F54-E8B4-42B0-9092-4D46D39ADF0B}" destId="{3A55D097-DB14-4052-9F1D-C228C1022F53}" srcOrd="0" destOrd="0" presId="urn:microsoft.com/office/officeart/2005/8/layout/radial5"/>
    <dgm:cxn modelId="{72E3B4D1-16F1-4B6A-97FD-7E88268ACA3A}" type="presOf" srcId="{14ADF02C-9BA7-44B0-9EB8-4E1484AD7A03}" destId="{BF2DEF95-8237-4C94-8FAC-7C7ED78D36C6}" srcOrd="1" destOrd="0" presId="urn:microsoft.com/office/officeart/2005/8/layout/radial5"/>
    <dgm:cxn modelId="{389E7A8E-7031-47DD-9109-14E1F4560A07}" type="presOf" srcId="{DC03CB52-8D94-4711-B3FC-B4B4C06D0D91}" destId="{09B51E4E-3C06-4E32-B726-0D08C03DA9FB}" srcOrd="0" destOrd="0" presId="urn:microsoft.com/office/officeart/2005/8/layout/radial5"/>
    <dgm:cxn modelId="{F376251F-53AB-43ED-9EEB-88A74ED6D945}" srcId="{C82081D3-7FF6-4798-87A1-A5B9C16565B6}" destId="{D35E95CA-2693-4879-AAB6-2B91646718B4}" srcOrd="2" destOrd="0" parTransId="{85CF7D00-F1B8-43BE-A38E-6A357C6D7847}" sibTransId="{EA5767B0-E9BD-437F-9AE6-5521A5277495}"/>
    <dgm:cxn modelId="{10569970-941A-4439-AD35-DFD9F2ABE4F9}" type="presOf" srcId="{D35E95CA-2693-4879-AAB6-2B91646718B4}" destId="{61C49E44-8BB6-4741-A6E4-AEEA629AF068}" srcOrd="0" destOrd="0" presId="urn:microsoft.com/office/officeart/2005/8/layout/radial5"/>
    <dgm:cxn modelId="{C35094F1-6965-4926-9C1E-F80686DC0B66}" type="presOf" srcId="{1F6F7370-DE81-441F-A700-E7820CB51015}" destId="{326DDD89-9180-4D4A-A09B-6311A23D4114}" srcOrd="0" destOrd="0" presId="urn:microsoft.com/office/officeart/2005/8/layout/radial5"/>
    <dgm:cxn modelId="{D21B08EE-7C8E-4E51-AC9B-8482565A4B34}" type="presOf" srcId="{85CF7D00-F1B8-43BE-A38E-6A357C6D7847}" destId="{8883FC17-D31C-45F2-9C2C-BEDFD4C3F87E}" srcOrd="1" destOrd="0" presId="urn:microsoft.com/office/officeart/2005/8/layout/radial5"/>
    <dgm:cxn modelId="{518B191E-D5CE-4C03-96B8-867AB157F6F4}" type="presOf" srcId="{14ADF02C-9BA7-44B0-9EB8-4E1484AD7A03}" destId="{48B1A2CA-A5DC-4C44-A4F8-057013E27735}" srcOrd="0" destOrd="0" presId="urn:microsoft.com/office/officeart/2005/8/layout/radial5"/>
    <dgm:cxn modelId="{36AE4250-5BB8-4104-8D7E-05BD334FE5C8}" type="presOf" srcId="{50F8025F-1F77-4455-B3E4-513B62DDC033}" destId="{B65FE260-1B55-491E-B034-3F9964191917}" srcOrd="0" destOrd="0" presId="urn:microsoft.com/office/officeart/2005/8/layout/radial5"/>
    <dgm:cxn modelId="{3698856B-3A73-4052-B503-25EA3CF7D6CA}" srcId="{C82081D3-7FF6-4798-87A1-A5B9C16565B6}" destId="{50F8025F-1F77-4455-B3E4-513B62DDC033}" srcOrd="5" destOrd="0" parTransId="{E030604A-0B8C-4C79-8766-63E5CE9D75D5}" sibTransId="{757456B9-4DC1-4347-BFE8-615BCB7A6884}"/>
    <dgm:cxn modelId="{7F7CF1DF-3577-4438-9F83-F89057422381}" type="presOf" srcId="{C82081D3-7FF6-4798-87A1-A5B9C16565B6}" destId="{CDA2290F-91E7-42DD-9B6E-CDCFC47F42D9}" srcOrd="0" destOrd="0" presId="urn:microsoft.com/office/officeart/2005/8/layout/radial5"/>
    <dgm:cxn modelId="{41285E71-F29B-4BEF-A8C8-8D32B8360C2C}" type="presOf" srcId="{4A3141B0-367B-4CC6-A12D-BA95580C19F8}" destId="{4AFC26DE-C90A-4E1F-A643-220B1B8B8D52}" srcOrd="0" destOrd="0" presId="urn:microsoft.com/office/officeart/2005/8/layout/radial5"/>
    <dgm:cxn modelId="{A2498045-5537-4C94-8DEB-3BF630137774}" type="presOf" srcId="{4A3141B0-367B-4CC6-A12D-BA95580C19F8}" destId="{65822DBF-1B88-4858-A59F-663E608AD451}" srcOrd="1" destOrd="0" presId="urn:microsoft.com/office/officeart/2005/8/layout/radial5"/>
    <dgm:cxn modelId="{795631F4-1F0B-41C4-B434-42DFD305CFC3}" type="presOf" srcId="{3FE4DD7E-00A0-4C00-9559-D3153C8E8427}" destId="{81FA9587-70FD-49F3-B508-27E411B55CCC}" srcOrd="0" destOrd="0" presId="urn:microsoft.com/office/officeart/2005/8/layout/radial5"/>
    <dgm:cxn modelId="{D680A35E-C33F-4910-8CA6-9829DD6DE347}" type="presOf" srcId="{D322039F-8A36-4A48-8E5B-039F7B6C919A}" destId="{A81177B0-C1AC-4C56-8E6D-A5603BA5B499}" srcOrd="1" destOrd="0" presId="urn:microsoft.com/office/officeart/2005/8/layout/radial5"/>
    <dgm:cxn modelId="{8A116424-90A2-4EDE-B565-8E253671D8ED}" type="presOf" srcId="{E030604A-0B8C-4C79-8766-63E5CE9D75D5}" destId="{C3C2D87E-9392-4694-8245-B257A0F8D4BD}" srcOrd="0" destOrd="0" presId="urn:microsoft.com/office/officeart/2005/8/layout/radial5"/>
    <dgm:cxn modelId="{5FBC1BD7-9887-4D77-A25C-9D311FE98F93}" srcId="{C82081D3-7FF6-4798-87A1-A5B9C16565B6}" destId="{0949BC6B-A08A-4A89-8237-CEA2FF51C7C2}" srcOrd="4" destOrd="0" parTransId="{4A3141B0-367B-4CC6-A12D-BA95580C19F8}" sibTransId="{2D57BF21-5573-490A-BE2E-C5A1EEC96E7F}"/>
    <dgm:cxn modelId="{46A36AF7-7FC4-4D28-9D37-F87941E973E7}" srcId="{C82081D3-7FF6-4798-87A1-A5B9C16565B6}" destId="{A645FA07-3819-4329-94B0-A43A40682644}" srcOrd="0" destOrd="0" parTransId="{1F6F7370-DE81-441F-A700-E7820CB51015}" sibTransId="{60B05D2C-3997-421F-9A59-CCE15329E83D}"/>
    <dgm:cxn modelId="{591DFA9E-1D90-444A-A569-2DF76297C24E}" type="presOf" srcId="{D322039F-8A36-4A48-8E5B-039F7B6C919A}" destId="{D2943EB9-B881-486F-9D0C-26489D045B12}" srcOrd="0" destOrd="0" presId="urn:microsoft.com/office/officeart/2005/8/layout/radial5"/>
    <dgm:cxn modelId="{9718EC22-F6F8-4DAB-96FD-CAB3A2B10229}" type="presOf" srcId="{1F6F7370-DE81-441F-A700-E7820CB51015}" destId="{E7E318AB-D287-46F9-8708-67F302437A5B}" srcOrd="1" destOrd="0" presId="urn:microsoft.com/office/officeart/2005/8/layout/radial5"/>
    <dgm:cxn modelId="{636293AC-5489-4A6A-9F9F-BA4328BA0BA1}" type="presOf" srcId="{509CBCE0-1EAB-4C0C-90EA-F5F4EF179CB9}" destId="{7B4C4269-76AA-438C-A027-E24A7CF15E01}" srcOrd="0" destOrd="0" presId="urn:microsoft.com/office/officeart/2005/8/layout/radial5"/>
    <dgm:cxn modelId="{6715DEBB-39EF-4BDF-8B66-1A14D1109CC1}" srcId="{C82081D3-7FF6-4798-87A1-A5B9C16565B6}" destId="{0EB23516-03A6-4488-830C-9F546D6323F9}" srcOrd="1" destOrd="0" parTransId="{D322039F-8A36-4A48-8E5B-039F7B6C919A}" sibTransId="{B3D76B17-93A1-4305-A04F-03FAC49DADC2}"/>
    <dgm:cxn modelId="{4DE71150-E6AD-44BC-A954-A27615F0D345}" srcId="{C82081D3-7FF6-4798-87A1-A5B9C16565B6}" destId="{509CBCE0-1EAB-4C0C-90EA-F5F4EF179CB9}" srcOrd="6" destOrd="0" parTransId="{14ADF02C-9BA7-44B0-9EB8-4E1484AD7A03}" sibTransId="{A79D2DC6-BC8F-4909-A371-135CB6B13352}"/>
    <dgm:cxn modelId="{FCE3418D-026C-4082-97FD-F418BF904077}" type="presOf" srcId="{E030604A-0B8C-4C79-8766-63E5CE9D75D5}" destId="{979A78E5-82B5-46FB-8537-1CBD0A3433C5}" srcOrd="1" destOrd="0" presId="urn:microsoft.com/office/officeart/2005/8/layout/radial5"/>
    <dgm:cxn modelId="{716AEF83-6190-4B6C-9E23-DF71911D94A9}" srcId="{6C812F54-E8B4-42B0-9092-4D46D39ADF0B}" destId="{C82081D3-7FF6-4798-87A1-A5B9C16565B6}" srcOrd="0" destOrd="0" parTransId="{11045DF0-B397-4E32-BA0B-3B5CD5198C85}" sibTransId="{92AC660C-8A63-4219-9ABD-3232D0146BF9}"/>
    <dgm:cxn modelId="{F85678F1-5F01-498C-A8DA-E4658AD617DF}" type="presOf" srcId="{85CF7D00-F1B8-43BE-A38E-6A357C6D7847}" destId="{CC99C140-2C55-4E13-8288-D793BFAA4FEC}" srcOrd="0" destOrd="0" presId="urn:microsoft.com/office/officeart/2005/8/layout/radial5"/>
    <dgm:cxn modelId="{DA7E4EAE-41AD-4CAD-B161-3A6B074829D6}" type="presOf" srcId="{A645FA07-3819-4329-94B0-A43A40682644}" destId="{429C2323-631B-402B-B2AC-DCA6808FF51A}" srcOrd="0" destOrd="0" presId="urn:microsoft.com/office/officeart/2005/8/layout/radial5"/>
    <dgm:cxn modelId="{D850E120-911D-403C-9264-91F482097D69}" type="presParOf" srcId="{3A55D097-DB14-4052-9F1D-C228C1022F53}" destId="{CDA2290F-91E7-42DD-9B6E-CDCFC47F42D9}" srcOrd="0" destOrd="0" presId="urn:microsoft.com/office/officeart/2005/8/layout/radial5"/>
    <dgm:cxn modelId="{659FA096-39FA-4C4D-A1EF-3FBB137C63E8}" type="presParOf" srcId="{3A55D097-DB14-4052-9F1D-C228C1022F53}" destId="{326DDD89-9180-4D4A-A09B-6311A23D4114}" srcOrd="1" destOrd="0" presId="urn:microsoft.com/office/officeart/2005/8/layout/radial5"/>
    <dgm:cxn modelId="{185AD268-FB2B-4634-94A2-2A996B9E3E1C}" type="presParOf" srcId="{326DDD89-9180-4D4A-A09B-6311A23D4114}" destId="{E7E318AB-D287-46F9-8708-67F302437A5B}" srcOrd="0" destOrd="0" presId="urn:microsoft.com/office/officeart/2005/8/layout/radial5"/>
    <dgm:cxn modelId="{631ED1F2-350F-432F-A0E8-440C510243BD}" type="presParOf" srcId="{3A55D097-DB14-4052-9F1D-C228C1022F53}" destId="{429C2323-631B-402B-B2AC-DCA6808FF51A}" srcOrd="2" destOrd="0" presId="urn:microsoft.com/office/officeart/2005/8/layout/radial5"/>
    <dgm:cxn modelId="{5FE283F9-1748-4840-BE9C-F4CCB241534B}" type="presParOf" srcId="{3A55D097-DB14-4052-9F1D-C228C1022F53}" destId="{D2943EB9-B881-486F-9D0C-26489D045B12}" srcOrd="3" destOrd="0" presId="urn:microsoft.com/office/officeart/2005/8/layout/radial5"/>
    <dgm:cxn modelId="{0490C92E-55BB-4810-8C7F-2677BBD232AD}" type="presParOf" srcId="{D2943EB9-B881-486F-9D0C-26489D045B12}" destId="{A81177B0-C1AC-4C56-8E6D-A5603BA5B499}" srcOrd="0" destOrd="0" presId="urn:microsoft.com/office/officeart/2005/8/layout/radial5"/>
    <dgm:cxn modelId="{D0AF6E9A-6C5A-4CAB-9764-73F8C8B7DADE}" type="presParOf" srcId="{3A55D097-DB14-4052-9F1D-C228C1022F53}" destId="{DB5D6C25-6ADA-4C4C-A212-EF316BB38B02}" srcOrd="4" destOrd="0" presId="urn:microsoft.com/office/officeart/2005/8/layout/radial5"/>
    <dgm:cxn modelId="{EF2ACE08-CE1B-4C5F-A6CB-EC44E373A9DD}" type="presParOf" srcId="{3A55D097-DB14-4052-9F1D-C228C1022F53}" destId="{CC99C140-2C55-4E13-8288-D793BFAA4FEC}" srcOrd="5" destOrd="0" presId="urn:microsoft.com/office/officeart/2005/8/layout/radial5"/>
    <dgm:cxn modelId="{E7E3795D-5F8E-4C2C-AE11-0B879065E1AC}" type="presParOf" srcId="{CC99C140-2C55-4E13-8288-D793BFAA4FEC}" destId="{8883FC17-D31C-45F2-9C2C-BEDFD4C3F87E}" srcOrd="0" destOrd="0" presId="urn:microsoft.com/office/officeart/2005/8/layout/radial5"/>
    <dgm:cxn modelId="{B1AA70C6-AB7A-4870-864C-9FE0A906294C}" type="presParOf" srcId="{3A55D097-DB14-4052-9F1D-C228C1022F53}" destId="{61C49E44-8BB6-4741-A6E4-AEEA629AF068}" srcOrd="6" destOrd="0" presId="urn:microsoft.com/office/officeart/2005/8/layout/radial5"/>
    <dgm:cxn modelId="{28B0E02D-57F9-4B40-8B15-6C07BF0C8BEF}" type="presParOf" srcId="{3A55D097-DB14-4052-9F1D-C228C1022F53}" destId="{81FA9587-70FD-49F3-B508-27E411B55CCC}" srcOrd="7" destOrd="0" presId="urn:microsoft.com/office/officeart/2005/8/layout/radial5"/>
    <dgm:cxn modelId="{A5EDD3A8-EA7E-4CDC-A163-FBCCA4D3393F}" type="presParOf" srcId="{81FA9587-70FD-49F3-B508-27E411B55CCC}" destId="{E7FF4E47-D24A-46B7-A1A0-779DF647675D}" srcOrd="0" destOrd="0" presId="urn:microsoft.com/office/officeart/2005/8/layout/radial5"/>
    <dgm:cxn modelId="{9B393A28-9DA7-40C6-BDED-7A4331151ABF}" type="presParOf" srcId="{3A55D097-DB14-4052-9F1D-C228C1022F53}" destId="{09B51E4E-3C06-4E32-B726-0D08C03DA9FB}" srcOrd="8" destOrd="0" presId="urn:microsoft.com/office/officeart/2005/8/layout/radial5"/>
    <dgm:cxn modelId="{DE6ACC35-77F5-4B33-B964-F68BB4492650}" type="presParOf" srcId="{3A55D097-DB14-4052-9F1D-C228C1022F53}" destId="{4AFC26DE-C90A-4E1F-A643-220B1B8B8D52}" srcOrd="9" destOrd="0" presId="urn:microsoft.com/office/officeart/2005/8/layout/radial5"/>
    <dgm:cxn modelId="{80B314DB-6584-47F2-B506-C79515D2AE1F}" type="presParOf" srcId="{4AFC26DE-C90A-4E1F-A643-220B1B8B8D52}" destId="{65822DBF-1B88-4858-A59F-663E608AD451}" srcOrd="0" destOrd="0" presId="urn:microsoft.com/office/officeart/2005/8/layout/radial5"/>
    <dgm:cxn modelId="{B4F6EEA3-FC3B-44A3-AE93-BE92FAF098F8}" type="presParOf" srcId="{3A55D097-DB14-4052-9F1D-C228C1022F53}" destId="{1ED0D7C7-938C-4918-AABD-1488E7B987A8}" srcOrd="10" destOrd="0" presId="urn:microsoft.com/office/officeart/2005/8/layout/radial5"/>
    <dgm:cxn modelId="{5E5469B0-BD02-4577-BB99-FE9CCE4543B2}" type="presParOf" srcId="{3A55D097-DB14-4052-9F1D-C228C1022F53}" destId="{C3C2D87E-9392-4694-8245-B257A0F8D4BD}" srcOrd="11" destOrd="0" presId="urn:microsoft.com/office/officeart/2005/8/layout/radial5"/>
    <dgm:cxn modelId="{0907B156-E1E4-45BC-AA6E-9A2462A76C64}" type="presParOf" srcId="{C3C2D87E-9392-4694-8245-B257A0F8D4BD}" destId="{979A78E5-82B5-46FB-8537-1CBD0A3433C5}" srcOrd="0" destOrd="0" presId="urn:microsoft.com/office/officeart/2005/8/layout/radial5"/>
    <dgm:cxn modelId="{AD07E553-2107-42A0-ADAD-0E12458A08FF}" type="presParOf" srcId="{3A55D097-DB14-4052-9F1D-C228C1022F53}" destId="{B65FE260-1B55-491E-B034-3F9964191917}" srcOrd="12" destOrd="0" presId="urn:microsoft.com/office/officeart/2005/8/layout/radial5"/>
    <dgm:cxn modelId="{32F6C56E-FE73-4E3A-9F26-888584C67F2F}" type="presParOf" srcId="{3A55D097-DB14-4052-9F1D-C228C1022F53}" destId="{48B1A2CA-A5DC-4C44-A4F8-057013E27735}" srcOrd="13" destOrd="0" presId="urn:microsoft.com/office/officeart/2005/8/layout/radial5"/>
    <dgm:cxn modelId="{A834C0E3-0B54-487A-8F62-E8D48C31EF2D}" type="presParOf" srcId="{48B1A2CA-A5DC-4C44-A4F8-057013E27735}" destId="{BF2DEF95-8237-4C94-8FAC-7C7ED78D36C6}" srcOrd="0" destOrd="0" presId="urn:microsoft.com/office/officeart/2005/8/layout/radial5"/>
    <dgm:cxn modelId="{A3476D1D-2A57-447D-A4AC-155B6FB9FF6F}" type="presParOf" srcId="{3A55D097-DB14-4052-9F1D-C228C1022F53}" destId="{7B4C4269-76AA-438C-A027-E24A7CF15E01}" srcOrd="14" destOrd="0" presId="urn:microsoft.com/office/officeart/2005/8/layout/radial5"/>
  </dgm:cxnLst>
  <dgm:bg/>
  <dgm:whole/>
</dgm:dataModel>
</file>

<file path=word/diagrams/data2.xml><?xml version="1.0" encoding="utf-8"?>
<dgm:dataModel xmlns:dgm="http://schemas.openxmlformats.org/drawingml/2006/diagram" xmlns:a="http://schemas.openxmlformats.org/drawingml/2006/main">
  <dgm:ptLst>
    <dgm:pt modelId="{33CA30AD-4FEB-4891-9064-62538A3D5675}" type="doc">
      <dgm:prSet loTypeId="urn:microsoft.com/office/officeart/2005/8/layout/radial6" loCatId="cycle" qsTypeId="urn:microsoft.com/office/officeart/2005/8/quickstyle/simple5" qsCatId="simple" csTypeId="urn:microsoft.com/office/officeart/2005/8/colors/accent1_2" csCatId="accent1" phldr="1"/>
      <dgm:spPr/>
      <dgm:t>
        <a:bodyPr/>
        <a:lstStyle/>
        <a:p>
          <a:endParaRPr lang="en-US"/>
        </a:p>
      </dgm:t>
    </dgm:pt>
    <dgm:pt modelId="{F46D6F25-B3C0-4E60-94CB-CC1CE5B14B3D}">
      <dgm:prSet phldrT="[Text]"/>
      <dgm:spPr/>
      <dgm:t>
        <a:bodyPr/>
        <a:lstStyle/>
        <a:p>
          <a:r>
            <a:rPr lang="en-US"/>
            <a:t>Eligible Investee in FDI</a:t>
          </a:r>
        </a:p>
      </dgm:t>
    </dgm:pt>
    <dgm:pt modelId="{1B859887-FA42-4E41-ACD7-F2CFEAB340B5}" type="parTrans" cxnId="{638FC7E3-395E-4F61-A048-D36D0E3189A7}">
      <dgm:prSet/>
      <dgm:spPr/>
      <dgm:t>
        <a:bodyPr/>
        <a:lstStyle/>
        <a:p>
          <a:endParaRPr lang="en-US"/>
        </a:p>
      </dgm:t>
    </dgm:pt>
    <dgm:pt modelId="{9DF35154-C3DB-4643-865E-1845C17F34A8}" type="sibTrans" cxnId="{638FC7E3-395E-4F61-A048-D36D0E3189A7}">
      <dgm:prSet/>
      <dgm:spPr/>
      <dgm:t>
        <a:bodyPr/>
        <a:lstStyle/>
        <a:p>
          <a:endParaRPr lang="en-US"/>
        </a:p>
      </dgm:t>
    </dgm:pt>
    <dgm:pt modelId="{82932EEA-CEB3-4818-BDA9-69B869B59877}">
      <dgm:prSet phldrT="[Text]"/>
      <dgm:spPr/>
      <dgm:t>
        <a:bodyPr/>
        <a:lstStyle/>
        <a:p>
          <a:r>
            <a:rPr lang="en-US"/>
            <a:t>Indian Company</a:t>
          </a:r>
        </a:p>
      </dgm:t>
    </dgm:pt>
    <dgm:pt modelId="{CDC35FAC-186F-449B-A233-066AA89417B8}" type="parTrans" cxnId="{2C44B727-884F-4DC0-931A-CD171C949451}">
      <dgm:prSet/>
      <dgm:spPr/>
      <dgm:t>
        <a:bodyPr/>
        <a:lstStyle/>
        <a:p>
          <a:endParaRPr lang="en-US"/>
        </a:p>
      </dgm:t>
    </dgm:pt>
    <dgm:pt modelId="{82D1499E-7289-4443-A550-F5CA739B1C6E}" type="sibTrans" cxnId="{2C44B727-884F-4DC0-931A-CD171C949451}">
      <dgm:prSet/>
      <dgm:spPr/>
      <dgm:t>
        <a:bodyPr/>
        <a:lstStyle/>
        <a:p>
          <a:endParaRPr lang="en-US"/>
        </a:p>
      </dgm:t>
    </dgm:pt>
    <dgm:pt modelId="{A15E5FCB-0FCA-4ECA-ABAB-53056D0690AF}">
      <dgm:prSet phldrT="[Text]" custT="1"/>
      <dgm:spPr/>
      <dgm:t>
        <a:bodyPr/>
        <a:lstStyle/>
        <a:p>
          <a:r>
            <a:rPr lang="en-US" sz="1500"/>
            <a:t>Trust</a:t>
          </a:r>
        </a:p>
      </dgm:t>
    </dgm:pt>
    <dgm:pt modelId="{7E80D972-9BF6-4C52-B813-2BD4131936F3}" type="parTrans" cxnId="{5DFB91BE-A790-4549-8A4B-F3D470FBE34E}">
      <dgm:prSet/>
      <dgm:spPr/>
      <dgm:t>
        <a:bodyPr/>
        <a:lstStyle/>
        <a:p>
          <a:endParaRPr lang="en-US"/>
        </a:p>
      </dgm:t>
    </dgm:pt>
    <dgm:pt modelId="{325F96D7-127B-4792-AE2F-E00A180A9C98}" type="sibTrans" cxnId="{5DFB91BE-A790-4549-8A4B-F3D470FBE34E}">
      <dgm:prSet/>
      <dgm:spPr/>
      <dgm:t>
        <a:bodyPr/>
        <a:lstStyle/>
        <a:p>
          <a:endParaRPr lang="en-US"/>
        </a:p>
      </dgm:t>
    </dgm:pt>
    <dgm:pt modelId="{5E9368AB-4589-42F5-9B9C-BAA4DC4F78F4}">
      <dgm:prSet phldrT="[Text]" custT="1"/>
      <dgm:spPr/>
      <dgm:t>
        <a:bodyPr/>
        <a:lstStyle/>
        <a:p>
          <a:r>
            <a:rPr lang="en-US" sz="1500"/>
            <a:t>LLP</a:t>
          </a:r>
        </a:p>
      </dgm:t>
    </dgm:pt>
    <dgm:pt modelId="{5FDBC25B-CB75-46D2-B7D6-DAE8247D9AC5}" type="parTrans" cxnId="{C26B9252-1DC1-4A78-BFC1-8E5986D390AF}">
      <dgm:prSet/>
      <dgm:spPr/>
      <dgm:t>
        <a:bodyPr/>
        <a:lstStyle/>
        <a:p>
          <a:endParaRPr lang="en-US"/>
        </a:p>
      </dgm:t>
    </dgm:pt>
    <dgm:pt modelId="{4E197180-FCCD-4E6B-B9D4-D31E8A9C0C6D}" type="sibTrans" cxnId="{C26B9252-1DC1-4A78-BFC1-8E5986D390AF}">
      <dgm:prSet/>
      <dgm:spPr/>
      <dgm:t>
        <a:bodyPr/>
        <a:lstStyle/>
        <a:p>
          <a:endParaRPr lang="en-US"/>
        </a:p>
      </dgm:t>
    </dgm:pt>
    <dgm:pt modelId="{23589A4B-88C6-454F-82AB-BBAD524C6442}">
      <dgm:prSet/>
      <dgm:spPr/>
      <dgm:t>
        <a:bodyPr/>
        <a:lstStyle/>
        <a:p>
          <a:r>
            <a:rPr lang="en-US" u="none"/>
            <a:t>Investment by non-residents other than NRIs/PIO</a:t>
          </a:r>
        </a:p>
      </dgm:t>
    </dgm:pt>
    <dgm:pt modelId="{8A10FA6E-935B-4126-A8C9-9F6598A5E45E}" type="parTrans" cxnId="{BED729E8-3A83-4D5A-BC7D-DFE90BC91D82}">
      <dgm:prSet/>
      <dgm:spPr/>
      <dgm:t>
        <a:bodyPr/>
        <a:lstStyle/>
        <a:p>
          <a:endParaRPr lang="en-US"/>
        </a:p>
      </dgm:t>
    </dgm:pt>
    <dgm:pt modelId="{B6B9981F-8AD8-4304-AD02-8B951EFCA6F6}" type="sibTrans" cxnId="{BED729E8-3A83-4D5A-BC7D-DFE90BC91D82}">
      <dgm:prSet/>
      <dgm:spPr/>
      <dgm:t>
        <a:bodyPr/>
        <a:lstStyle/>
        <a:p>
          <a:endParaRPr lang="en-US"/>
        </a:p>
      </dgm:t>
    </dgm:pt>
    <dgm:pt modelId="{6F65FA92-A3AE-4292-BA56-D34D11F4D69B}">
      <dgm:prSet custT="1"/>
      <dgm:spPr/>
      <dgm:t>
        <a:bodyPr/>
        <a:lstStyle/>
        <a:p>
          <a:r>
            <a:rPr lang="en-US" sz="900"/>
            <a:t>Partnership/ Proprietary Firm</a:t>
          </a:r>
        </a:p>
      </dgm:t>
    </dgm:pt>
    <dgm:pt modelId="{9ADD21EF-5160-433A-8294-72B9564ED5C9}" type="parTrans" cxnId="{F6C87368-6567-458D-B5F0-7267DA8A56F9}">
      <dgm:prSet/>
      <dgm:spPr/>
      <dgm:t>
        <a:bodyPr/>
        <a:lstStyle/>
        <a:p>
          <a:endParaRPr lang="en-US"/>
        </a:p>
      </dgm:t>
    </dgm:pt>
    <dgm:pt modelId="{67DEF1BD-E848-4FBE-8291-7644BB8B3B2F}" type="sibTrans" cxnId="{F6C87368-6567-458D-B5F0-7267DA8A56F9}">
      <dgm:prSet/>
      <dgm:spPr/>
      <dgm:t>
        <a:bodyPr/>
        <a:lstStyle/>
        <a:p>
          <a:endParaRPr lang="en-US"/>
        </a:p>
      </dgm:t>
    </dgm:pt>
    <dgm:pt modelId="{00E2491A-5A19-4EC7-8412-8D00EC88D65A}">
      <dgm:prSet custT="1"/>
      <dgm:spPr/>
      <dgm:t>
        <a:bodyPr/>
        <a:lstStyle/>
        <a:p>
          <a:r>
            <a:rPr lang="en-US" sz="1000" u="none"/>
            <a:t>Investment Vehicle</a:t>
          </a:r>
        </a:p>
      </dgm:t>
    </dgm:pt>
    <dgm:pt modelId="{D631C545-FE53-4443-8CA1-AA348B207001}" type="parTrans" cxnId="{2AEB144B-9E69-498A-B8A3-C133AE0255A5}">
      <dgm:prSet/>
      <dgm:spPr/>
      <dgm:t>
        <a:bodyPr/>
        <a:lstStyle/>
        <a:p>
          <a:endParaRPr lang="en-US"/>
        </a:p>
      </dgm:t>
    </dgm:pt>
    <dgm:pt modelId="{6E4793B0-9663-410D-AD49-D6D905621B47}" type="sibTrans" cxnId="{2AEB144B-9E69-498A-B8A3-C133AE0255A5}">
      <dgm:prSet/>
      <dgm:spPr/>
      <dgm:t>
        <a:bodyPr/>
        <a:lstStyle/>
        <a:p>
          <a:endParaRPr lang="en-US"/>
        </a:p>
      </dgm:t>
    </dgm:pt>
    <dgm:pt modelId="{368827C4-3EDC-42F2-A33A-F3B16D763C8B}" type="pres">
      <dgm:prSet presAssocID="{33CA30AD-4FEB-4891-9064-62538A3D5675}" presName="Name0" presStyleCnt="0">
        <dgm:presLayoutVars>
          <dgm:chMax val="1"/>
          <dgm:dir/>
          <dgm:animLvl val="ctr"/>
          <dgm:resizeHandles val="exact"/>
        </dgm:presLayoutVars>
      </dgm:prSet>
      <dgm:spPr/>
      <dgm:t>
        <a:bodyPr/>
        <a:lstStyle/>
        <a:p>
          <a:endParaRPr lang="en-US"/>
        </a:p>
      </dgm:t>
    </dgm:pt>
    <dgm:pt modelId="{EBCAA44F-EF19-4394-8EC3-B3DF5EA7F8A8}" type="pres">
      <dgm:prSet presAssocID="{F46D6F25-B3C0-4E60-94CB-CC1CE5B14B3D}" presName="centerShape" presStyleLbl="node0" presStyleIdx="0" presStyleCnt="1" custScaleX="116867"/>
      <dgm:spPr/>
      <dgm:t>
        <a:bodyPr/>
        <a:lstStyle/>
        <a:p>
          <a:endParaRPr lang="en-US"/>
        </a:p>
      </dgm:t>
    </dgm:pt>
    <dgm:pt modelId="{6D550E68-8306-4228-A006-146BD84CBFDD}" type="pres">
      <dgm:prSet presAssocID="{00E2491A-5A19-4EC7-8412-8D00EC88D65A}" presName="node" presStyleLbl="node1" presStyleIdx="0" presStyleCnt="6" custScaleX="130255" custScaleY="90052">
        <dgm:presLayoutVars>
          <dgm:bulletEnabled val="1"/>
        </dgm:presLayoutVars>
      </dgm:prSet>
      <dgm:spPr/>
      <dgm:t>
        <a:bodyPr/>
        <a:lstStyle/>
        <a:p>
          <a:endParaRPr lang="en-US"/>
        </a:p>
      </dgm:t>
    </dgm:pt>
    <dgm:pt modelId="{7DD10676-B5E4-4930-983C-FF7F4665B0A1}" type="pres">
      <dgm:prSet presAssocID="{00E2491A-5A19-4EC7-8412-8D00EC88D65A}" presName="dummy" presStyleCnt="0"/>
      <dgm:spPr/>
    </dgm:pt>
    <dgm:pt modelId="{868A48B7-0364-4660-90DC-682477091D84}" type="pres">
      <dgm:prSet presAssocID="{6E4793B0-9663-410D-AD49-D6D905621B47}" presName="sibTrans" presStyleLbl="sibTrans2D1" presStyleIdx="0" presStyleCnt="6"/>
      <dgm:spPr/>
      <dgm:t>
        <a:bodyPr/>
        <a:lstStyle/>
        <a:p>
          <a:endParaRPr lang="en-US"/>
        </a:p>
      </dgm:t>
    </dgm:pt>
    <dgm:pt modelId="{23C1C0E8-025B-4CCA-8784-A20F3365012E}" type="pres">
      <dgm:prSet presAssocID="{82932EEA-CEB3-4818-BDA9-69B869B59877}" presName="node" presStyleLbl="node1" presStyleIdx="1" presStyleCnt="6">
        <dgm:presLayoutVars>
          <dgm:bulletEnabled val="1"/>
        </dgm:presLayoutVars>
      </dgm:prSet>
      <dgm:spPr/>
      <dgm:t>
        <a:bodyPr/>
        <a:lstStyle/>
        <a:p>
          <a:endParaRPr lang="en-US"/>
        </a:p>
      </dgm:t>
    </dgm:pt>
    <dgm:pt modelId="{9D112F1B-3EF9-4A3F-9C9A-ADFF546309AE}" type="pres">
      <dgm:prSet presAssocID="{82932EEA-CEB3-4818-BDA9-69B869B59877}" presName="dummy" presStyleCnt="0"/>
      <dgm:spPr/>
    </dgm:pt>
    <dgm:pt modelId="{A12191F5-741F-444F-BE39-D8F13A513D56}" type="pres">
      <dgm:prSet presAssocID="{82D1499E-7289-4443-A550-F5CA739B1C6E}" presName="sibTrans" presStyleLbl="sibTrans2D1" presStyleIdx="1" presStyleCnt="6"/>
      <dgm:spPr/>
      <dgm:t>
        <a:bodyPr/>
        <a:lstStyle/>
        <a:p>
          <a:endParaRPr lang="en-US"/>
        </a:p>
      </dgm:t>
    </dgm:pt>
    <dgm:pt modelId="{2FA4BB12-86F0-4A3A-A8E4-759C69367963}" type="pres">
      <dgm:prSet presAssocID="{6F65FA92-A3AE-4292-BA56-D34D11F4D69B}" presName="node" presStyleLbl="node1" presStyleIdx="2" presStyleCnt="6" custScaleX="128308" custScaleY="108363">
        <dgm:presLayoutVars>
          <dgm:bulletEnabled val="1"/>
        </dgm:presLayoutVars>
      </dgm:prSet>
      <dgm:spPr/>
      <dgm:t>
        <a:bodyPr/>
        <a:lstStyle/>
        <a:p>
          <a:endParaRPr lang="en-US"/>
        </a:p>
      </dgm:t>
    </dgm:pt>
    <dgm:pt modelId="{292E1418-EF3B-4350-B759-A56BBFDDF2D3}" type="pres">
      <dgm:prSet presAssocID="{6F65FA92-A3AE-4292-BA56-D34D11F4D69B}" presName="dummy" presStyleCnt="0"/>
      <dgm:spPr/>
    </dgm:pt>
    <dgm:pt modelId="{19E27095-13F5-4A05-B308-5435DA90985F}" type="pres">
      <dgm:prSet presAssocID="{67DEF1BD-E848-4FBE-8291-7644BB8B3B2F}" presName="sibTrans" presStyleLbl="sibTrans2D1" presStyleIdx="2" presStyleCnt="6"/>
      <dgm:spPr/>
      <dgm:t>
        <a:bodyPr/>
        <a:lstStyle/>
        <a:p>
          <a:endParaRPr lang="en-US"/>
        </a:p>
      </dgm:t>
    </dgm:pt>
    <dgm:pt modelId="{2473529E-FE70-406C-8899-F1956272CE47}" type="pres">
      <dgm:prSet presAssocID="{23589A4B-88C6-454F-82AB-BBAD524C6442}" presName="node" presStyleLbl="node1" presStyleIdx="3" presStyleCnt="6" custScaleX="149419" custScaleY="112809">
        <dgm:presLayoutVars>
          <dgm:bulletEnabled val="1"/>
        </dgm:presLayoutVars>
      </dgm:prSet>
      <dgm:spPr/>
      <dgm:t>
        <a:bodyPr/>
        <a:lstStyle/>
        <a:p>
          <a:endParaRPr lang="en-US"/>
        </a:p>
      </dgm:t>
    </dgm:pt>
    <dgm:pt modelId="{6B2369BD-5823-468F-AFFC-F220F16F3CF4}" type="pres">
      <dgm:prSet presAssocID="{23589A4B-88C6-454F-82AB-BBAD524C6442}" presName="dummy" presStyleCnt="0"/>
      <dgm:spPr/>
    </dgm:pt>
    <dgm:pt modelId="{8F1969EB-FD2C-446A-962A-08469E7C4C7F}" type="pres">
      <dgm:prSet presAssocID="{B6B9981F-8AD8-4304-AD02-8B951EFCA6F6}" presName="sibTrans" presStyleLbl="sibTrans2D1" presStyleIdx="3" presStyleCnt="6"/>
      <dgm:spPr/>
      <dgm:t>
        <a:bodyPr/>
        <a:lstStyle/>
        <a:p>
          <a:endParaRPr lang="en-US"/>
        </a:p>
      </dgm:t>
    </dgm:pt>
    <dgm:pt modelId="{D86BFBD3-E10B-4335-8C0B-C917F8E83402}" type="pres">
      <dgm:prSet presAssocID="{A15E5FCB-0FCA-4ECA-ABAB-53056D0690AF}" presName="node" presStyleLbl="node1" presStyleIdx="4" presStyleCnt="6">
        <dgm:presLayoutVars>
          <dgm:bulletEnabled val="1"/>
        </dgm:presLayoutVars>
      </dgm:prSet>
      <dgm:spPr/>
      <dgm:t>
        <a:bodyPr/>
        <a:lstStyle/>
        <a:p>
          <a:endParaRPr lang="en-US"/>
        </a:p>
      </dgm:t>
    </dgm:pt>
    <dgm:pt modelId="{77649F25-9374-4916-A6C1-A7FB19A4D985}" type="pres">
      <dgm:prSet presAssocID="{A15E5FCB-0FCA-4ECA-ABAB-53056D0690AF}" presName="dummy" presStyleCnt="0"/>
      <dgm:spPr/>
    </dgm:pt>
    <dgm:pt modelId="{32E7FB85-BD83-4806-8CF0-D053226C1B8F}" type="pres">
      <dgm:prSet presAssocID="{325F96D7-127B-4792-AE2F-E00A180A9C98}" presName="sibTrans" presStyleLbl="sibTrans2D1" presStyleIdx="4" presStyleCnt="6"/>
      <dgm:spPr/>
      <dgm:t>
        <a:bodyPr/>
        <a:lstStyle/>
        <a:p>
          <a:endParaRPr lang="en-US"/>
        </a:p>
      </dgm:t>
    </dgm:pt>
    <dgm:pt modelId="{9B3B97DD-EF20-46EB-B077-580F412922FA}" type="pres">
      <dgm:prSet presAssocID="{5E9368AB-4589-42F5-9B9C-BAA4DC4F78F4}" presName="node" presStyleLbl="node1" presStyleIdx="5" presStyleCnt="6">
        <dgm:presLayoutVars>
          <dgm:bulletEnabled val="1"/>
        </dgm:presLayoutVars>
      </dgm:prSet>
      <dgm:spPr/>
      <dgm:t>
        <a:bodyPr/>
        <a:lstStyle/>
        <a:p>
          <a:endParaRPr lang="en-US"/>
        </a:p>
      </dgm:t>
    </dgm:pt>
    <dgm:pt modelId="{FE3D3827-A6CC-4925-A469-8509AC8ECA64}" type="pres">
      <dgm:prSet presAssocID="{5E9368AB-4589-42F5-9B9C-BAA4DC4F78F4}" presName="dummy" presStyleCnt="0"/>
      <dgm:spPr/>
    </dgm:pt>
    <dgm:pt modelId="{4D68333F-3E5F-4EC5-9CB4-BCB4D138F577}" type="pres">
      <dgm:prSet presAssocID="{4E197180-FCCD-4E6B-B9D4-D31E8A9C0C6D}" presName="sibTrans" presStyleLbl="sibTrans2D1" presStyleIdx="5" presStyleCnt="6"/>
      <dgm:spPr/>
      <dgm:t>
        <a:bodyPr/>
        <a:lstStyle/>
        <a:p>
          <a:endParaRPr lang="en-US"/>
        </a:p>
      </dgm:t>
    </dgm:pt>
  </dgm:ptLst>
  <dgm:cxnLst>
    <dgm:cxn modelId="{5F68E1FD-36A7-465C-AD95-40F86C2A852E}" type="presOf" srcId="{5E9368AB-4589-42F5-9B9C-BAA4DC4F78F4}" destId="{9B3B97DD-EF20-46EB-B077-580F412922FA}" srcOrd="0" destOrd="0" presId="urn:microsoft.com/office/officeart/2005/8/layout/radial6"/>
    <dgm:cxn modelId="{BED729E8-3A83-4D5A-BC7D-DFE90BC91D82}" srcId="{F46D6F25-B3C0-4E60-94CB-CC1CE5B14B3D}" destId="{23589A4B-88C6-454F-82AB-BBAD524C6442}" srcOrd="3" destOrd="0" parTransId="{8A10FA6E-935B-4126-A8C9-9F6598A5E45E}" sibTransId="{B6B9981F-8AD8-4304-AD02-8B951EFCA6F6}"/>
    <dgm:cxn modelId="{2AEB144B-9E69-498A-B8A3-C133AE0255A5}" srcId="{F46D6F25-B3C0-4E60-94CB-CC1CE5B14B3D}" destId="{00E2491A-5A19-4EC7-8412-8D00EC88D65A}" srcOrd="0" destOrd="0" parTransId="{D631C545-FE53-4443-8CA1-AA348B207001}" sibTransId="{6E4793B0-9663-410D-AD49-D6D905621B47}"/>
    <dgm:cxn modelId="{EDB1F470-573B-45E2-ACEB-D288EF7A692E}" type="presOf" srcId="{A15E5FCB-0FCA-4ECA-ABAB-53056D0690AF}" destId="{D86BFBD3-E10B-4335-8C0B-C917F8E83402}" srcOrd="0" destOrd="0" presId="urn:microsoft.com/office/officeart/2005/8/layout/radial6"/>
    <dgm:cxn modelId="{EC6ED6E7-7DF3-4377-AEBF-2C59F1424CE2}" type="presOf" srcId="{B6B9981F-8AD8-4304-AD02-8B951EFCA6F6}" destId="{8F1969EB-FD2C-446A-962A-08469E7C4C7F}" srcOrd="0" destOrd="0" presId="urn:microsoft.com/office/officeart/2005/8/layout/radial6"/>
    <dgm:cxn modelId="{5DFB91BE-A790-4549-8A4B-F3D470FBE34E}" srcId="{F46D6F25-B3C0-4E60-94CB-CC1CE5B14B3D}" destId="{A15E5FCB-0FCA-4ECA-ABAB-53056D0690AF}" srcOrd="4" destOrd="0" parTransId="{7E80D972-9BF6-4C52-B813-2BD4131936F3}" sibTransId="{325F96D7-127B-4792-AE2F-E00A180A9C98}"/>
    <dgm:cxn modelId="{B0FEA53B-A99C-4363-82D8-C71EBA7A6B5E}" type="presOf" srcId="{6E4793B0-9663-410D-AD49-D6D905621B47}" destId="{868A48B7-0364-4660-90DC-682477091D84}" srcOrd="0" destOrd="0" presId="urn:microsoft.com/office/officeart/2005/8/layout/radial6"/>
    <dgm:cxn modelId="{C26B9252-1DC1-4A78-BFC1-8E5986D390AF}" srcId="{F46D6F25-B3C0-4E60-94CB-CC1CE5B14B3D}" destId="{5E9368AB-4589-42F5-9B9C-BAA4DC4F78F4}" srcOrd="5" destOrd="0" parTransId="{5FDBC25B-CB75-46D2-B7D6-DAE8247D9AC5}" sibTransId="{4E197180-FCCD-4E6B-B9D4-D31E8A9C0C6D}"/>
    <dgm:cxn modelId="{638FC7E3-395E-4F61-A048-D36D0E3189A7}" srcId="{33CA30AD-4FEB-4891-9064-62538A3D5675}" destId="{F46D6F25-B3C0-4E60-94CB-CC1CE5B14B3D}" srcOrd="0" destOrd="0" parTransId="{1B859887-FA42-4E41-ACD7-F2CFEAB340B5}" sibTransId="{9DF35154-C3DB-4643-865E-1845C17F34A8}"/>
    <dgm:cxn modelId="{83111FEF-652D-497A-A1B6-6D1A061AD3CF}" type="presOf" srcId="{23589A4B-88C6-454F-82AB-BBAD524C6442}" destId="{2473529E-FE70-406C-8899-F1956272CE47}" srcOrd="0" destOrd="0" presId="urn:microsoft.com/office/officeart/2005/8/layout/radial6"/>
    <dgm:cxn modelId="{350F0C89-A8B6-4E58-81F6-94960339B5CF}" type="presOf" srcId="{67DEF1BD-E848-4FBE-8291-7644BB8B3B2F}" destId="{19E27095-13F5-4A05-B308-5435DA90985F}" srcOrd="0" destOrd="0" presId="urn:microsoft.com/office/officeart/2005/8/layout/radial6"/>
    <dgm:cxn modelId="{F6C87368-6567-458D-B5F0-7267DA8A56F9}" srcId="{F46D6F25-B3C0-4E60-94CB-CC1CE5B14B3D}" destId="{6F65FA92-A3AE-4292-BA56-D34D11F4D69B}" srcOrd="2" destOrd="0" parTransId="{9ADD21EF-5160-433A-8294-72B9564ED5C9}" sibTransId="{67DEF1BD-E848-4FBE-8291-7644BB8B3B2F}"/>
    <dgm:cxn modelId="{963D6182-BDA0-4579-8B7A-E9412934A752}" type="presOf" srcId="{33CA30AD-4FEB-4891-9064-62538A3D5675}" destId="{368827C4-3EDC-42F2-A33A-F3B16D763C8B}" srcOrd="0" destOrd="0" presId="urn:microsoft.com/office/officeart/2005/8/layout/radial6"/>
    <dgm:cxn modelId="{98E2B74C-C006-4452-BDF5-C3B461ACD2F5}" type="presOf" srcId="{325F96D7-127B-4792-AE2F-E00A180A9C98}" destId="{32E7FB85-BD83-4806-8CF0-D053226C1B8F}" srcOrd="0" destOrd="0" presId="urn:microsoft.com/office/officeart/2005/8/layout/radial6"/>
    <dgm:cxn modelId="{D1FA08F2-74B6-4BDA-9F9D-E0C18D23FCAF}" type="presOf" srcId="{F46D6F25-B3C0-4E60-94CB-CC1CE5B14B3D}" destId="{EBCAA44F-EF19-4394-8EC3-B3DF5EA7F8A8}" srcOrd="0" destOrd="0" presId="urn:microsoft.com/office/officeart/2005/8/layout/radial6"/>
    <dgm:cxn modelId="{F6A3FFC5-3753-4B2B-BC80-2B4DD4625DF5}" type="presOf" srcId="{82D1499E-7289-4443-A550-F5CA739B1C6E}" destId="{A12191F5-741F-444F-BE39-D8F13A513D56}" srcOrd="0" destOrd="0" presId="urn:microsoft.com/office/officeart/2005/8/layout/radial6"/>
    <dgm:cxn modelId="{64A13FD5-410F-4B4C-8B7A-40EA54B08F8C}" type="presOf" srcId="{6F65FA92-A3AE-4292-BA56-D34D11F4D69B}" destId="{2FA4BB12-86F0-4A3A-A8E4-759C69367963}" srcOrd="0" destOrd="0" presId="urn:microsoft.com/office/officeart/2005/8/layout/radial6"/>
    <dgm:cxn modelId="{2C44B727-884F-4DC0-931A-CD171C949451}" srcId="{F46D6F25-B3C0-4E60-94CB-CC1CE5B14B3D}" destId="{82932EEA-CEB3-4818-BDA9-69B869B59877}" srcOrd="1" destOrd="0" parTransId="{CDC35FAC-186F-449B-A233-066AA89417B8}" sibTransId="{82D1499E-7289-4443-A550-F5CA739B1C6E}"/>
    <dgm:cxn modelId="{EA5E51C4-9DEC-4B88-BF7A-ABF8E7AC15C9}" type="presOf" srcId="{00E2491A-5A19-4EC7-8412-8D00EC88D65A}" destId="{6D550E68-8306-4228-A006-146BD84CBFDD}" srcOrd="0" destOrd="0" presId="urn:microsoft.com/office/officeart/2005/8/layout/radial6"/>
    <dgm:cxn modelId="{87A33144-4798-4378-BB3C-A0C681F2384C}" type="presOf" srcId="{4E197180-FCCD-4E6B-B9D4-D31E8A9C0C6D}" destId="{4D68333F-3E5F-4EC5-9CB4-BCB4D138F577}" srcOrd="0" destOrd="0" presId="urn:microsoft.com/office/officeart/2005/8/layout/radial6"/>
    <dgm:cxn modelId="{4E3F4A1D-C605-4E27-989D-5F4FC4A77605}" type="presOf" srcId="{82932EEA-CEB3-4818-BDA9-69B869B59877}" destId="{23C1C0E8-025B-4CCA-8784-A20F3365012E}" srcOrd="0" destOrd="0" presId="urn:microsoft.com/office/officeart/2005/8/layout/radial6"/>
    <dgm:cxn modelId="{3585E86A-4A23-48F2-8FD8-13EA85443107}" type="presParOf" srcId="{368827C4-3EDC-42F2-A33A-F3B16D763C8B}" destId="{EBCAA44F-EF19-4394-8EC3-B3DF5EA7F8A8}" srcOrd="0" destOrd="0" presId="urn:microsoft.com/office/officeart/2005/8/layout/radial6"/>
    <dgm:cxn modelId="{55F8A081-10A4-40AB-AE0A-F9629CA63905}" type="presParOf" srcId="{368827C4-3EDC-42F2-A33A-F3B16D763C8B}" destId="{6D550E68-8306-4228-A006-146BD84CBFDD}" srcOrd="1" destOrd="0" presId="urn:microsoft.com/office/officeart/2005/8/layout/radial6"/>
    <dgm:cxn modelId="{D7D1E131-2EA7-4657-9540-799DA54A9939}" type="presParOf" srcId="{368827C4-3EDC-42F2-A33A-F3B16D763C8B}" destId="{7DD10676-B5E4-4930-983C-FF7F4665B0A1}" srcOrd="2" destOrd="0" presId="urn:microsoft.com/office/officeart/2005/8/layout/radial6"/>
    <dgm:cxn modelId="{3C8F9309-CBF6-4218-AABA-1C3AEDC7B7C5}" type="presParOf" srcId="{368827C4-3EDC-42F2-A33A-F3B16D763C8B}" destId="{868A48B7-0364-4660-90DC-682477091D84}" srcOrd="3" destOrd="0" presId="urn:microsoft.com/office/officeart/2005/8/layout/radial6"/>
    <dgm:cxn modelId="{BA13E3E2-7151-47BC-9849-CAB3E0FB9676}" type="presParOf" srcId="{368827C4-3EDC-42F2-A33A-F3B16D763C8B}" destId="{23C1C0E8-025B-4CCA-8784-A20F3365012E}" srcOrd="4" destOrd="0" presId="urn:microsoft.com/office/officeart/2005/8/layout/radial6"/>
    <dgm:cxn modelId="{8D757F08-B683-420A-ABE4-B5132253619C}" type="presParOf" srcId="{368827C4-3EDC-42F2-A33A-F3B16D763C8B}" destId="{9D112F1B-3EF9-4A3F-9C9A-ADFF546309AE}" srcOrd="5" destOrd="0" presId="urn:microsoft.com/office/officeart/2005/8/layout/radial6"/>
    <dgm:cxn modelId="{7EDAD1B4-DEBC-4A94-945E-7DD862C9DDFB}" type="presParOf" srcId="{368827C4-3EDC-42F2-A33A-F3B16D763C8B}" destId="{A12191F5-741F-444F-BE39-D8F13A513D56}" srcOrd="6" destOrd="0" presId="urn:microsoft.com/office/officeart/2005/8/layout/radial6"/>
    <dgm:cxn modelId="{51698EEE-3748-491D-B98C-FE5861500917}" type="presParOf" srcId="{368827C4-3EDC-42F2-A33A-F3B16D763C8B}" destId="{2FA4BB12-86F0-4A3A-A8E4-759C69367963}" srcOrd="7" destOrd="0" presId="urn:microsoft.com/office/officeart/2005/8/layout/radial6"/>
    <dgm:cxn modelId="{D5A5C2B2-35CB-4096-9A46-7AB9CA746198}" type="presParOf" srcId="{368827C4-3EDC-42F2-A33A-F3B16D763C8B}" destId="{292E1418-EF3B-4350-B759-A56BBFDDF2D3}" srcOrd="8" destOrd="0" presId="urn:microsoft.com/office/officeart/2005/8/layout/radial6"/>
    <dgm:cxn modelId="{748B1B3E-BE3B-4B48-A89A-3BECE5F35EF7}" type="presParOf" srcId="{368827C4-3EDC-42F2-A33A-F3B16D763C8B}" destId="{19E27095-13F5-4A05-B308-5435DA90985F}" srcOrd="9" destOrd="0" presId="urn:microsoft.com/office/officeart/2005/8/layout/radial6"/>
    <dgm:cxn modelId="{854761C8-57E1-4100-BF79-221C0483549F}" type="presParOf" srcId="{368827C4-3EDC-42F2-A33A-F3B16D763C8B}" destId="{2473529E-FE70-406C-8899-F1956272CE47}" srcOrd="10" destOrd="0" presId="urn:microsoft.com/office/officeart/2005/8/layout/radial6"/>
    <dgm:cxn modelId="{B3CBBD7B-C85B-4C96-ACE7-6591EF83234C}" type="presParOf" srcId="{368827C4-3EDC-42F2-A33A-F3B16D763C8B}" destId="{6B2369BD-5823-468F-AFFC-F220F16F3CF4}" srcOrd="11" destOrd="0" presId="urn:microsoft.com/office/officeart/2005/8/layout/radial6"/>
    <dgm:cxn modelId="{3E1D4451-46E5-4E2D-9BEE-562BF44B8C2E}" type="presParOf" srcId="{368827C4-3EDC-42F2-A33A-F3B16D763C8B}" destId="{8F1969EB-FD2C-446A-962A-08469E7C4C7F}" srcOrd="12" destOrd="0" presId="urn:microsoft.com/office/officeart/2005/8/layout/radial6"/>
    <dgm:cxn modelId="{BB3E849D-E2E4-428A-9185-E78738845A5C}" type="presParOf" srcId="{368827C4-3EDC-42F2-A33A-F3B16D763C8B}" destId="{D86BFBD3-E10B-4335-8C0B-C917F8E83402}" srcOrd="13" destOrd="0" presId="urn:microsoft.com/office/officeart/2005/8/layout/radial6"/>
    <dgm:cxn modelId="{9A64CE14-4346-46D6-86F3-7AE3C6BB2FAE}" type="presParOf" srcId="{368827C4-3EDC-42F2-A33A-F3B16D763C8B}" destId="{77649F25-9374-4916-A6C1-A7FB19A4D985}" srcOrd="14" destOrd="0" presId="urn:microsoft.com/office/officeart/2005/8/layout/radial6"/>
    <dgm:cxn modelId="{34ECBB44-C1C9-43E8-9F62-089BC6921086}" type="presParOf" srcId="{368827C4-3EDC-42F2-A33A-F3B16D763C8B}" destId="{32E7FB85-BD83-4806-8CF0-D053226C1B8F}" srcOrd="15" destOrd="0" presId="urn:microsoft.com/office/officeart/2005/8/layout/radial6"/>
    <dgm:cxn modelId="{5E3A02F3-6E08-419B-87DC-9381EAD2D094}" type="presParOf" srcId="{368827C4-3EDC-42F2-A33A-F3B16D763C8B}" destId="{9B3B97DD-EF20-46EB-B077-580F412922FA}" srcOrd="16" destOrd="0" presId="urn:microsoft.com/office/officeart/2005/8/layout/radial6"/>
    <dgm:cxn modelId="{9AA1696C-0852-46D8-91DD-67D322D98835}" type="presParOf" srcId="{368827C4-3EDC-42F2-A33A-F3B16D763C8B}" destId="{FE3D3827-A6CC-4925-A469-8509AC8ECA64}" srcOrd="17" destOrd="0" presId="urn:microsoft.com/office/officeart/2005/8/layout/radial6"/>
    <dgm:cxn modelId="{7E6FF202-13A4-4A90-B337-29C94B519DFB}" type="presParOf" srcId="{368827C4-3EDC-42F2-A33A-F3B16D763C8B}" destId="{4D68333F-3E5F-4EC5-9CB4-BCB4D138F577}" srcOrd="18" destOrd="0" presId="urn:microsoft.com/office/officeart/2005/8/layout/radial6"/>
  </dgm:cxnLst>
  <dgm:bg/>
  <dgm:whole/>
</dgm:dataModel>
</file>

<file path=word/diagrams/data3.xml><?xml version="1.0" encoding="utf-8"?>
<dgm:dataModel xmlns:dgm="http://schemas.openxmlformats.org/drawingml/2006/diagram" xmlns:a="http://schemas.openxmlformats.org/drawingml/2006/main">
  <dgm:ptLst>
    <dgm:pt modelId="{CC8C974C-64C0-463A-A709-D7001A0BF18F}" type="doc">
      <dgm:prSet loTypeId="urn:microsoft.com/office/officeart/2005/8/layout/cycle7" loCatId="cycle" qsTypeId="urn:microsoft.com/office/officeart/2005/8/quickstyle/3d1" qsCatId="3D" csTypeId="urn:microsoft.com/office/officeart/2005/8/colors/accent0_2" csCatId="mainScheme" phldr="1"/>
      <dgm:spPr/>
      <dgm:t>
        <a:bodyPr/>
        <a:lstStyle/>
        <a:p>
          <a:endParaRPr lang="en-US"/>
        </a:p>
      </dgm:t>
    </dgm:pt>
    <dgm:pt modelId="{CEA0A11C-9289-4F8A-9FBD-C0425A56F36B}">
      <dgm:prSet phldrT="[Text]" custT="1"/>
      <dgm:spPr/>
      <dgm:t>
        <a:bodyPr/>
        <a:lstStyle/>
        <a:p>
          <a:r>
            <a:rPr lang="en-US" sz="1500"/>
            <a:t>Two Route</a:t>
          </a:r>
        </a:p>
      </dgm:t>
    </dgm:pt>
    <dgm:pt modelId="{B760C729-184D-448E-9A83-B2122C054FA1}" type="parTrans" cxnId="{3F876BAF-D1D0-48FF-AAC2-602E0ABE8B45}">
      <dgm:prSet/>
      <dgm:spPr/>
      <dgm:t>
        <a:bodyPr/>
        <a:lstStyle/>
        <a:p>
          <a:endParaRPr lang="en-US"/>
        </a:p>
      </dgm:t>
    </dgm:pt>
    <dgm:pt modelId="{9357FBB8-FF31-4B6E-9435-1A66473E83FA}" type="sibTrans" cxnId="{3F876BAF-D1D0-48FF-AAC2-602E0ABE8B45}">
      <dgm:prSet/>
      <dgm:spPr/>
      <dgm:t>
        <a:bodyPr/>
        <a:lstStyle/>
        <a:p>
          <a:endParaRPr lang="en-US"/>
        </a:p>
      </dgm:t>
    </dgm:pt>
    <dgm:pt modelId="{C5A0D9FB-B04C-4681-87FC-C05B1EA0469E}">
      <dgm:prSet phldrT="[Text]"/>
      <dgm:spPr/>
      <dgm:t>
        <a:bodyPr/>
        <a:lstStyle/>
        <a:p>
          <a:r>
            <a:rPr lang="en-US"/>
            <a:t>Government Route</a:t>
          </a:r>
        </a:p>
      </dgm:t>
    </dgm:pt>
    <dgm:pt modelId="{73B194FA-6B15-4105-88A1-570E8804DA5D}" type="parTrans" cxnId="{BB45F3E3-233C-4424-B094-5EED9FDA9A9F}">
      <dgm:prSet/>
      <dgm:spPr/>
      <dgm:t>
        <a:bodyPr/>
        <a:lstStyle/>
        <a:p>
          <a:endParaRPr lang="en-US"/>
        </a:p>
      </dgm:t>
    </dgm:pt>
    <dgm:pt modelId="{1ACD40F6-EE13-4D7B-BDD3-3147956D2F29}" type="sibTrans" cxnId="{BB45F3E3-233C-4424-B094-5EED9FDA9A9F}">
      <dgm:prSet/>
      <dgm:spPr/>
      <dgm:t>
        <a:bodyPr/>
        <a:lstStyle/>
        <a:p>
          <a:endParaRPr lang="en-US"/>
        </a:p>
      </dgm:t>
    </dgm:pt>
    <dgm:pt modelId="{E4A8B6F8-C780-47CC-BA65-740CA4F771B5}">
      <dgm:prSet phldrT="[Text]"/>
      <dgm:spPr/>
      <dgm:t>
        <a:bodyPr/>
        <a:lstStyle/>
        <a:p>
          <a:r>
            <a:rPr lang="en-US"/>
            <a:t>Automatic Route</a:t>
          </a:r>
        </a:p>
      </dgm:t>
    </dgm:pt>
    <dgm:pt modelId="{873AEBC7-7BCE-400A-BF1C-29BB4565C2F3}" type="parTrans" cxnId="{3726063F-303A-441A-9C00-B8BA2CE2B590}">
      <dgm:prSet/>
      <dgm:spPr/>
      <dgm:t>
        <a:bodyPr/>
        <a:lstStyle/>
        <a:p>
          <a:endParaRPr lang="en-US"/>
        </a:p>
      </dgm:t>
    </dgm:pt>
    <dgm:pt modelId="{847D6777-75DE-4856-8F68-C8E6938E340D}" type="sibTrans" cxnId="{3726063F-303A-441A-9C00-B8BA2CE2B590}">
      <dgm:prSet/>
      <dgm:spPr/>
      <dgm:t>
        <a:bodyPr/>
        <a:lstStyle/>
        <a:p>
          <a:endParaRPr lang="en-US"/>
        </a:p>
      </dgm:t>
    </dgm:pt>
    <dgm:pt modelId="{CA4363F8-9723-446B-B73F-C06B57E377B7}" type="pres">
      <dgm:prSet presAssocID="{CC8C974C-64C0-463A-A709-D7001A0BF18F}" presName="Name0" presStyleCnt="0">
        <dgm:presLayoutVars>
          <dgm:dir/>
          <dgm:resizeHandles val="exact"/>
        </dgm:presLayoutVars>
      </dgm:prSet>
      <dgm:spPr/>
      <dgm:t>
        <a:bodyPr/>
        <a:lstStyle/>
        <a:p>
          <a:endParaRPr lang="en-US"/>
        </a:p>
      </dgm:t>
    </dgm:pt>
    <dgm:pt modelId="{2F3475DB-8292-451F-BF24-79DF85FEEFDB}" type="pres">
      <dgm:prSet presAssocID="{CEA0A11C-9289-4F8A-9FBD-C0425A56F36B}" presName="node" presStyleLbl="node1" presStyleIdx="0" presStyleCnt="3" custScaleX="283596">
        <dgm:presLayoutVars>
          <dgm:bulletEnabled val="1"/>
        </dgm:presLayoutVars>
      </dgm:prSet>
      <dgm:spPr/>
      <dgm:t>
        <a:bodyPr/>
        <a:lstStyle/>
        <a:p>
          <a:endParaRPr lang="en-US"/>
        </a:p>
      </dgm:t>
    </dgm:pt>
    <dgm:pt modelId="{08A027E6-A9F5-48A3-91C8-432E3F898A38}" type="pres">
      <dgm:prSet presAssocID="{9357FBB8-FF31-4B6E-9435-1A66473E83FA}" presName="sibTrans" presStyleLbl="sibTrans2D1" presStyleIdx="0" presStyleCnt="3"/>
      <dgm:spPr/>
      <dgm:t>
        <a:bodyPr/>
        <a:lstStyle/>
        <a:p>
          <a:endParaRPr lang="en-US"/>
        </a:p>
      </dgm:t>
    </dgm:pt>
    <dgm:pt modelId="{32102BC0-D597-404E-944F-897611B739DF}" type="pres">
      <dgm:prSet presAssocID="{9357FBB8-FF31-4B6E-9435-1A66473E83FA}" presName="connectorText" presStyleLbl="sibTrans2D1" presStyleIdx="0" presStyleCnt="3"/>
      <dgm:spPr/>
      <dgm:t>
        <a:bodyPr/>
        <a:lstStyle/>
        <a:p>
          <a:endParaRPr lang="en-US"/>
        </a:p>
      </dgm:t>
    </dgm:pt>
    <dgm:pt modelId="{7B931C09-D33B-4C4F-899D-6AD0478C90CB}" type="pres">
      <dgm:prSet presAssocID="{C5A0D9FB-B04C-4681-87FC-C05B1EA0469E}" presName="node" presStyleLbl="node1" presStyleIdx="1" presStyleCnt="3" custScaleX="279619" custRadScaleRad="181642" custRadScaleInc="-23343">
        <dgm:presLayoutVars>
          <dgm:bulletEnabled val="1"/>
        </dgm:presLayoutVars>
      </dgm:prSet>
      <dgm:spPr/>
      <dgm:t>
        <a:bodyPr/>
        <a:lstStyle/>
        <a:p>
          <a:endParaRPr lang="en-US"/>
        </a:p>
      </dgm:t>
    </dgm:pt>
    <dgm:pt modelId="{A3BFCAFA-2C29-49B2-B889-72C1A03B25FB}" type="pres">
      <dgm:prSet presAssocID="{1ACD40F6-EE13-4D7B-BDD3-3147956D2F29}" presName="sibTrans" presStyleLbl="sibTrans2D1" presStyleIdx="1" presStyleCnt="3"/>
      <dgm:spPr/>
      <dgm:t>
        <a:bodyPr/>
        <a:lstStyle/>
        <a:p>
          <a:endParaRPr lang="en-US"/>
        </a:p>
      </dgm:t>
    </dgm:pt>
    <dgm:pt modelId="{4F2C74D7-B1ED-43A8-A62F-11F82F92F847}" type="pres">
      <dgm:prSet presAssocID="{1ACD40F6-EE13-4D7B-BDD3-3147956D2F29}" presName="connectorText" presStyleLbl="sibTrans2D1" presStyleIdx="1" presStyleCnt="3"/>
      <dgm:spPr/>
      <dgm:t>
        <a:bodyPr/>
        <a:lstStyle/>
        <a:p>
          <a:endParaRPr lang="en-US"/>
        </a:p>
      </dgm:t>
    </dgm:pt>
    <dgm:pt modelId="{E1110182-40E9-473E-92E1-34F6E69051BB}" type="pres">
      <dgm:prSet presAssocID="{E4A8B6F8-C780-47CC-BA65-740CA4F771B5}" presName="node" presStyleLbl="node1" presStyleIdx="2" presStyleCnt="3" custScaleX="254321" custRadScaleRad="235842" custRadScaleInc="32485">
        <dgm:presLayoutVars>
          <dgm:bulletEnabled val="1"/>
        </dgm:presLayoutVars>
      </dgm:prSet>
      <dgm:spPr/>
      <dgm:t>
        <a:bodyPr/>
        <a:lstStyle/>
        <a:p>
          <a:endParaRPr lang="en-US"/>
        </a:p>
      </dgm:t>
    </dgm:pt>
    <dgm:pt modelId="{EED1235B-1BD0-414F-9182-0BC023C5AE91}" type="pres">
      <dgm:prSet presAssocID="{847D6777-75DE-4856-8F68-C8E6938E340D}" presName="sibTrans" presStyleLbl="sibTrans2D1" presStyleIdx="2" presStyleCnt="3"/>
      <dgm:spPr/>
      <dgm:t>
        <a:bodyPr/>
        <a:lstStyle/>
        <a:p>
          <a:endParaRPr lang="en-US"/>
        </a:p>
      </dgm:t>
    </dgm:pt>
    <dgm:pt modelId="{F3ACB851-CBF9-45CD-A51D-3F7D6585B08D}" type="pres">
      <dgm:prSet presAssocID="{847D6777-75DE-4856-8F68-C8E6938E340D}" presName="connectorText" presStyleLbl="sibTrans2D1" presStyleIdx="2" presStyleCnt="3"/>
      <dgm:spPr/>
      <dgm:t>
        <a:bodyPr/>
        <a:lstStyle/>
        <a:p>
          <a:endParaRPr lang="en-US"/>
        </a:p>
      </dgm:t>
    </dgm:pt>
  </dgm:ptLst>
  <dgm:cxnLst>
    <dgm:cxn modelId="{BFA56998-5651-4EFD-89C8-23D324B9CF12}" type="presOf" srcId="{E4A8B6F8-C780-47CC-BA65-740CA4F771B5}" destId="{E1110182-40E9-473E-92E1-34F6E69051BB}" srcOrd="0" destOrd="0" presId="urn:microsoft.com/office/officeart/2005/8/layout/cycle7"/>
    <dgm:cxn modelId="{BB45F3E3-233C-4424-B094-5EED9FDA9A9F}" srcId="{CC8C974C-64C0-463A-A709-D7001A0BF18F}" destId="{C5A0D9FB-B04C-4681-87FC-C05B1EA0469E}" srcOrd="1" destOrd="0" parTransId="{73B194FA-6B15-4105-88A1-570E8804DA5D}" sibTransId="{1ACD40F6-EE13-4D7B-BDD3-3147956D2F29}"/>
    <dgm:cxn modelId="{3FFF1C28-19F1-4311-9281-73C4E6AE358C}" type="presOf" srcId="{1ACD40F6-EE13-4D7B-BDD3-3147956D2F29}" destId="{4F2C74D7-B1ED-43A8-A62F-11F82F92F847}" srcOrd="1" destOrd="0" presId="urn:microsoft.com/office/officeart/2005/8/layout/cycle7"/>
    <dgm:cxn modelId="{3F876BAF-D1D0-48FF-AAC2-602E0ABE8B45}" srcId="{CC8C974C-64C0-463A-A709-D7001A0BF18F}" destId="{CEA0A11C-9289-4F8A-9FBD-C0425A56F36B}" srcOrd="0" destOrd="0" parTransId="{B760C729-184D-448E-9A83-B2122C054FA1}" sibTransId="{9357FBB8-FF31-4B6E-9435-1A66473E83FA}"/>
    <dgm:cxn modelId="{A4957495-C9EB-4C4B-922A-72F1205E1B95}" type="presOf" srcId="{1ACD40F6-EE13-4D7B-BDD3-3147956D2F29}" destId="{A3BFCAFA-2C29-49B2-B889-72C1A03B25FB}" srcOrd="0" destOrd="0" presId="urn:microsoft.com/office/officeart/2005/8/layout/cycle7"/>
    <dgm:cxn modelId="{36914283-1E82-4849-BCAE-31115905B408}" type="presOf" srcId="{847D6777-75DE-4856-8F68-C8E6938E340D}" destId="{EED1235B-1BD0-414F-9182-0BC023C5AE91}" srcOrd="0" destOrd="0" presId="urn:microsoft.com/office/officeart/2005/8/layout/cycle7"/>
    <dgm:cxn modelId="{46E4DB97-D394-4614-97F3-C13BA46CE015}" type="presOf" srcId="{C5A0D9FB-B04C-4681-87FC-C05B1EA0469E}" destId="{7B931C09-D33B-4C4F-899D-6AD0478C90CB}" srcOrd="0" destOrd="0" presId="urn:microsoft.com/office/officeart/2005/8/layout/cycle7"/>
    <dgm:cxn modelId="{4C098C98-42BC-4BF6-BE2E-D6527D29749F}" type="presOf" srcId="{9357FBB8-FF31-4B6E-9435-1A66473E83FA}" destId="{08A027E6-A9F5-48A3-91C8-432E3F898A38}" srcOrd="0" destOrd="0" presId="urn:microsoft.com/office/officeart/2005/8/layout/cycle7"/>
    <dgm:cxn modelId="{11A89790-3FC8-4EF3-81CC-F603501D01DB}" type="presOf" srcId="{847D6777-75DE-4856-8F68-C8E6938E340D}" destId="{F3ACB851-CBF9-45CD-A51D-3F7D6585B08D}" srcOrd="1" destOrd="0" presId="urn:microsoft.com/office/officeart/2005/8/layout/cycle7"/>
    <dgm:cxn modelId="{174A4993-BA84-4404-B0D8-1278D4FACBEE}" type="presOf" srcId="{CC8C974C-64C0-463A-A709-D7001A0BF18F}" destId="{CA4363F8-9723-446B-B73F-C06B57E377B7}" srcOrd="0" destOrd="0" presId="urn:microsoft.com/office/officeart/2005/8/layout/cycle7"/>
    <dgm:cxn modelId="{583EA7C4-BD17-4ED2-93D7-E0921DABBDBF}" type="presOf" srcId="{CEA0A11C-9289-4F8A-9FBD-C0425A56F36B}" destId="{2F3475DB-8292-451F-BF24-79DF85FEEFDB}" srcOrd="0" destOrd="0" presId="urn:microsoft.com/office/officeart/2005/8/layout/cycle7"/>
    <dgm:cxn modelId="{9DBEEEBD-5B25-4889-B547-095A17BB5239}" type="presOf" srcId="{9357FBB8-FF31-4B6E-9435-1A66473E83FA}" destId="{32102BC0-D597-404E-944F-897611B739DF}" srcOrd="1" destOrd="0" presId="urn:microsoft.com/office/officeart/2005/8/layout/cycle7"/>
    <dgm:cxn modelId="{3726063F-303A-441A-9C00-B8BA2CE2B590}" srcId="{CC8C974C-64C0-463A-A709-D7001A0BF18F}" destId="{E4A8B6F8-C780-47CC-BA65-740CA4F771B5}" srcOrd="2" destOrd="0" parTransId="{873AEBC7-7BCE-400A-BF1C-29BB4565C2F3}" sibTransId="{847D6777-75DE-4856-8F68-C8E6938E340D}"/>
    <dgm:cxn modelId="{71F87F87-EEC5-42CA-8567-F455CF7F0D24}" type="presParOf" srcId="{CA4363F8-9723-446B-B73F-C06B57E377B7}" destId="{2F3475DB-8292-451F-BF24-79DF85FEEFDB}" srcOrd="0" destOrd="0" presId="urn:microsoft.com/office/officeart/2005/8/layout/cycle7"/>
    <dgm:cxn modelId="{1A132198-1769-421A-B07A-F70A8B41A9D3}" type="presParOf" srcId="{CA4363F8-9723-446B-B73F-C06B57E377B7}" destId="{08A027E6-A9F5-48A3-91C8-432E3F898A38}" srcOrd="1" destOrd="0" presId="urn:microsoft.com/office/officeart/2005/8/layout/cycle7"/>
    <dgm:cxn modelId="{F312CD6C-4C46-442C-86EA-253A55113004}" type="presParOf" srcId="{08A027E6-A9F5-48A3-91C8-432E3F898A38}" destId="{32102BC0-D597-404E-944F-897611B739DF}" srcOrd="0" destOrd="0" presId="urn:microsoft.com/office/officeart/2005/8/layout/cycle7"/>
    <dgm:cxn modelId="{B3663CBD-2FE5-4F56-BCAF-8F219EB05FA5}" type="presParOf" srcId="{CA4363F8-9723-446B-B73F-C06B57E377B7}" destId="{7B931C09-D33B-4C4F-899D-6AD0478C90CB}" srcOrd="2" destOrd="0" presId="urn:microsoft.com/office/officeart/2005/8/layout/cycle7"/>
    <dgm:cxn modelId="{3EC1B77C-F5D6-4E28-913E-1B5D9393B002}" type="presParOf" srcId="{CA4363F8-9723-446B-B73F-C06B57E377B7}" destId="{A3BFCAFA-2C29-49B2-B889-72C1A03B25FB}" srcOrd="3" destOrd="0" presId="urn:microsoft.com/office/officeart/2005/8/layout/cycle7"/>
    <dgm:cxn modelId="{96C9876C-9805-4C25-88F1-33420AD595DA}" type="presParOf" srcId="{A3BFCAFA-2C29-49B2-B889-72C1A03B25FB}" destId="{4F2C74D7-B1ED-43A8-A62F-11F82F92F847}" srcOrd="0" destOrd="0" presId="urn:microsoft.com/office/officeart/2005/8/layout/cycle7"/>
    <dgm:cxn modelId="{64185A68-5B44-429F-B22C-DE3570751F3E}" type="presParOf" srcId="{CA4363F8-9723-446B-B73F-C06B57E377B7}" destId="{E1110182-40E9-473E-92E1-34F6E69051BB}" srcOrd="4" destOrd="0" presId="urn:microsoft.com/office/officeart/2005/8/layout/cycle7"/>
    <dgm:cxn modelId="{B76C36FD-48AC-422F-BD62-AB9DB9D14B63}" type="presParOf" srcId="{CA4363F8-9723-446B-B73F-C06B57E377B7}" destId="{EED1235B-1BD0-414F-9182-0BC023C5AE91}" srcOrd="5" destOrd="0" presId="urn:microsoft.com/office/officeart/2005/8/layout/cycle7"/>
    <dgm:cxn modelId="{2050300D-86E7-4B6B-8E5C-26D2270AE1B1}" type="presParOf" srcId="{EED1235B-1BD0-414F-9182-0BC023C5AE91}" destId="{F3ACB851-CBF9-45CD-A51D-3F7D6585B08D}" srcOrd="0" destOrd="0" presId="urn:microsoft.com/office/officeart/2005/8/layout/cycle7"/>
  </dgm:cxnLst>
  <dgm:bg/>
  <dgm:whole/>
</dgm:dataModel>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3F147-DE1E-4282-B291-307154F82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11</Pages>
  <Words>2175</Words>
  <Characters>12404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SYSTEM123</dc:creator>
  <cp:keywords/>
  <dc:description/>
  <cp:lastModifiedBy>SYSTEM123</cp:lastModifiedBy>
  <cp:revision>68</cp:revision>
  <cp:lastPrinted>2016-06-13T06:05:00Z</cp:lastPrinted>
  <dcterms:created xsi:type="dcterms:W3CDTF">2016-06-09T13:44:00Z</dcterms:created>
  <dcterms:modified xsi:type="dcterms:W3CDTF">2016-06-20T14:53:00Z</dcterms:modified>
</cp:coreProperties>
</file>