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59" w:type="dxa"/>
        <w:tblCellSpacing w:w="15" w:type="dxa"/>
        <w:shd w:val="clear" w:color="auto" w:fill="FCFCFC"/>
        <w:tblCellMar>
          <w:left w:w="0" w:type="dxa"/>
          <w:right w:w="0" w:type="dxa"/>
        </w:tblCellMar>
        <w:tblLook w:val="04A0"/>
      </w:tblPr>
      <w:tblGrid>
        <w:gridCol w:w="3133"/>
        <w:gridCol w:w="3634"/>
        <w:gridCol w:w="3634"/>
        <w:gridCol w:w="3958"/>
      </w:tblGrid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Factors of Comparison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Private Limited Company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One Person Company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Limited Liability Partnership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Governing Law and Regulatory Authority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The Companies Act 2013 and the Ministry of Corporate Affairs (MCA)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The Companies Act 2013 and the Ministry of Corporate Affairs (MCA)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The LLP Act 2008 and the Ministry of Corporate Affairs (MCA)</w:t>
            </w:r>
          </w:p>
        </w:tc>
      </w:tr>
      <w:tr w:rsidR="00C41317" w:rsidRPr="00C41317" w:rsidTr="00C41317">
        <w:trPr>
          <w:trHeight w:val="2070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Minimum Requirement for formation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240" w:lineRule="auto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2 Shareholders</w:t>
            </w:r>
          </w:p>
          <w:p w:rsidR="00C41317" w:rsidRPr="00C41317" w:rsidRDefault="00C41317" w:rsidP="00C41317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2 Directors</w:t>
            </w:r>
          </w:p>
          <w:p w:rsidR="00C41317" w:rsidRPr="00C41317" w:rsidRDefault="00C41317" w:rsidP="00C41317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Directors and Shareholders can be same persons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240" w:lineRule="auto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1 Shareholder</w:t>
            </w:r>
          </w:p>
          <w:p w:rsidR="00C41317" w:rsidRPr="00C41317" w:rsidRDefault="00C41317" w:rsidP="00C41317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1 Director</w:t>
            </w:r>
          </w:p>
          <w:p w:rsidR="00C41317" w:rsidRPr="00C41317" w:rsidRDefault="00C41317" w:rsidP="00C41317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1 Nominee of Sole Member</w:t>
            </w:r>
          </w:p>
          <w:p w:rsidR="00C41317" w:rsidRPr="00C41317" w:rsidRDefault="00C41317" w:rsidP="00C41317">
            <w:pPr>
              <w:spacing w:after="225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Director and Shareholder can be same person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2 Designated Partners</w:t>
            </w:r>
          </w:p>
        </w:tc>
      </w:tr>
      <w:tr w:rsidR="00C41317" w:rsidRPr="00C41317" w:rsidTr="00C41317">
        <w:trPr>
          <w:trHeight w:val="517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Maintenance of Books of Accounts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Maintenance of Basic Statutory Records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Resolutions and Minutes of the Board Meetings and General Meetings.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Share Register and Share Certificates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Resolutions and Minutes of the Board Meetings and General Meetings.Share Register and Share Certificates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Minute book to be maintained to record minutes of meetings of partners.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Board Meetings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First meeting within 30 days from the date of Incorporation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Minimum Four Board Meetings in a calendar year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No meetings required if the company has only one director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 xml:space="preserve"> In case of more than one director, first meeting to be conducted within 30 days from the date of Incorporation of </w:t>
            </w: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company.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At least one meeting of the Board of Directors has to be conducted in each half of a calendar year and the gap between the two meetings is not less than ninety days.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No compulsory meeting of the partners is prescribed in the LLP Act or Rules.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Meetings of Partners may be called for events prescribed in the LLP Agreement such as: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·   Remuneration, Admission, Cessation or Expulsion of the partners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Induction of the heir of any existing partner as a partner(s) of the LLP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Amendment in the objects of the LLP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lastRenderedPageBreak/>
              <w:t>Annual General Meetings (AGM)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No AGM Required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No AGM Required</w:t>
            </w:r>
          </w:p>
        </w:tc>
      </w:tr>
      <w:tr w:rsidR="00C41317" w:rsidRPr="00C41317" w:rsidTr="00C41317">
        <w:trPr>
          <w:trHeight w:val="1303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Annual RoC Filings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Balance Sheet, Profit &amp; Loss Account, Cash Flow Statement, and Statement of changes in equity in Form AOC-4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Annual Return in Form MGT-7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Balance Sheet, Profit &amp; Loss Account, Cash Flow Statement, and Statement of changes in equity in Form AOC-4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Annual Return in Form MGT-7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Statement of Account and Solvency in e-Form 8.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 Annual Return in e-Form 11.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Annual Tax Filings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 – Tax Return in Form ITR-VI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 – Tax Return in Form ITR-VI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 – Tax Return in Form ITR-V</w:t>
            </w:r>
          </w:p>
        </w:tc>
      </w:tr>
      <w:tr w:rsidR="00C41317" w:rsidRPr="00C41317" w:rsidTr="00C41317">
        <w:trPr>
          <w:trHeight w:val="663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Statutory Audit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Mandatory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If turnover &gt; 40 lakhs or contribution &gt; 25 lakhs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Tax Audit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If turnover &gt; 1 Crore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If turnover &gt; 1 Crore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If turnover &gt; 1 Crore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 xml:space="preserve">Alteration of Name, Address, </w:t>
            </w: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lastRenderedPageBreak/>
              <w:t>Objects etc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Fillings Required with RoC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Approval from Central Govt. in some cases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Fillings Required with RoC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Approval from Central Govt. in some cases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lastRenderedPageBreak/>
              <w:t>Fillings Required with RoC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lastRenderedPageBreak/>
              <w:t>Conversion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A Private Company can be converted into OPC, subject to: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Paid up share capital &lt;= 50 lakhs, or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Average annual turnover &lt;= 2 crores.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An OPC shall be converted into private limited company mandatorily, subject to: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Paid up share capital &gt;50 lakhs, or</w:t>
            </w:r>
          </w:p>
          <w:p w:rsidR="00C41317" w:rsidRPr="00C41317" w:rsidRDefault="00C41317" w:rsidP="00C41317">
            <w:pPr>
              <w:spacing w:after="225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Average annual turnover &gt; 2 crores during preceding 3 Financial years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Cannot be converted into a Private Limited Company directly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Closure/ Dissolution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Can be initiated voluntarily,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shareholders, or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Creditors, or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Tribunal.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Can be initiated voluntarily,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shareholders, or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Creditors, or</w:t>
            </w:r>
          </w:p>
          <w:p w:rsidR="00C41317" w:rsidRPr="00C41317" w:rsidRDefault="00C41317" w:rsidP="00C41317">
            <w:pPr>
              <w:spacing w:after="0" w:line="240" w:lineRule="auto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Tribunal.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Can be initiated voluntarily,</w:t>
            </w:r>
          </w:p>
          <w:p w:rsidR="00C41317" w:rsidRPr="00C41317" w:rsidRDefault="00C41317" w:rsidP="00C41317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Partners, or</w:t>
            </w:r>
          </w:p>
          <w:p w:rsidR="00C41317" w:rsidRPr="00C41317" w:rsidRDefault="00C41317" w:rsidP="00C41317">
            <w:pPr>
              <w:spacing w:after="0" w:line="315" w:lineRule="atLeast"/>
              <w:textAlignment w:val="baseline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·   By the Order of the Tribunal.</w:t>
            </w:r>
          </w:p>
        </w:tc>
      </w:tr>
      <w:tr w:rsidR="00C41317" w:rsidRPr="00C41317" w:rsidTr="00C41317">
        <w:trPr>
          <w:trHeight w:val="43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Taxation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Taxed at 30%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Taxed at 30%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Taxed at 30%</w:t>
            </w:r>
          </w:p>
        </w:tc>
      </w:tr>
      <w:tr w:rsidR="00C41317" w:rsidRPr="00C41317" w:rsidTr="00C41317">
        <w:trPr>
          <w:trHeight w:val="686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Fund Raising Options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High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Low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Low</w:t>
            </w:r>
          </w:p>
        </w:tc>
      </w:tr>
      <w:tr w:rsidR="00C41317" w:rsidRPr="00C41317" w:rsidTr="00C41317">
        <w:trPr>
          <w:trHeight w:val="534"/>
          <w:tblCellSpacing w:w="15" w:type="dxa"/>
        </w:trPr>
        <w:tc>
          <w:tcPr>
            <w:tcW w:w="3088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b/>
                <w:bCs/>
                <w:color w:val="656B6F"/>
                <w:sz w:val="20"/>
              </w:rPr>
              <w:t>Compliance Cost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High</w:t>
            </w:r>
          </w:p>
        </w:tc>
        <w:tc>
          <w:tcPr>
            <w:tcW w:w="3604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Medium</w:t>
            </w:r>
          </w:p>
        </w:tc>
        <w:tc>
          <w:tcPr>
            <w:tcW w:w="3913" w:type="dxa"/>
            <w:shd w:val="clear" w:color="auto" w:fill="FCFCFC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C41317" w:rsidRPr="00C41317" w:rsidRDefault="00C41317" w:rsidP="00C41317">
            <w:pPr>
              <w:spacing w:after="0" w:line="315" w:lineRule="atLeast"/>
              <w:rPr>
                <w:rFonts w:ascii="inherit" w:eastAsia="Times New Roman" w:hAnsi="inherit" w:cs="Arial"/>
                <w:color w:val="656B6F"/>
                <w:sz w:val="20"/>
                <w:szCs w:val="20"/>
              </w:rPr>
            </w:pPr>
            <w:r w:rsidRPr="00C41317">
              <w:rPr>
                <w:rFonts w:ascii="inherit" w:eastAsia="Times New Roman" w:hAnsi="inherit" w:cs="Arial"/>
                <w:color w:val="656B6F"/>
                <w:sz w:val="20"/>
                <w:szCs w:val="20"/>
              </w:rPr>
              <w:t>Medium</w:t>
            </w:r>
          </w:p>
        </w:tc>
      </w:tr>
    </w:tbl>
    <w:p w:rsidR="00AD093C" w:rsidRDefault="00C41317">
      <w:r w:rsidRPr="00C41317">
        <w:rPr>
          <w:rFonts w:ascii="Arial" w:eastAsia="Times New Roman" w:hAnsi="Arial" w:cs="Arial"/>
          <w:color w:val="656B6F"/>
          <w:sz w:val="20"/>
          <w:szCs w:val="20"/>
          <w:shd w:val="clear" w:color="auto" w:fill="FCFCFC"/>
        </w:rPr>
        <w:t xml:space="preserve">- </w:t>
      </w:r>
    </w:p>
    <w:sectPr w:rsidR="00AD093C" w:rsidSect="00C41317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93C" w:rsidRDefault="00AD093C" w:rsidP="00C41317">
      <w:pPr>
        <w:spacing w:after="0" w:line="240" w:lineRule="auto"/>
      </w:pPr>
      <w:r>
        <w:separator/>
      </w:r>
    </w:p>
  </w:endnote>
  <w:endnote w:type="continuationSeparator" w:id="1">
    <w:p w:rsidR="00AD093C" w:rsidRDefault="00AD093C" w:rsidP="00C413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93C" w:rsidRDefault="00AD093C" w:rsidP="00C41317">
      <w:pPr>
        <w:spacing w:after="0" w:line="240" w:lineRule="auto"/>
      </w:pPr>
      <w:r>
        <w:separator/>
      </w:r>
    </w:p>
  </w:footnote>
  <w:footnote w:type="continuationSeparator" w:id="1">
    <w:p w:rsidR="00AD093C" w:rsidRDefault="00AD093C" w:rsidP="00C413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317" w:rsidRDefault="00C41317">
    <w:pPr>
      <w:pStyle w:val="Header"/>
    </w:pPr>
    <w:r>
      <w:rPr>
        <w:rFonts w:ascii="Arial" w:hAnsi="Arial" w:cs="Arial"/>
        <w:color w:val="656B6F"/>
        <w:sz w:val="20"/>
        <w:szCs w:val="20"/>
        <w:shd w:val="clear" w:color="auto" w:fill="FCFCFC"/>
      </w:rPr>
      <w:t>The Comparison chart will give you a clear distinction between the compliance requirements of all the three forms of business.(PVT. CO. Vs OPC Vs LLP)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1317"/>
    <w:rsid w:val="00AD093C"/>
    <w:rsid w:val="00C4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41317"/>
    <w:rPr>
      <w:b/>
      <w:bCs/>
    </w:rPr>
  </w:style>
  <w:style w:type="paragraph" w:styleId="NormalWeb">
    <w:name w:val="Normal (Web)"/>
    <w:basedOn w:val="Normal"/>
    <w:uiPriority w:val="99"/>
    <w:unhideWhenUsed/>
    <w:rsid w:val="00C4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C41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41317"/>
  </w:style>
  <w:style w:type="paragraph" w:styleId="Footer">
    <w:name w:val="footer"/>
    <w:basedOn w:val="Normal"/>
    <w:link w:val="FooterChar"/>
    <w:uiPriority w:val="99"/>
    <w:semiHidden/>
    <w:unhideWhenUsed/>
    <w:rsid w:val="00C413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413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45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531</Words>
  <Characters>3032</Characters>
  <Application>Microsoft Office Word</Application>
  <DocSecurity>0</DocSecurity>
  <Lines>25</Lines>
  <Paragraphs>7</Paragraphs>
  <ScaleCrop>false</ScaleCrop>
  <Company/>
  <LinksUpToDate>false</LinksUpToDate>
  <CharactersWithSpaces>3556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</dc:creator>
  <cp:keywords/>
  <dc:description/>
  <cp:lastModifiedBy>Deepak</cp:lastModifiedBy>
  <cp:revision>2</cp:revision>
  <dcterms:created xsi:type="dcterms:W3CDTF">2016-05-18T10:56:00Z</dcterms:created>
  <dcterms:modified xsi:type="dcterms:W3CDTF">2016-05-18T11:06:00Z</dcterms:modified>
</cp:coreProperties>
</file>