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6CC" w:rsidRDefault="008E26CC" w:rsidP="00803DAA">
      <w:pPr>
        <w:shd w:val="clear" w:color="auto" w:fill="FFFFFF"/>
        <w:spacing w:before="100" w:beforeAutospacing="1" w:after="100" w:afterAutospacing="1" w:line="240" w:lineRule="auto"/>
        <w:jc w:val="center"/>
        <w:outlineLvl w:val="2"/>
        <w:rPr>
          <w:rFonts w:ascii="Book Antiqua" w:eastAsia="Times New Roman" w:hAnsi="Book Antiqua" w:cs="Arial"/>
          <w:b/>
          <w:bCs/>
          <w:color w:val="333333"/>
          <w:u w:val="single"/>
        </w:rPr>
      </w:pPr>
      <w:r w:rsidRPr="00F20B81">
        <w:rPr>
          <w:rFonts w:ascii="Book Antiqua" w:eastAsia="Times New Roman" w:hAnsi="Book Antiqua" w:cs="Arial"/>
          <w:b/>
          <w:bCs/>
          <w:color w:val="333333"/>
          <w:u w:val="single"/>
        </w:rPr>
        <w:t>STRATEGIC DEBT RESTRUCTURING- AN INTRODUCTION</w:t>
      </w:r>
    </w:p>
    <w:p w:rsidR="008E26CC" w:rsidRPr="00F20B81" w:rsidRDefault="008235E8" w:rsidP="008235E8">
      <w:pPr>
        <w:shd w:val="clear" w:color="auto" w:fill="FFFFFF"/>
        <w:spacing w:before="100" w:beforeAutospacing="1" w:after="100" w:afterAutospacing="1" w:line="255" w:lineRule="atLeast"/>
        <w:jc w:val="both"/>
        <w:rPr>
          <w:rFonts w:ascii="Book Antiqua" w:eastAsia="Times New Roman" w:hAnsi="Book Antiqua" w:cs="Arial"/>
          <w:color w:val="333333"/>
        </w:rPr>
      </w:pPr>
      <w:r>
        <w:rPr>
          <w:rFonts w:ascii="Book Antiqua" w:eastAsia="Times New Roman" w:hAnsi="Book Antiqua" w:cs="Arial"/>
          <w:color w:val="333333"/>
        </w:rPr>
        <w:t xml:space="preserve">1. </w:t>
      </w:r>
      <w:r w:rsidRPr="008235E8">
        <w:rPr>
          <w:rFonts w:ascii="Book Antiqua" w:eastAsia="Times New Roman" w:hAnsi="Book Antiqua" w:cs="Arial"/>
          <w:b/>
          <w:color w:val="333333"/>
        </w:rPr>
        <w:t>PREAMBLE</w:t>
      </w:r>
      <w:r>
        <w:rPr>
          <w:rFonts w:ascii="Book Antiqua" w:eastAsia="Times New Roman" w:hAnsi="Book Antiqua" w:cs="Arial"/>
          <w:color w:val="333333"/>
        </w:rPr>
        <w:t xml:space="preserve">: </w:t>
      </w:r>
      <w:r w:rsidR="008E26CC" w:rsidRPr="00F20B81">
        <w:rPr>
          <w:rFonts w:ascii="Book Antiqua" w:eastAsia="Times New Roman" w:hAnsi="Book Antiqua" w:cs="Arial"/>
          <w:color w:val="333333"/>
        </w:rPr>
        <w:t>The concept of Strategic Debt Restructuring ("</w:t>
      </w:r>
      <w:r w:rsidR="008E26CC" w:rsidRPr="00F20B81">
        <w:rPr>
          <w:rFonts w:ascii="Book Antiqua" w:eastAsia="Times New Roman" w:hAnsi="Book Antiqua" w:cs="Arial"/>
          <w:b/>
          <w:bCs/>
          <w:color w:val="333333"/>
        </w:rPr>
        <w:t>SDR</w:t>
      </w:r>
      <w:r w:rsidR="008E26CC" w:rsidRPr="00F20B81">
        <w:rPr>
          <w:rFonts w:ascii="Book Antiqua" w:eastAsia="Times New Roman" w:hAnsi="Book Antiqua" w:cs="Arial"/>
          <w:color w:val="333333"/>
        </w:rPr>
        <w:t>") has been introduced by the Reserve Bank of India (the "</w:t>
      </w:r>
      <w:r w:rsidR="008E26CC" w:rsidRPr="00F20B81">
        <w:rPr>
          <w:rFonts w:ascii="Book Antiqua" w:eastAsia="Times New Roman" w:hAnsi="Book Antiqua" w:cs="Arial"/>
          <w:b/>
          <w:bCs/>
          <w:color w:val="333333"/>
        </w:rPr>
        <w:t>RBI</w:t>
      </w:r>
      <w:r w:rsidR="008E26CC" w:rsidRPr="00F20B81">
        <w:rPr>
          <w:rFonts w:ascii="Book Antiqua" w:eastAsia="Times New Roman" w:hAnsi="Book Antiqua" w:cs="Arial"/>
          <w:color w:val="333333"/>
        </w:rPr>
        <w:t>") in the SDR Scheme (the "</w:t>
      </w:r>
      <w:r w:rsidR="008E26CC" w:rsidRPr="00F20B81">
        <w:rPr>
          <w:rFonts w:ascii="Book Antiqua" w:eastAsia="Times New Roman" w:hAnsi="Book Antiqua" w:cs="Arial"/>
          <w:b/>
          <w:bCs/>
          <w:color w:val="333333"/>
        </w:rPr>
        <w:t>Scheme</w:t>
      </w:r>
      <w:r w:rsidR="008E26CC" w:rsidRPr="00F20B81">
        <w:rPr>
          <w:rFonts w:ascii="Book Antiqua" w:eastAsia="Times New Roman" w:hAnsi="Book Antiqua" w:cs="Arial"/>
          <w:color w:val="333333"/>
        </w:rPr>
        <w:t>") to help banks recover their loans by taking control of the distressed listed companies.</w:t>
      </w:r>
      <w:r>
        <w:rPr>
          <w:rFonts w:ascii="Book Antiqua" w:eastAsia="Times New Roman" w:hAnsi="Book Antiqua" w:cs="Arial"/>
          <w:color w:val="333333"/>
        </w:rPr>
        <w:t xml:space="preserve"> </w:t>
      </w:r>
      <w:r w:rsidR="008E26CC" w:rsidRPr="00F20B81">
        <w:rPr>
          <w:rFonts w:ascii="Book Antiqua" w:eastAsia="Times New Roman" w:hAnsi="Book Antiqua" w:cs="Arial"/>
          <w:color w:val="333333"/>
        </w:rPr>
        <w:t>The Scheme has been enacted with a view to revive stressed companies and provide lending institutions with a way to initiate change of management in companies which fail to achieve the milestones under Corporate Debt Restructuring ("</w:t>
      </w:r>
      <w:r w:rsidR="008E26CC" w:rsidRPr="00F20B81">
        <w:rPr>
          <w:rFonts w:ascii="Book Antiqua" w:eastAsia="Times New Roman" w:hAnsi="Book Antiqua" w:cs="Arial"/>
          <w:b/>
          <w:bCs/>
          <w:color w:val="333333"/>
        </w:rPr>
        <w:t>CDR</w:t>
      </w:r>
      <w:r w:rsidR="008E26CC" w:rsidRPr="00F20B81">
        <w:rPr>
          <w:rFonts w:ascii="Book Antiqua" w:eastAsia="Times New Roman" w:hAnsi="Book Antiqua" w:cs="Arial"/>
          <w:color w:val="333333"/>
        </w:rPr>
        <w:t>").</w:t>
      </w:r>
      <w:r>
        <w:rPr>
          <w:rFonts w:ascii="Book Antiqua" w:eastAsia="Times New Roman" w:hAnsi="Book Antiqua" w:cs="Arial"/>
          <w:color w:val="333333"/>
        </w:rPr>
        <w:t xml:space="preserve"> </w:t>
      </w:r>
      <w:r w:rsidR="008E26CC" w:rsidRPr="00F20B81">
        <w:rPr>
          <w:rFonts w:ascii="Book Antiqua" w:eastAsia="Times New Roman" w:hAnsi="Book Antiqua" w:cs="Arial"/>
          <w:color w:val="333333"/>
        </w:rPr>
        <w:t xml:space="preserve">The Scheme is </w:t>
      </w:r>
      <w:r w:rsidR="008E26CC" w:rsidRPr="00F20B81">
        <w:rPr>
          <w:rFonts w:ascii="Book Antiqua" w:eastAsia="Times New Roman" w:hAnsi="Book Antiqua" w:cs="Arial"/>
          <w:b/>
          <w:color w:val="333333"/>
        </w:rPr>
        <w:t>subsequent to CDR</w:t>
      </w:r>
      <w:r w:rsidR="008E26CC" w:rsidRPr="00F20B81">
        <w:rPr>
          <w:rFonts w:ascii="Book Antiqua" w:eastAsia="Times New Roman" w:hAnsi="Book Antiqua" w:cs="Arial"/>
          <w:color w:val="333333"/>
        </w:rPr>
        <w:t xml:space="preserve"> or any other restructuring exercise undertaken by the companies.</w:t>
      </w:r>
    </w:p>
    <w:p w:rsidR="000440EB" w:rsidRPr="00F20B81" w:rsidRDefault="00D35BA9" w:rsidP="000440EB">
      <w:pPr>
        <w:shd w:val="clear" w:color="auto" w:fill="FFFFFF"/>
        <w:spacing w:before="100" w:beforeAutospacing="1" w:after="100" w:afterAutospacing="1" w:line="255" w:lineRule="atLeast"/>
        <w:jc w:val="both"/>
        <w:rPr>
          <w:rFonts w:ascii="Book Antiqua" w:hAnsi="Book Antiqua"/>
          <w:b/>
        </w:rPr>
      </w:pPr>
      <w:r w:rsidRPr="00F20B81">
        <w:rPr>
          <w:rFonts w:ascii="Book Antiqua" w:hAnsi="Book Antiqua"/>
          <w:b/>
        </w:rPr>
        <w:t>2. STATUS OF CORPORATE DEBT RESTRUCTURING (CDR) AND NON PERFORMING ASSETS (NPAS)</w:t>
      </w:r>
    </w:p>
    <w:tbl>
      <w:tblPr>
        <w:tblStyle w:val="LightGrid-Accent1"/>
        <w:tblW w:w="0" w:type="auto"/>
        <w:tblLook w:val="04A0" w:firstRow="1" w:lastRow="0" w:firstColumn="1" w:lastColumn="0" w:noHBand="0" w:noVBand="1"/>
      </w:tblPr>
      <w:tblGrid>
        <w:gridCol w:w="3192"/>
        <w:gridCol w:w="3192"/>
        <w:gridCol w:w="3192"/>
      </w:tblGrid>
      <w:tr w:rsidR="000440EB" w:rsidRPr="00F20B81" w:rsidTr="006E21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0440EB" w:rsidRPr="00F20B81" w:rsidRDefault="006E2147" w:rsidP="006E2147">
            <w:pPr>
              <w:spacing w:before="100" w:beforeAutospacing="1" w:after="100" w:afterAutospacing="1" w:line="255" w:lineRule="atLeast"/>
              <w:jc w:val="both"/>
              <w:rPr>
                <w:rFonts w:ascii="Book Antiqua" w:hAnsi="Book Antiqua"/>
                <w:b w:val="0"/>
              </w:rPr>
            </w:pPr>
            <w:r w:rsidRPr="00F20B81">
              <w:rPr>
                <w:rFonts w:ascii="Book Antiqua" w:hAnsi="Book Antiqua"/>
              </w:rPr>
              <w:t>Worrying Signs*</w:t>
            </w:r>
          </w:p>
        </w:tc>
        <w:tc>
          <w:tcPr>
            <w:tcW w:w="3192" w:type="dxa"/>
          </w:tcPr>
          <w:p w:rsidR="000440EB" w:rsidRPr="00F20B81" w:rsidRDefault="000440EB" w:rsidP="006E2147">
            <w:pPr>
              <w:spacing w:before="100" w:beforeAutospacing="1" w:after="100" w:afterAutospacing="1" w:line="255" w:lineRule="atLeast"/>
              <w:jc w:val="both"/>
              <w:cnfStyle w:val="100000000000" w:firstRow="1" w:lastRow="0" w:firstColumn="0" w:lastColumn="0" w:oddVBand="0" w:evenVBand="0" w:oddHBand="0" w:evenHBand="0" w:firstRowFirstColumn="0" w:firstRowLastColumn="0" w:lastRowFirstColumn="0" w:lastRowLastColumn="0"/>
              <w:rPr>
                <w:rFonts w:ascii="Book Antiqua" w:hAnsi="Book Antiqua"/>
                <w:b w:val="0"/>
              </w:rPr>
            </w:pPr>
            <w:r w:rsidRPr="00F20B81">
              <w:rPr>
                <w:rFonts w:ascii="Book Antiqua" w:hAnsi="Book Antiqua"/>
                <w:b w:val="0"/>
              </w:rPr>
              <w:t>Estimated as on March 2015</w:t>
            </w:r>
          </w:p>
        </w:tc>
        <w:tc>
          <w:tcPr>
            <w:tcW w:w="3192" w:type="dxa"/>
          </w:tcPr>
          <w:p w:rsidR="000440EB" w:rsidRPr="00F20B81" w:rsidRDefault="000440EB" w:rsidP="006E2147">
            <w:pPr>
              <w:spacing w:before="100" w:beforeAutospacing="1" w:after="100" w:afterAutospacing="1" w:line="255" w:lineRule="atLeast"/>
              <w:jc w:val="both"/>
              <w:cnfStyle w:val="100000000000" w:firstRow="1" w:lastRow="0" w:firstColumn="0" w:lastColumn="0" w:oddVBand="0" w:evenVBand="0" w:oddHBand="0" w:evenHBand="0" w:firstRowFirstColumn="0" w:firstRowLastColumn="0" w:lastRowFirstColumn="0" w:lastRowLastColumn="0"/>
              <w:rPr>
                <w:rFonts w:ascii="Book Antiqua" w:hAnsi="Book Antiqua"/>
                <w:b w:val="0"/>
              </w:rPr>
            </w:pPr>
            <w:r w:rsidRPr="00F20B81">
              <w:rPr>
                <w:rFonts w:ascii="Book Antiqua" w:hAnsi="Book Antiqua"/>
                <w:b w:val="0"/>
              </w:rPr>
              <w:t>Projected by March 2016</w:t>
            </w:r>
          </w:p>
        </w:tc>
      </w:tr>
      <w:tr w:rsidR="000440EB" w:rsidRPr="00F20B81" w:rsidTr="006E21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0440EB" w:rsidRPr="00F20B81" w:rsidRDefault="000440EB" w:rsidP="006E2147">
            <w:pPr>
              <w:spacing w:before="100" w:beforeAutospacing="1" w:after="100" w:afterAutospacing="1" w:line="255" w:lineRule="atLeast"/>
              <w:jc w:val="both"/>
              <w:rPr>
                <w:rFonts w:ascii="Book Antiqua" w:hAnsi="Book Antiqua"/>
              </w:rPr>
            </w:pPr>
            <w:r w:rsidRPr="00F20B81">
              <w:rPr>
                <w:rFonts w:ascii="Book Antiqua" w:hAnsi="Book Antiqua"/>
              </w:rPr>
              <w:t>Gross NPAs</w:t>
            </w:r>
          </w:p>
        </w:tc>
        <w:tc>
          <w:tcPr>
            <w:tcW w:w="3192" w:type="dxa"/>
          </w:tcPr>
          <w:p w:rsidR="000440EB" w:rsidRPr="00F20B81" w:rsidRDefault="006E2147" w:rsidP="006E2147">
            <w:pPr>
              <w:spacing w:before="100" w:beforeAutospacing="1" w:after="100" w:afterAutospacing="1" w:line="255" w:lineRule="atLeast"/>
              <w:jc w:val="both"/>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F20B81">
              <w:rPr>
                <w:rFonts w:ascii="Book Antiqua" w:hAnsi="Book Antiqua"/>
              </w:rPr>
              <w:t>Rs.3.1 lakh crore (4.4% of total loans)</w:t>
            </w:r>
          </w:p>
        </w:tc>
        <w:tc>
          <w:tcPr>
            <w:tcW w:w="3192" w:type="dxa"/>
          </w:tcPr>
          <w:p w:rsidR="000440EB" w:rsidRPr="00F20B81" w:rsidRDefault="006E2147" w:rsidP="006E2147">
            <w:pPr>
              <w:spacing w:before="100" w:beforeAutospacing="1" w:after="100" w:afterAutospacing="1" w:line="255" w:lineRule="atLeast"/>
              <w:jc w:val="both"/>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F20B81">
              <w:rPr>
                <w:rFonts w:ascii="Book Antiqua" w:hAnsi="Book Antiqua"/>
              </w:rPr>
              <w:t>Rs.4.2-4.7 lakh crore (5.-5.9% of total loans)</w:t>
            </w:r>
          </w:p>
        </w:tc>
      </w:tr>
      <w:tr w:rsidR="000440EB" w:rsidRPr="00F20B81" w:rsidTr="006E21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0440EB" w:rsidRPr="00F20B81" w:rsidRDefault="006E2147" w:rsidP="006E2147">
            <w:pPr>
              <w:spacing w:before="100" w:beforeAutospacing="1" w:after="100" w:afterAutospacing="1" w:line="255" w:lineRule="atLeast"/>
              <w:jc w:val="both"/>
              <w:rPr>
                <w:rFonts w:ascii="Book Antiqua" w:hAnsi="Book Antiqua"/>
              </w:rPr>
            </w:pPr>
            <w:r w:rsidRPr="00F20B81">
              <w:rPr>
                <w:rFonts w:ascii="Book Antiqua" w:hAnsi="Book Antiqua"/>
              </w:rPr>
              <w:t>Standard Restructured Advances</w:t>
            </w:r>
          </w:p>
        </w:tc>
        <w:tc>
          <w:tcPr>
            <w:tcW w:w="3192" w:type="dxa"/>
          </w:tcPr>
          <w:p w:rsidR="000440EB" w:rsidRPr="00F20B81" w:rsidRDefault="006E2147" w:rsidP="006E2147">
            <w:pPr>
              <w:spacing w:before="100" w:beforeAutospacing="1" w:after="100" w:afterAutospacing="1" w:line="255" w:lineRule="atLeast"/>
              <w:jc w:val="both"/>
              <w:cnfStyle w:val="000000010000" w:firstRow="0" w:lastRow="0" w:firstColumn="0" w:lastColumn="0" w:oddVBand="0" w:evenVBand="0" w:oddHBand="0" w:evenHBand="1" w:firstRowFirstColumn="0" w:firstRowLastColumn="0" w:lastRowFirstColumn="0" w:lastRowLastColumn="0"/>
              <w:rPr>
                <w:rFonts w:ascii="Book Antiqua" w:hAnsi="Book Antiqua"/>
              </w:rPr>
            </w:pPr>
            <w:r w:rsidRPr="00F20B81">
              <w:rPr>
                <w:rFonts w:ascii="Book Antiqua" w:hAnsi="Book Antiqua"/>
              </w:rPr>
              <w:t>Rs.4.3 lakh crore (6.2% of total loans)</w:t>
            </w:r>
          </w:p>
        </w:tc>
        <w:tc>
          <w:tcPr>
            <w:tcW w:w="3192" w:type="dxa"/>
          </w:tcPr>
          <w:p w:rsidR="000440EB" w:rsidRPr="00F20B81" w:rsidRDefault="006E2147" w:rsidP="006E2147">
            <w:pPr>
              <w:spacing w:before="100" w:beforeAutospacing="1" w:after="100" w:afterAutospacing="1" w:line="255" w:lineRule="atLeast"/>
              <w:jc w:val="both"/>
              <w:cnfStyle w:val="000000010000" w:firstRow="0" w:lastRow="0" w:firstColumn="0" w:lastColumn="0" w:oddVBand="0" w:evenVBand="0" w:oddHBand="0" w:evenHBand="1" w:firstRowFirstColumn="0" w:firstRowLastColumn="0" w:lastRowFirstColumn="0" w:lastRowLastColumn="0"/>
              <w:rPr>
                <w:rFonts w:ascii="Book Antiqua" w:hAnsi="Book Antiqua"/>
              </w:rPr>
            </w:pPr>
            <w:r w:rsidRPr="00F20B81">
              <w:rPr>
                <w:rFonts w:ascii="Book Antiqua" w:hAnsi="Book Antiqua"/>
              </w:rPr>
              <w:t>-</w:t>
            </w:r>
          </w:p>
        </w:tc>
      </w:tr>
      <w:tr w:rsidR="000440EB" w:rsidRPr="00F20B81" w:rsidTr="006E21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0440EB" w:rsidRPr="00F20B81" w:rsidRDefault="006E2147" w:rsidP="006E2147">
            <w:pPr>
              <w:spacing w:before="100" w:beforeAutospacing="1" w:after="100" w:afterAutospacing="1" w:line="255" w:lineRule="atLeast"/>
              <w:jc w:val="both"/>
              <w:rPr>
                <w:rFonts w:ascii="Book Antiqua" w:hAnsi="Book Antiqua"/>
              </w:rPr>
            </w:pPr>
            <w:r w:rsidRPr="00F20B81">
              <w:rPr>
                <w:rFonts w:ascii="Book Antiqua" w:hAnsi="Book Antiqua"/>
              </w:rPr>
              <w:t>Gross NPAs + Standard Restructured Advances</w:t>
            </w:r>
          </w:p>
        </w:tc>
        <w:tc>
          <w:tcPr>
            <w:tcW w:w="3192" w:type="dxa"/>
          </w:tcPr>
          <w:p w:rsidR="000440EB" w:rsidRPr="00F20B81" w:rsidRDefault="006E2147" w:rsidP="006E2147">
            <w:pPr>
              <w:spacing w:before="100" w:beforeAutospacing="1" w:after="100" w:afterAutospacing="1" w:line="255" w:lineRule="atLeast"/>
              <w:jc w:val="both"/>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F20B81">
              <w:rPr>
                <w:rFonts w:ascii="Book Antiqua" w:hAnsi="Book Antiqua"/>
              </w:rPr>
              <w:t>Rs.7.4 lakh crore (10.6% of total loans)</w:t>
            </w:r>
          </w:p>
        </w:tc>
        <w:tc>
          <w:tcPr>
            <w:tcW w:w="3192" w:type="dxa"/>
          </w:tcPr>
          <w:p w:rsidR="000440EB" w:rsidRPr="00F20B81" w:rsidRDefault="006E2147" w:rsidP="006E2147">
            <w:pPr>
              <w:spacing w:before="100" w:beforeAutospacing="1" w:after="100" w:afterAutospacing="1" w:line="255" w:lineRule="atLeast"/>
              <w:jc w:val="both"/>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F20B81">
              <w:rPr>
                <w:rFonts w:ascii="Book Antiqua" w:hAnsi="Book Antiqua"/>
              </w:rPr>
              <w:t>Rs.7.4-8 lakh crore (9.5-10.5% of total loans</w:t>
            </w:r>
          </w:p>
        </w:tc>
      </w:tr>
      <w:tr w:rsidR="006E2147" w:rsidRPr="00F20B81" w:rsidTr="006E21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3"/>
          </w:tcPr>
          <w:p w:rsidR="006E2147" w:rsidRPr="00F20B81" w:rsidRDefault="006E2147" w:rsidP="006E2147">
            <w:pPr>
              <w:shd w:val="clear" w:color="auto" w:fill="FFFFFF"/>
              <w:spacing w:before="100" w:beforeAutospacing="1" w:after="100" w:afterAutospacing="1" w:line="255" w:lineRule="atLeast"/>
              <w:jc w:val="both"/>
              <w:rPr>
                <w:rFonts w:ascii="Book Antiqua" w:hAnsi="Book Antiqua"/>
              </w:rPr>
            </w:pPr>
            <w:r w:rsidRPr="00F20B81">
              <w:rPr>
                <w:rFonts w:ascii="Book Antiqua" w:hAnsi="Book Antiqua"/>
              </w:rPr>
              <w:t>*ICRA estimate on banks’ gross NPAs and restructured advances (PSBs+ Private Banks)</w:t>
            </w:r>
          </w:p>
        </w:tc>
      </w:tr>
    </w:tbl>
    <w:p w:rsidR="008E26CC" w:rsidRPr="00F20B81" w:rsidRDefault="006E2147" w:rsidP="008E26CC">
      <w:pPr>
        <w:shd w:val="clear" w:color="auto" w:fill="FFFFFF"/>
        <w:spacing w:before="100" w:beforeAutospacing="1" w:after="100" w:afterAutospacing="1" w:line="240" w:lineRule="auto"/>
        <w:jc w:val="both"/>
        <w:outlineLvl w:val="2"/>
        <w:rPr>
          <w:rFonts w:ascii="Book Antiqua" w:eastAsia="Times New Roman" w:hAnsi="Book Antiqua" w:cs="Arial"/>
          <w:b/>
          <w:bCs/>
          <w:color w:val="333333"/>
        </w:rPr>
      </w:pPr>
      <w:r w:rsidRPr="00F20B81">
        <w:rPr>
          <w:rFonts w:ascii="Book Antiqua" w:eastAsia="Times New Roman" w:hAnsi="Book Antiqua" w:cs="Arial"/>
          <w:b/>
          <w:bCs/>
          <w:color w:val="333333"/>
        </w:rPr>
        <w:t xml:space="preserve">3. </w:t>
      </w:r>
      <w:r w:rsidR="008E26CC" w:rsidRPr="00F20B81">
        <w:rPr>
          <w:rFonts w:ascii="Book Antiqua" w:eastAsia="Times New Roman" w:hAnsi="Book Antiqua" w:cs="Arial"/>
          <w:b/>
          <w:bCs/>
          <w:color w:val="333333"/>
        </w:rPr>
        <w:t>ELIGIBILITY</w:t>
      </w:r>
    </w:p>
    <w:p w:rsidR="008E26CC" w:rsidRPr="00F20B81" w:rsidRDefault="008E26CC" w:rsidP="008E26CC">
      <w:pPr>
        <w:numPr>
          <w:ilvl w:val="0"/>
          <w:numId w:val="2"/>
        </w:numPr>
        <w:shd w:val="clear" w:color="auto" w:fill="FFFFFF"/>
        <w:spacing w:before="100" w:beforeAutospacing="1" w:after="100" w:afterAutospacing="1" w:line="255" w:lineRule="atLeast"/>
        <w:jc w:val="both"/>
        <w:rPr>
          <w:rFonts w:ascii="Book Antiqua" w:eastAsia="Times New Roman" w:hAnsi="Book Antiqua" w:cs="Arial"/>
          <w:color w:val="333333"/>
        </w:rPr>
      </w:pPr>
      <w:r w:rsidRPr="00F20B81">
        <w:rPr>
          <w:rFonts w:ascii="Book Antiqua" w:eastAsia="Times New Roman" w:hAnsi="Book Antiqua" w:cs="Arial"/>
          <w:color w:val="333333"/>
        </w:rPr>
        <w:t>Conversion of outstanding debts can be done by a consortium of lending institutions. Such a consortium is known as the Joint Lenders Forum ("</w:t>
      </w:r>
      <w:r w:rsidRPr="00F20B81">
        <w:rPr>
          <w:rFonts w:ascii="Book Antiqua" w:eastAsia="Times New Roman" w:hAnsi="Book Antiqua" w:cs="Arial"/>
          <w:b/>
          <w:bCs/>
          <w:color w:val="333333"/>
        </w:rPr>
        <w:t>JLF</w:t>
      </w:r>
      <w:r w:rsidRPr="00F20B81">
        <w:rPr>
          <w:rFonts w:ascii="Book Antiqua" w:eastAsia="Times New Roman" w:hAnsi="Book Antiqua" w:cs="Arial"/>
          <w:color w:val="333333"/>
        </w:rPr>
        <w:t>").</w:t>
      </w:r>
    </w:p>
    <w:p w:rsidR="008E26CC" w:rsidRPr="00F20B81" w:rsidRDefault="008E26CC" w:rsidP="008E26CC">
      <w:pPr>
        <w:numPr>
          <w:ilvl w:val="0"/>
          <w:numId w:val="2"/>
        </w:numPr>
        <w:shd w:val="clear" w:color="auto" w:fill="FFFFFF"/>
        <w:spacing w:before="100" w:beforeAutospacing="1" w:after="100" w:afterAutospacing="1" w:line="255" w:lineRule="atLeast"/>
        <w:jc w:val="both"/>
        <w:rPr>
          <w:rFonts w:ascii="Book Antiqua" w:eastAsia="Times New Roman" w:hAnsi="Book Antiqua" w:cs="Arial"/>
          <w:color w:val="333333"/>
        </w:rPr>
      </w:pPr>
      <w:r w:rsidRPr="00F20B81">
        <w:rPr>
          <w:rFonts w:ascii="Book Antiqua" w:eastAsia="Times New Roman" w:hAnsi="Book Antiqua" w:cs="Arial"/>
          <w:color w:val="333333"/>
        </w:rPr>
        <w:t>The JLF may include banks and other financial institutions such as NBFCs.</w:t>
      </w:r>
    </w:p>
    <w:p w:rsidR="006E2147" w:rsidRPr="00F20B81" w:rsidRDefault="008E26CC" w:rsidP="006E2147">
      <w:pPr>
        <w:numPr>
          <w:ilvl w:val="0"/>
          <w:numId w:val="2"/>
        </w:numPr>
        <w:shd w:val="clear" w:color="auto" w:fill="FFFFFF"/>
        <w:spacing w:before="100" w:beforeAutospacing="1" w:after="100" w:afterAutospacing="1" w:line="255" w:lineRule="atLeast"/>
        <w:jc w:val="both"/>
        <w:rPr>
          <w:rFonts w:ascii="Book Antiqua" w:eastAsia="Times New Roman" w:hAnsi="Book Antiqua" w:cs="Arial"/>
          <w:color w:val="333333"/>
        </w:rPr>
      </w:pPr>
      <w:r w:rsidRPr="00F20B81">
        <w:rPr>
          <w:rFonts w:ascii="Book Antiqua" w:eastAsia="Times New Roman" w:hAnsi="Book Antiqua" w:cs="Arial"/>
          <w:color w:val="333333"/>
        </w:rPr>
        <w:t>The Scheme will not be applicable to a single lender.</w:t>
      </w:r>
    </w:p>
    <w:tbl>
      <w:tblPr>
        <w:tblStyle w:val="TableGrid"/>
        <w:tblW w:w="9540" w:type="dxa"/>
        <w:tblInd w:w="108" w:type="dxa"/>
        <w:shd w:val="clear" w:color="auto" w:fill="C6D9F1" w:themeFill="text2" w:themeFillTint="33"/>
        <w:tblLook w:val="04A0" w:firstRow="1" w:lastRow="0" w:firstColumn="1" w:lastColumn="0" w:noHBand="0" w:noVBand="1"/>
      </w:tblPr>
      <w:tblGrid>
        <w:gridCol w:w="9540"/>
      </w:tblGrid>
      <w:tr w:rsidR="006E2147" w:rsidRPr="00F20B81" w:rsidTr="000C61CF">
        <w:trPr>
          <w:trHeight w:val="1250"/>
        </w:trPr>
        <w:tc>
          <w:tcPr>
            <w:tcW w:w="9540" w:type="dxa"/>
            <w:shd w:val="clear" w:color="auto" w:fill="C6D9F1" w:themeFill="text2" w:themeFillTint="33"/>
          </w:tcPr>
          <w:p w:rsidR="006E2147" w:rsidRPr="00F20B81" w:rsidRDefault="006E2147" w:rsidP="006E2147">
            <w:pPr>
              <w:shd w:val="clear" w:color="auto" w:fill="FFFFFF"/>
              <w:spacing w:before="100" w:beforeAutospacing="1" w:after="100" w:afterAutospacing="1" w:line="255" w:lineRule="atLeast"/>
              <w:jc w:val="both"/>
              <w:rPr>
                <w:rFonts w:ascii="Book Antiqua" w:eastAsia="Times New Roman" w:hAnsi="Book Antiqua" w:cs="Arial"/>
                <w:color w:val="333333"/>
              </w:rPr>
            </w:pPr>
            <w:r w:rsidRPr="00F20B81">
              <w:rPr>
                <w:rFonts w:ascii="Book Antiqua" w:hAnsi="Book Antiqua"/>
              </w:rPr>
              <w:t xml:space="preserve">“It will be useful in cases where the borrower has been non-compliant and the bank is confident that a new promoter or buyer can turn things around. In other cases, the existing managements are better equipped to grapple with the situation” - </w:t>
            </w:r>
            <w:proofErr w:type="spellStart"/>
            <w:r w:rsidRPr="00F20B81">
              <w:rPr>
                <w:rFonts w:ascii="Book Antiqua" w:hAnsi="Book Antiqua"/>
              </w:rPr>
              <w:t>Jaideep</w:t>
            </w:r>
            <w:proofErr w:type="spellEnd"/>
            <w:r w:rsidRPr="00F20B81">
              <w:rPr>
                <w:rFonts w:ascii="Book Antiqua" w:hAnsi="Book Antiqua"/>
              </w:rPr>
              <w:t xml:space="preserve"> </w:t>
            </w:r>
            <w:proofErr w:type="spellStart"/>
            <w:r w:rsidRPr="00F20B81">
              <w:rPr>
                <w:rFonts w:ascii="Book Antiqua" w:hAnsi="Book Antiqua"/>
              </w:rPr>
              <w:t>Iyer</w:t>
            </w:r>
            <w:proofErr w:type="spellEnd"/>
            <w:r w:rsidRPr="00F20B81">
              <w:rPr>
                <w:rFonts w:ascii="Book Antiqua" w:hAnsi="Book Antiqua"/>
              </w:rPr>
              <w:t>, Group President, Financial Management, YES Bank</w:t>
            </w:r>
          </w:p>
        </w:tc>
      </w:tr>
    </w:tbl>
    <w:p w:rsidR="00FC2549" w:rsidRPr="00F20B81" w:rsidRDefault="00FC2549" w:rsidP="00FC2549">
      <w:pPr>
        <w:shd w:val="clear" w:color="auto" w:fill="FFFFFF"/>
        <w:spacing w:before="100" w:beforeAutospacing="1" w:after="100" w:afterAutospacing="1" w:line="240" w:lineRule="auto"/>
        <w:jc w:val="both"/>
        <w:outlineLvl w:val="2"/>
        <w:rPr>
          <w:rFonts w:ascii="Book Antiqua" w:eastAsia="Times New Roman" w:hAnsi="Book Antiqua" w:cs="Arial"/>
          <w:b/>
          <w:bCs/>
          <w:color w:val="333333"/>
        </w:rPr>
      </w:pPr>
      <w:r w:rsidRPr="00F20B81">
        <w:rPr>
          <w:rFonts w:ascii="Book Antiqua" w:eastAsia="Times New Roman" w:hAnsi="Book Antiqua" w:cs="Arial"/>
          <w:b/>
          <w:bCs/>
          <w:color w:val="333333"/>
        </w:rPr>
        <w:t xml:space="preserve">4. </w:t>
      </w:r>
      <w:r w:rsidR="008E26CC" w:rsidRPr="00F20B81">
        <w:rPr>
          <w:rFonts w:ascii="Book Antiqua" w:eastAsia="Times New Roman" w:hAnsi="Book Antiqua" w:cs="Arial"/>
          <w:b/>
          <w:bCs/>
          <w:color w:val="333333"/>
        </w:rPr>
        <w:t>CONDITIONS</w:t>
      </w:r>
    </w:p>
    <w:p w:rsidR="008E26CC" w:rsidRPr="00F20B81" w:rsidRDefault="008E26CC" w:rsidP="00FC2549">
      <w:pPr>
        <w:shd w:val="clear" w:color="auto" w:fill="FFFFFF"/>
        <w:spacing w:before="100" w:beforeAutospacing="1" w:after="100" w:afterAutospacing="1" w:line="240" w:lineRule="auto"/>
        <w:jc w:val="both"/>
        <w:outlineLvl w:val="2"/>
        <w:rPr>
          <w:rFonts w:ascii="Book Antiqua" w:eastAsia="Times New Roman" w:hAnsi="Book Antiqua" w:cs="Arial"/>
          <w:color w:val="333333"/>
        </w:rPr>
      </w:pPr>
      <w:r w:rsidRPr="00F20B81">
        <w:rPr>
          <w:rFonts w:ascii="Book Antiqua" w:eastAsia="Times New Roman" w:hAnsi="Book Antiqua" w:cs="Arial"/>
          <w:color w:val="333333"/>
        </w:rPr>
        <w:t>At the time of initial restructuring, the JLF must incorporate an option in the loan agreement to convert the entire or part of the loan including the unpaid interest into equity shares if the company fails to achieve the milestones and critical conditions stipulated in the restructuring package.</w:t>
      </w:r>
    </w:p>
    <w:p w:rsidR="008E26CC" w:rsidRPr="00F20B81" w:rsidRDefault="008E26CC" w:rsidP="008E26CC">
      <w:pPr>
        <w:numPr>
          <w:ilvl w:val="0"/>
          <w:numId w:val="3"/>
        </w:numPr>
        <w:shd w:val="clear" w:color="auto" w:fill="FFFFFF"/>
        <w:spacing w:before="100" w:beforeAutospacing="1" w:after="100" w:afterAutospacing="1" w:line="255" w:lineRule="atLeast"/>
        <w:jc w:val="both"/>
        <w:rPr>
          <w:rFonts w:ascii="Book Antiqua" w:eastAsia="Times New Roman" w:hAnsi="Book Antiqua" w:cs="Arial"/>
          <w:color w:val="333333"/>
        </w:rPr>
      </w:pPr>
      <w:r w:rsidRPr="00F20B81">
        <w:rPr>
          <w:rFonts w:ascii="Book Antiqua" w:eastAsia="Times New Roman" w:hAnsi="Book Antiqua" w:cs="Arial"/>
          <w:color w:val="333333"/>
        </w:rPr>
        <w:t>This option must be corroborated with a special resolution since the debt-equity swap will result in dilution of existing shareholders.</w:t>
      </w:r>
    </w:p>
    <w:p w:rsidR="008E26CC" w:rsidRPr="00F20B81" w:rsidRDefault="008E26CC" w:rsidP="008E26CC">
      <w:pPr>
        <w:numPr>
          <w:ilvl w:val="0"/>
          <w:numId w:val="3"/>
        </w:numPr>
        <w:shd w:val="clear" w:color="auto" w:fill="FFFFFF"/>
        <w:spacing w:before="100" w:beforeAutospacing="1" w:after="100" w:afterAutospacing="1" w:line="255" w:lineRule="atLeast"/>
        <w:jc w:val="both"/>
        <w:rPr>
          <w:rFonts w:ascii="Book Antiqua" w:eastAsia="Times New Roman" w:hAnsi="Book Antiqua" w:cs="Arial"/>
          <w:color w:val="333333"/>
        </w:rPr>
      </w:pPr>
      <w:r w:rsidRPr="00F20B81">
        <w:rPr>
          <w:rFonts w:ascii="Book Antiqua" w:eastAsia="Times New Roman" w:hAnsi="Book Antiqua" w:cs="Arial"/>
          <w:color w:val="333333"/>
        </w:rPr>
        <w:t>Such a mandate will result in the lenders acquiring a majority (51%) ownership.</w:t>
      </w:r>
    </w:p>
    <w:p w:rsidR="008E26CC" w:rsidRPr="00F20B81" w:rsidRDefault="008E26CC" w:rsidP="008E26CC">
      <w:pPr>
        <w:numPr>
          <w:ilvl w:val="0"/>
          <w:numId w:val="3"/>
        </w:numPr>
        <w:shd w:val="clear" w:color="auto" w:fill="FFFFFF"/>
        <w:spacing w:before="100" w:beforeAutospacing="1" w:after="100" w:afterAutospacing="1" w:line="255" w:lineRule="atLeast"/>
        <w:jc w:val="both"/>
        <w:rPr>
          <w:rFonts w:ascii="Book Antiqua" w:eastAsia="Times New Roman" w:hAnsi="Book Antiqua" w:cs="Arial"/>
          <w:color w:val="333333"/>
        </w:rPr>
      </w:pPr>
      <w:r w:rsidRPr="00F20B81">
        <w:rPr>
          <w:rFonts w:ascii="Book Antiqua" w:eastAsia="Times New Roman" w:hAnsi="Book Antiqua" w:cs="Arial"/>
          <w:color w:val="333333"/>
        </w:rPr>
        <w:lastRenderedPageBreak/>
        <w:t>"If the company fails to achieve the milestones stipulated in the restructuring package, the decision of invoking the SDR must be taken by the JLF within thirty (</w:t>
      </w:r>
      <w:r w:rsidRPr="00F20B81">
        <w:rPr>
          <w:rFonts w:ascii="Book Antiqua" w:eastAsia="Times New Roman" w:hAnsi="Book Antiqua" w:cs="Arial"/>
          <w:b/>
          <w:bCs/>
          <w:color w:val="333333"/>
        </w:rPr>
        <w:t>30</w:t>
      </w:r>
      <w:r w:rsidRPr="00F20B81">
        <w:rPr>
          <w:rFonts w:ascii="Book Antiqua" w:eastAsia="Times New Roman" w:hAnsi="Book Antiqua" w:cs="Arial"/>
          <w:color w:val="333333"/>
        </w:rPr>
        <w:t>) days of the review of the account during the restructuring.</w:t>
      </w:r>
    </w:p>
    <w:p w:rsidR="008E26CC" w:rsidRPr="00F20B81" w:rsidRDefault="008E26CC" w:rsidP="008E26CC">
      <w:pPr>
        <w:numPr>
          <w:ilvl w:val="0"/>
          <w:numId w:val="3"/>
        </w:numPr>
        <w:shd w:val="clear" w:color="auto" w:fill="FFFFFF"/>
        <w:spacing w:before="100" w:beforeAutospacing="1" w:after="100" w:afterAutospacing="1" w:line="255" w:lineRule="atLeast"/>
        <w:jc w:val="both"/>
        <w:rPr>
          <w:rFonts w:ascii="Book Antiqua" w:eastAsia="Times New Roman" w:hAnsi="Book Antiqua" w:cs="Arial"/>
          <w:color w:val="333333"/>
        </w:rPr>
      </w:pPr>
      <w:r w:rsidRPr="00F20B81">
        <w:rPr>
          <w:rFonts w:ascii="Book Antiqua" w:eastAsia="Times New Roman" w:hAnsi="Book Antiqua" w:cs="Arial"/>
          <w:color w:val="333333"/>
        </w:rPr>
        <w:t>The JLF must approve the debt to equity conversion under the Scheme within ninety (</w:t>
      </w:r>
      <w:r w:rsidRPr="00F20B81">
        <w:rPr>
          <w:rFonts w:ascii="Book Antiqua" w:eastAsia="Times New Roman" w:hAnsi="Book Antiqua" w:cs="Arial"/>
          <w:b/>
          <w:bCs/>
          <w:color w:val="333333"/>
        </w:rPr>
        <w:t>90)</w:t>
      </w:r>
      <w:r w:rsidRPr="00F20B81">
        <w:rPr>
          <w:rFonts w:ascii="Book Antiqua" w:eastAsia="Times New Roman" w:hAnsi="Book Antiqua" w:cs="Arial"/>
          <w:color w:val="333333"/>
        </w:rPr>
        <w:t> days of deciding to invoke the SDR.</w:t>
      </w:r>
    </w:p>
    <w:p w:rsidR="008E26CC" w:rsidRPr="00F20B81" w:rsidRDefault="008E26CC" w:rsidP="008E26CC">
      <w:pPr>
        <w:numPr>
          <w:ilvl w:val="0"/>
          <w:numId w:val="3"/>
        </w:numPr>
        <w:shd w:val="clear" w:color="auto" w:fill="FFFFFF"/>
        <w:spacing w:before="100" w:beforeAutospacing="1" w:after="100" w:afterAutospacing="1" w:line="255" w:lineRule="atLeast"/>
        <w:jc w:val="both"/>
        <w:rPr>
          <w:rFonts w:ascii="Book Antiqua" w:eastAsia="Times New Roman" w:hAnsi="Book Antiqua" w:cs="Arial"/>
          <w:color w:val="333333"/>
        </w:rPr>
      </w:pPr>
      <w:r w:rsidRPr="00F20B81">
        <w:rPr>
          <w:rFonts w:ascii="Book Antiqua" w:eastAsia="Times New Roman" w:hAnsi="Book Antiqua" w:cs="Arial"/>
          <w:color w:val="333333"/>
        </w:rPr>
        <w:t>The JLF will get a further ninety (</w:t>
      </w:r>
      <w:r w:rsidRPr="00F20B81">
        <w:rPr>
          <w:rFonts w:ascii="Book Antiqua" w:eastAsia="Times New Roman" w:hAnsi="Book Antiqua" w:cs="Arial"/>
          <w:b/>
          <w:bCs/>
          <w:color w:val="333333"/>
        </w:rPr>
        <w:t>90</w:t>
      </w:r>
      <w:r w:rsidRPr="00F20B81">
        <w:rPr>
          <w:rFonts w:ascii="Book Antiqua" w:eastAsia="Times New Roman" w:hAnsi="Book Antiqua" w:cs="Arial"/>
          <w:color w:val="333333"/>
        </w:rPr>
        <w:t>) days to actually convert the loan into shares.</w:t>
      </w:r>
    </w:p>
    <w:p w:rsidR="008E26CC" w:rsidRPr="00F20B81" w:rsidRDefault="00FC2549" w:rsidP="008E26CC">
      <w:pPr>
        <w:shd w:val="clear" w:color="auto" w:fill="FFFFFF"/>
        <w:spacing w:before="100" w:beforeAutospacing="1" w:after="100" w:afterAutospacing="1" w:line="240" w:lineRule="auto"/>
        <w:jc w:val="both"/>
        <w:outlineLvl w:val="2"/>
        <w:rPr>
          <w:rFonts w:ascii="Book Antiqua" w:eastAsia="Times New Roman" w:hAnsi="Book Antiqua" w:cs="Arial"/>
          <w:b/>
          <w:bCs/>
          <w:color w:val="333333"/>
        </w:rPr>
      </w:pPr>
      <w:r w:rsidRPr="00F20B81">
        <w:rPr>
          <w:rFonts w:ascii="Book Antiqua" w:eastAsia="Times New Roman" w:hAnsi="Book Antiqua" w:cs="Arial"/>
          <w:b/>
          <w:bCs/>
          <w:color w:val="333333"/>
        </w:rPr>
        <w:t xml:space="preserve">5. </w:t>
      </w:r>
      <w:r w:rsidR="008E26CC" w:rsidRPr="00F20B81">
        <w:rPr>
          <w:rFonts w:ascii="Book Antiqua" w:eastAsia="Times New Roman" w:hAnsi="Book Antiqua" w:cs="Arial"/>
          <w:b/>
          <w:bCs/>
          <w:color w:val="333333"/>
        </w:rPr>
        <w:t>WHAT HAPPENS AFTER THE DEBT-EQUITY SWAP?</w:t>
      </w:r>
    </w:p>
    <w:p w:rsidR="008E26CC" w:rsidRPr="00F20B81" w:rsidRDefault="008E26CC" w:rsidP="008E26CC">
      <w:pPr>
        <w:numPr>
          <w:ilvl w:val="0"/>
          <w:numId w:val="4"/>
        </w:numPr>
        <w:shd w:val="clear" w:color="auto" w:fill="FFFFFF"/>
        <w:spacing w:before="100" w:beforeAutospacing="1" w:after="100" w:afterAutospacing="1" w:line="255" w:lineRule="atLeast"/>
        <w:jc w:val="both"/>
        <w:rPr>
          <w:rFonts w:ascii="Book Antiqua" w:eastAsia="Times New Roman" w:hAnsi="Book Antiqua" w:cs="Arial"/>
          <w:color w:val="333333"/>
        </w:rPr>
      </w:pPr>
      <w:r w:rsidRPr="00F20B81">
        <w:rPr>
          <w:rFonts w:ascii="Book Antiqua" w:eastAsia="Times New Roman" w:hAnsi="Book Antiqua" w:cs="Arial"/>
          <w:color w:val="333333"/>
        </w:rPr>
        <w:t>On completion of conversion of debt to equity as approved under the Scheme, the JLF shall hold the existing asset status of the loan for another eighteen (</w:t>
      </w:r>
      <w:r w:rsidRPr="00F20B81">
        <w:rPr>
          <w:rFonts w:ascii="Book Antiqua" w:eastAsia="Times New Roman" w:hAnsi="Book Antiqua" w:cs="Arial"/>
          <w:b/>
          <w:bCs/>
          <w:color w:val="333333"/>
        </w:rPr>
        <w:t>18</w:t>
      </w:r>
      <w:r w:rsidRPr="00F20B81">
        <w:rPr>
          <w:rFonts w:ascii="Book Antiqua" w:eastAsia="Times New Roman" w:hAnsi="Book Antiqua" w:cs="Arial"/>
          <w:color w:val="333333"/>
        </w:rPr>
        <w:t>) months.</w:t>
      </w:r>
    </w:p>
    <w:p w:rsidR="008E26CC" w:rsidRPr="00F20B81" w:rsidRDefault="008E26CC" w:rsidP="008E26CC">
      <w:pPr>
        <w:numPr>
          <w:ilvl w:val="0"/>
          <w:numId w:val="4"/>
        </w:numPr>
        <w:shd w:val="clear" w:color="auto" w:fill="FFFFFF"/>
        <w:spacing w:before="100" w:beforeAutospacing="1" w:after="100" w:afterAutospacing="1" w:line="255" w:lineRule="atLeast"/>
        <w:jc w:val="both"/>
        <w:rPr>
          <w:rFonts w:ascii="Book Antiqua" w:eastAsia="Times New Roman" w:hAnsi="Book Antiqua" w:cs="Arial"/>
          <w:color w:val="333333"/>
        </w:rPr>
      </w:pPr>
      <w:r w:rsidRPr="00F20B81">
        <w:rPr>
          <w:rFonts w:ascii="Book Antiqua" w:eastAsia="Times New Roman" w:hAnsi="Book Antiqua" w:cs="Arial"/>
          <w:color w:val="333333"/>
        </w:rPr>
        <w:t xml:space="preserve">The JLF must divest their holdings in the equity of the Company. If the JLF decide to divest their stake to another Promoter, the loan will be upgraded to 'Standard'. The 'new promoter' should not be a person/entity from the existing promoter/promoter group. </w:t>
      </w:r>
    </w:p>
    <w:tbl>
      <w:tblPr>
        <w:tblStyle w:val="TableGrid"/>
        <w:tblW w:w="9540" w:type="dxa"/>
        <w:tblInd w:w="108" w:type="dxa"/>
        <w:shd w:val="clear" w:color="auto" w:fill="C6D9F1" w:themeFill="text2" w:themeFillTint="33"/>
        <w:tblLook w:val="04A0" w:firstRow="1" w:lastRow="0" w:firstColumn="1" w:lastColumn="0" w:noHBand="0" w:noVBand="1"/>
      </w:tblPr>
      <w:tblGrid>
        <w:gridCol w:w="9540"/>
      </w:tblGrid>
      <w:tr w:rsidR="00FC2549" w:rsidRPr="00F20B81" w:rsidTr="00FC2549">
        <w:trPr>
          <w:trHeight w:val="1007"/>
        </w:trPr>
        <w:tc>
          <w:tcPr>
            <w:tcW w:w="9540" w:type="dxa"/>
            <w:shd w:val="clear" w:color="auto" w:fill="B8CCE4" w:themeFill="accent1" w:themeFillTint="66"/>
          </w:tcPr>
          <w:p w:rsidR="00FC2549" w:rsidRPr="00F20B81" w:rsidRDefault="00FC2549" w:rsidP="00FC2549">
            <w:pPr>
              <w:shd w:val="clear" w:color="auto" w:fill="FFFFFF"/>
              <w:spacing w:before="100" w:beforeAutospacing="1" w:after="100" w:afterAutospacing="1" w:line="255" w:lineRule="atLeast"/>
              <w:jc w:val="both"/>
              <w:rPr>
                <w:rFonts w:ascii="Book Antiqua" w:eastAsia="Times New Roman" w:hAnsi="Book Antiqua" w:cs="Arial"/>
                <w:color w:val="333333"/>
              </w:rPr>
            </w:pPr>
            <w:r w:rsidRPr="00F20B81">
              <w:rPr>
                <w:rFonts w:ascii="Book Antiqua" w:hAnsi="Book Antiqua"/>
              </w:rPr>
              <w:t xml:space="preserve">“The measure is welcome in so far as it does create a sense of fear amongst borrowers, resulting in better credit compliance and responsible behavior” - </w:t>
            </w:r>
            <w:proofErr w:type="spellStart"/>
            <w:r w:rsidRPr="00F20B81">
              <w:rPr>
                <w:rFonts w:ascii="Book Antiqua" w:hAnsi="Book Antiqua"/>
              </w:rPr>
              <w:t>Diwakar</w:t>
            </w:r>
            <w:proofErr w:type="spellEnd"/>
            <w:r w:rsidRPr="00F20B81">
              <w:rPr>
                <w:rFonts w:ascii="Book Antiqua" w:hAnsi="Book Antiqua"/>
              </w:rPr>
              <w:t xml:space="preserve"> Gupta, former MD and CFO of the State Bank of India.</w:t>
            </w:r>
          </w:p>
        </w:tc>
      </w:tr>
    </w:tbl>
    <w:p w:rsidR="000440EB" w:rsidRPr="00F20B81" w:rsidRDefault="00FC2549" w:rsidP="008E26CC">
      <w:pPr>
        <w:shd w:val="clear" w:color="auto" w:fill="FFFFFF"/>
        <w:spacing w:before="100" w:beforeAutospacing="1" w:after="100" w:afterAutospacing="1" w:line="240" w:lineRule="auto"/>
        <w:jc w:val="both"/>
        <w:outlineLvl w:val="2"/>
        <w:rPr>
          <w:rFonts w:ascii="Book Antiqua" w:hAnsi="Book Antiqua"/>
          <w:b/>
        </w:rPr>
      </w:pPr>
      <w:r w:rsidRPr="00F20B81">
        <w:rPr>
          <w:rFonts w:ascii="Book Antiqua" w:hAnsi="Book Antiqua"/>
          <w:b/>
        </w:rPr>
        <w:t xml:space="preserve">6. NEED FOR STRATEGIC DEBT RESTRUCTURING </w:t>
      </w:r>
    </w:p>
    <w:p w:rsidR="00FC2549" w:rsidRPr="00F20B81" w:rsidRDefault="00FC2549" w:rsidP="00FC2549">
      <w:pPr>
        <w:shd w:val="clear" w:color="auto" w:fill="FFFFFF"/>
        <w:spacing w:after="0"/>
        <w:jc w:val="both"/>
        <w:outlineLvl w:val="2"/>
        <w:rPr>
          <w:rFonts w:ascii="Book Antiqua" w:hAnsi="Book Antiqua"/>
        </w:rPr>
      </w:pPr>
      <w:r w:rsidRPr="00F20B81">
        <w:rPr>
          <w:rFonts w:ascii="Book Antiqua" w:hAnsi="Book Antiqua"/>
        </w:rPr>
        <w:t>•</w:t>
      </w:r>
      <w:r w:rsidR="000440EB" w:rsidRPr="00F20B81">
        <w:rPr>
          <w:rFonts w:ascii="Book Antiqua" w:hAnsi="Book Antiqua"/>
        </w:rPr>
        <w:t xml:space="preserve">According to Fitch, stressed assets of Indian lenders set to rise 13% of total advances by March, 2016 from 10.73% as at December, 2014 </w:t>
      </w:r>
    </w:p>
    <w:p w:rsidR="00FC2549" w:rsidRPr="00F20B81" w:rsidRDefault="000440EB" w:rsidP="00FC2549">
      <w:pPr>
        <w:shd w:val="clear" w:color="auto" w:fill="FFFFFF"/>
        <w:spacing w:after="0"/>
        <w:jc w:val="both"/>
        <w:outlineLvl w:val="2"/>
        <w:rPr>
          <w:rFonts w:ascii="Book Antiqua" w:hAnsi="Book Antiqua"/>
        </w:rPr>
      </w:pPr>
      <w:r w:rsidRPr="00F20B81">
        <w:rPr>
          <w:rFonts w:ascii="Book Antiqua" w:hAnsi="Book Antiqua"/>
        </w:rPr>
        <w:t xml:space="preserve">•CRISIL ratings &amp; S&amp;P’ Indian arm estimates the total bad loans to reach Rs.5.3 trillion by March, 2016 </w:t>
      </w:r>
    </w:p>
    <w:p w:rsidR="000440EB" w:rsidRPr="00F20B81" w:rsidRDefault="000440EB" w:rsidP="00FC2549">
      <w:pPr>
        <w:shd w:val="clear" w:color="auto" w:fill="FFFFFF"/>
        <w:spacing w:after="0"/>
        <w:jc w:val="both"/>
        <w:outlineLvl w:val="2"/>
        <w:rPr>
          <w:rFonts w:ascii="Book Antiqua" w:hAnsi="Book Antiqua"/>
        </w:rPr>
      </w:pPr>
      <w:r w:rsidRPr="00F20B81">
        <w:rPr>
          <w:rFonts w:ascii="Book Antiqua" w:hAnsi="Book Antiqua"/>
        </w:rPr>
        <w:t>•Failure of Debt Restructuring package.</w:t>
      </w:r>
    </w:p>
    <w:p w:rsidR="000440EB" w:rsidRPr="00F20B81" w:rsidRDefault="00FC2549" w:rsidP="008E26CC">
      <w:pPr>
        <w:shd w:val="clear" w:color="auto" w:fill="FFFFFF"/>
        <w:spacing w:before="100" w:beforeAutospacing="1" w:after="100" w:afterAutospacing="1" w:line="240" w:lineRule="auto"/>
        <w:jc w:val="both"/>
        <w:outlineLvl w:val="2"/>
        <w:rPr>
          <w:rFonts w:ascii="Book Antiqua" w:hAnsi="Book Antiqua"/>
        </w:rPr>
      </w:pPr>
      <w:r w:rsidRPr="00F20B81">
        <w:rPr>
          <w:rFonts w:ascii="Book Antiqua" w:hAnsi="Book Antiqua"/>
          <w:b/>
        </w:rPr>
        <w:t xml:space="preserve">7. </w:t>
      </w:r>
      <w:r w:rsidR="00D35BA9" w:rsidRPr="00F20B81">
        <w:rPr>
          <w:rFonts w:ascii="Book Antiqua" w:hAnsi="Book Antiqua"/>
          <w:b/>
        </w:rPr>
        <w:t>PROCESS OF SDR</w:t>
      </w:r>
    </w:p>
    <w:p w:rsidR="000440EB" w:rsidRPr="00F20B81" w:rsidRDefault="007D2B4C" w:rsidP="008E26CC">
      <w:pPr>
        <w:shd w:val="clear" w:color="auto" w:fill="FFFFFF"/>
        <w:spacing w:before="100" w:beforeAutospacing="1" w:after="100" w:afterAutospacing="1" w:line="240" w:lineRule="auto"/>
        <w:jc w:val="both"/>
        <w:outlineLvl w:val="2"/>
        <w:rPr>
          <w:rFonts w:ascii="Book Antiqua" w:hAnsi="Book Antiqua"/>
        </w:rPr>
      </w:pPr>
      <w:r w:rsidRPr="00F20B81">
        <w:rPr>
          <w:rFonts w:ascii="Book Antiqua" w:hAnsi="Book Antiqua"/>
          <w:noProof/>
        </w:rPr>
        <w:drawing>
          <wp:inline distT="0" distB="0" distL="0" distR="0" wp14:anchorId="100A2CD0" wp14:editId="7165D797">
            <wp:extent cx="5779698" cy="1682151"/>
            <wp:effectExtent l="95250" t="38100" r="69215" b="10858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8235E8" w:rsidRDefault="008235E8" w:rsidP="008E26CC">
      <w:pPr>
        <w:shd w:val="clear" w:color="auto" w:fill="FFFFFF"/>
        <w:spacing w:before="100" w:beforeAutospacing="1" w:after="100" w:afterAutospacing="1" w:line="240" w:lineRule="auto"/>
        <w:jc w:val="both"/>
        <w:rPr>
          <w:rFonts w:ascii="Book Antiqua" w:hAnsi="Book Antiqua"/>
          <w:b/>
        </w:rPr>
      </w:pPr>
    </w:p>
    <w:p w:rsidR="000440EB" w:rsidRPr="00F20B81" w:rsidRDefault="009C293B" w:rsidP="008E26CC">
      <w:pPr>
        <w:shd w:val="clear" w:color="auto" w:fill="FFFFFF"/>
        <w:spacing w:before="100" w:beforeAutospacing="1" w:after="100" w:afterAutospacing="1" w:line="240" w:lineRule="auto"/>
        <w:jc w:val="both"/>
        <w:rPr>
          <w:rFonts w:ascii="Book Antiqua" w:hAnsi="Book Antiqua"/>
        </w:rPr>
      </w:pPr>
      <w:r w:rsidRPr="00F20B81">
        <w:rPr>
          <w:rFonts w:ascii="Book Antiqua" w:hAnsi="Book Antiqua"/>
          <w:b/>
        </w:rPr>
        <w:t xml:space="preserve">8. </w:t>
      </w:r>
      <w:r w:rsidR="00D35BA9" w:rsidRPr="00F20B81">
        <w:rPr>
          <w:rFonts w:ascii="Book Antiqua" w:hAnsi="Book Antiqua"/>
          <w:b/>
        </w:rPr>
        <w:t>VALUATION FOR CONVERSION OF DEBT INTO EQUITY</w:t>
      </w:r>
    </w:p>
    <w:p w:rsidR="008E26CC" w:rsidRPr="00F20B81" w:rsidRDefault="008E26CC" w:rsidP="008E26CC">
      <w:pPr>
        <w:shd w:val="clear" w:color="auto" w:fill="FFFFFF"/>
        <w:spacing w:before="100" w:beforeAutospacing="1" w:after="100" w:afterAutospacing="1" w:line="240" w:lineRule="auto"/>
        <w:jc w:val="both"/>
        <w:rPr>
          <w:rFonts w:ascii="Book Antiqua" w:eastAsia="Times New Roman" w:hAnsi="Book Antiqua" w:cs="Arial"/>
          <w:color w:val="333333"/>
        </w:rPr>
      </w:pPr>
      <w:r w:rsidRPr="00F20B81">
        <w:rPr>
          <w:rFonts w:ascii="Book Antiqua" w:eastAsia="Times New Roman" w:hAnsi="Book Antiqua" w:cs="Arial"/>
          <w:color w:val="333333"/>
        </w:rPr>
        <w:t>The conversion price of the equity shall be determined as follows:</w:t>
      </w:r>
    </w:p>
    <w:p w:rsidR="008E26CC" w:rsidRPr="00F20B81" w:rsidRDefault="008E26CC" w:rsidP="008E26CC">
      <w:pPr>
        <w:numPr>
          <w:ilvl w:val="0"/>
          <w:numId w:val="5"/>
        </w:numPr>
        <w:shd w:val="clear" w:color="auto" w:fill="FFFFFF"/>
        <w:spacing w:before="100" w:beforeAutospacing="1" w:after="100" w:afterAutospacing="1" w:line="255" w:lineRule="atLeast"/>
        <w:jc w:val="both"/>
        <w:rPr>
          <w:rFonts w:ascii="Book Antiqua" w:eastAsia="Times New Roman" w:hAnsi="Book Antiqua" w:cs="Arial"/>
          <w:color w:val="333333"/>
        </w:rPr>
      </w:pPr>
      <w:r w:rsidRPr="00F20B81">
        <w:rPr>
          <w:rFonts w:ascii="Book Antiqua" w:eastAsia="Times New Roman" w:hAnsi="Book Antiqua" w:cs="Arial"/>
          <w:color w:val="333333"/>
        </w:rPr>
        <w:lastRenderedPageBreak/>
        <w:t>Conversion of outstanding debt into equity will be treated at a </w:t>
      </w:r>
      <w:r w:rsidRPr="00F20B81">
        <w:rPr>
          <w:rFonts w:ascii="Book Antiqua" w:eastAsia="Times New Roman" w:hAnsi="Book Antiqua" w:cs="Arial"/>
          <w:i/>
          <w:iCs/>
          <w:color w:val="333333"/>
        </w:rPr>
        <w:t>'Fair Value'</w:t>
      </w:r>
      <w:r w:rsidRPr="00F20B81">
        <w:rPr>
          <w:rFonts w:ascii="Book Antiqua" w:eastAsia="Times New Roman" w:hAnsi="Book Antiqua" w:cs="Arial"/>
          <w:color w:val="333333"/>
        </w:rPr>
        <w:t> which will not exceed the lowest of :</w:t>
      </w:r>
    </w:p>
    <w:p w:rsidR="008E26CC" w:rsidRPr="00F20B81" w:rsidRDefault="008E26CC" w:rsidP="008E26CC">
      <w:pPr>
        <w:numPr>
          <w:ilvl w:val="1"/>
          <w:numId w:val="5"/>
        </w:numPr>
        <w:shd w:val="clear" w:color="auto" w:fill="FFFFFF"/>
        <w:spacing w:before="100" w:beforeAutospacing="1" w:after="100" w:afterAutospacing="1" w:line="240" w:lineRule="auto"/>
        <w:jc w:val="both"/>
        <w:rPr>
          <w:rFonts w:ascii="Book Antiqua" w:eastAsia="Times New Roman" w:hAnsi="Book Antiqua" w:cs="Arial"/>
          <w:color w:val="333333"/>
        </w:rPr>
      </w:pPr>
      <w:r w:rsidRPr="00F20B81">
        <w:rPr>
          <w:rFonts w:ascii="Book Antiqua" w:eastAsia="Times New Roman" w:hAnsi="Book Antiqua" w:cs="Arial"/>
          <w:i/>
          <w:iCs/>
          <w:color w:val="333333"/>
        </w:rPr>
        <w:t>Market value, average of the closing prices during the 10 day average price in the market.</w:t>
      </w:r>
    </w:p>
    <w:p w:rsidR="008E26CC" w:rsidRPr="00F20B81" w:rsidRDefault="008E26CC" w:rsidP="008E26CC">
      <w:pPr>
        <w:numPr>
          <w:ilvl w:val="1"/>
          <w:numId w:val="5"/>
        </w:numPr>
        <w:shd w:val="clear" w:color="auto" w:fill="FFFFFF"/>
        <w:spacing w:before="100" w:beforeAutospacing="1" w:after="100" w:afterAutospacing="1" w:line="240" w:lineRule="auto"/>
        <w:jc w:val="both"/>
        <w:rPr>
          <w:rFonts w:ascii="Book Antiqua" w:eastAsia="Times New Roman" w:hAnsi="Book Antiqua" w:cs="Arial"/>
          <w:color w:val="333333"/>
        </w:rPr>
      </w:pPr>
      <w:r w:rsidRPr="00F20B81">
        <w:rPr>
          <w:rFonts w:ascii="Book Antiqua" w:eastAsia="Times New Roman" w:hAnsi="Book Antiqua" w:cs="Arial"/>
          <w:i/>
          <w:iCs/>
          <w:color w:val="333333"/>
        </w:rPr>
        <w:t>Book value per share to be calculated from the company's latest audited balance sheet without considering revaluation resources.</w:t>
      </w:r>
    </w:p>
    <w:p w:rsidR="008E26CC" w:rsidRPr="00F20B81" w:rsidRDefault="008E26CC" w:rsidP="008E26CC">
      <w:pPr>
        <w:numPr>
          <w:ilvl w:val="0"/>
          <w:numId w:val="5"/>
        </w:numPr>
        <w:shd w:val="clear" w:color="auto" w:fill="FFFFFF"/>
        <w:spacing w:before="100" w:beforeAutospacing="1" w:after="100" w:afterAutospacing="1" w:line="255" w:lineRule="atLeast"/>
        <w:jc w:val="both"/>
        <w:rPr>
          <w:rFonts w:ascii="Book Antiqua" w:eastAsia="Times New Roman" w:hAnsi="Book Antiqua" w:cs="Arial"/>
          <w:color w:val="333333"/>
        </w:rPr>
      </w:pPr>
      <w:r w:rsidRPr="00F20B81">
        <w:rPr>
          <w:rFonts w:ascii="Book Antiqua" w:eastAsia="Times New Roman" w:hAnsi="Book Antiqua" w:cs="Arial"/>
          <w:color w:val="333333"/>
        </w:rPr>
        <w:t>In any case, the price cannot be lower than the face value of the share.</w:t>
      </w:r>
    </w:p>
    <w:p w:rsidR="008E26CC" w:rsidRPr="00F20B81" w:rsidRDefault="00D35BA9" w:rsidP="008E26CC">
      <w:pPr>
        <w:shd w:val="clear" w:color="auto" w:fill="FFFFFF"/>
        <w:spacing w:before="100" w:beforeAutospacing="1" w:after="100" w:afterAutospacing="1" w:line="240" w:lineRule="auto"/>
        <w:jc w:val="both"/>
        <w:outlineLvl w:val="2"/>
        <w:rPr>
          <w:rFonts w:ascii="Book Antiqua" w:eastAsia="Times New Roman" w:hAnsi="Book Antiqua" w:cs="Arial"/>
          <w:b/>
          <w:bCs/>
          <w:color w:val="333333"/>
        </w:rPr>
      </w:pPr>
      <w:r w:rsidRPr="00F20B81">
        <w:rPr>
          <w:rFonts w:ascii="Book Antiqua" w:eastAsia="Times New Roman" w:hAnsi="Book Antiqua" w:cs="Arial"/>
          <w:b/>
          <w:bCs/>
          <w:color w:val="333333"/>
        </w:rPr>
        <w:t xml:space="preserve">9. </w:t>
      </w:r>
      <w:r w:rsidR="008E26CC" w:rsidRPr="00F20B81">
        <w:rPr>
          <w:rFonts w:ascii="Book Antiqua" w:eastAsia="Times New Roman" w:hAnsi="Book Antiqua" w:cs="Arial"/>
          <w:b/>
          <w:bCs/>
          <w:color w:val="333333"/>
        </w:rPr>
        <w:t xml:space="preserve">OPEN OFFER? </w:t>
      </w:r>
      <w:proofErr w:type="gramStart"/>
      <w:r w:rsidR="008E26CC" w:rsidRPr="00F20B81">
        <w:rPr>
          <w:rFonts w:ascii="Book Antiqua" w:eastAsia="Times New Roman" w:hAnsi="Book Antiqua" w:cs="Arial"/>
          <w:b/>
          <w:bCs/>
          <w:color w:val="333333"/>
        </w:rPr>
        <w:t>OR NOT?</w:t>
      </w:r>
      <w:proofErr w:type="gramEnd"/>
    </w:p>
    <w:p w:rsidR="008E26CC" w:rsidRPr="00F20B81" w:rsidRDefault="008E26CC" w:rsidP="008E26CC">
      <w:pPr>
        <w:numPr>
          <w:ilvl w:val="0"/>
          <w:numId w:val="6"/>
        </w:numPr>
        <w:shd w:val="clear" w:color="auto" w:fill="FFFFFF"/>
        <w:spacing w:before="100" w:beforeAutospacing="1" w:after="100" w:afterAutospacing="1" w:line="255" w:lineRule="atLeast"/>
        <w:jc w:val="both"/>
        <w:rPr>
          <w:rFonts w:ascii="Book Antiqua" w:eastAsia="Times New Roman" w:hAnsi="Book Antiqua" w:cs="Arial"/>
          <w:color w:val="333333"/>
        </w:rPr>
      </w:pPr>
      <w:r w:rsidRPr="00F20B81">
        <w:rPr>
          <w:rFonts w:ascii="Book Antiqua" w:eastAsia="Times New Roman" w:hAnsi="Book Antiqua" w:cs="Arial"/>
          <w:color w:val="333333"/>
        </w:rPr>
        <w:t>The pricing formula stated above has been exempted from the Securities and Exchange Board of India (SEBI) (Issue of Capital and Disclosure Requirements) Regulations, 2009.</w:t>
      </w:r>
    </w:p>
    <w:p w:rsidR="008E26CC" w:rsidRPr="00F20B81" w:rsidRDefault="008E26CC" w:rsidP="008E26CC">
      <w:pPr>
        <w:numPr>
          <w:ilvl w:val="0"/>
          <w:numId w:val="6"/>
        </w:numPr>
        <w:shd w:val="clear" w:color="auto" w:fill="FFFFFF"/>
        <w:spacing w:before="100" w:beforeAutospacing="1" w:after="100" w:afterAutospacing="1" w:line="255" w:lineRule="atLeast"/>
        <w:jc w:val="both"/>
        <w:rPr>
          <w:rFonts w:ascii="Book Antiqua" w:eastAsia="Times New Roman" w:hAnsi="Book Antiqua" w:cs="Arial"/>
          <w:color w:val="333333"/>
        </w:rPr>
      </w:pPr>
      <w:r w:rsidRPr="00F20B81">
        <w:rPr>
          <w:rFonts w:ascii="Book Antiqua" w:eastAsia="Times New Roman" w:hAnsi="Book Antiqua" w:cs="Arial"/>
          <w:color w:val="333333"/>
        </w:rPr>
        <w:t>Further, the acquiring lender on account of conversion of debt into equity will be exempted from making an open offer under </w:t>
      </w:r>
      <w:r w:rsidRPr="00F20B81">
        <w:rPr>
          <w:rFonts w:ascii="Book Antiqua" w:eastAsia="Times New Roman" w:hAnsi="Book Antiqua" w:cs="Arial"/>
          <w:i/>
          <w:iCs/>
          <w:color w:val="333333"/>
        </w:rPr>
        <w:t>Regulation 3</w:t>
      </w:r>
      <w:r w:rsidRPr="00F20B81">
        <w:rPr>
          <w:rFonts w:ascii="Book Antiqua" w:eastAsia="Times New Roman" w:hAnsi="Book Antiqua" w:cs="Arial"/>
          <w:color w:val="333333"/>
        </w:rPr>
        <w:t> and </w:t>
      </w:r>
      <w:r w:rsidRPr="00F20B81">
        <w:rPr>
          <w:rFonts w:ascii="Book Antiqua" w:eastAsia="Times New Roman" w:hAnsi="Book Antiqua" w:cs="Arial"/>
          <w:i/>
          <w:iCs/>
          <w:color w:val="333333"/>
        </w:rPr>
        <w:t>Regulation 4</w:t>
      </w:r>
      <w:r w:rsidRPr="00F20B81">
        <w:rPr>
          <w:rFonts w:ascii="Book Antiqua" w:eastAsia="Times New Roman" w:hAnsi="Book Antiqua" w:cs="Arial"/>
          <w:color w:val="333333"/>
        </w:rPr>
        <w:t> of the provisions of the </w:t>
      </w:r>
      <w:r w:rsidRPr="00F20B81">
        <w:rPr>
          <w:rFonts w:ascii="Book Antiqua" w:eastAsia="Times New Roman" w:hAnsi="Book Antiqua" w:cs="Arial"/>
          <w:i/>
          <w:iCs/>
          <w:color w:val="333333"/>
        </w:rPr>
        <w:t>Securities and Exchange Board of India (Substantial Acquisition of Shares and Takeovers) Regulations, 2011</w:t>
      </w:r>
      <w:r w:rsidRPr="00F20B81">
        <w:rPr>
          <w:rFonts w:ascii="Book Antiqua" w:eastAsia="Times New Roman" w:hAnsi="Book Antiqua" w:cs="Arial"/>
          <w:color w:val="333333"/>
        </w:rPr>
        <w:t>.</w:t>
      </w:r>
    </w:p>
    <w:p w:rsidR="000440EB" w:rsidRDefault="00F20B81" w:rsidP="000440EB">
      <w:pPr>
        <w:shd w:val="clear" w:color="auto" w:fill="FFFFFF"/>
        <w:spacing w:before="100" w:beforeAutospacing="1" w:after="100" w:afterAutospacing="1" w:line="255" w:lineRule="atLeast"/>
        <w:jc w:val="both"/>
        <w:rPr>
          <w:rFonts w:ascii="Book Antiqua" w:hAnsi="Book Antiqua"/>
          <w:b/>
        </w:rPr>
      </w:pPr>
      <w:r w:rsidRPr="00F20B81">
        <w:rPr>
          <w:rFonts w:ascii="Book Antiqua" w:hAnsi="Book Antiqua"/>
          <w:b/>
        </w:rPr>
        <w:t xml:space="preserve">10. DIFFERENCE BETWEEN CORPORATE DEBT </w:t>
      </w:r>
      <w:proofErr w:type="gramStart"/>
      <w:r w:rsidRPr="00F20B81">
        <w:rPr>
          <w:rFonts w:ascii="Book Antiqua" w:hAnsi="Book Antiqua"/>
          <w:b/>
        </w:rPr>
        <w:t>RESTRUCTURING(</w:t>
      </w:r>
      <w:proofErr w:type="gramEnd"/>
      <w:r w:rsidRPr="00F20B81">
        <w:rPr>
          <w:rFonts w:ascii="Book Antiqua" w:hAnsi="Book Antiqua"/>
          <w:b/>
        </w:rPr>
        <w:t>CDR) AND STRATEGIC DEBT RESTRUCTURING(SDR)</w:t>
      </w:r>
    </w:p>
    <w:tbl>
      <w:tblPr>
        <w:tblStyle w:val="LightList-Accent1"/>
        <w:tblW w:w="0" w:type="auto"/>
        <w:tblLook w:val="04A0" w:firstRow="1" w:lastRow="0" w:firstColumn="1" w:lastColumn="0" w:noHBand="0" w:noVBand="1"/>
      </w:tblPr>
      <w:tblGrid>
        <w:gridCol w:w="918"/>
        <w:gridCol w:w="4500"/>
        <w:gridCol w:w="4158"/>
      </w:tblGrid>
      <w:tr w:rsidR="00F20B81" w:rsidTr="008E5D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dxa"/>
          </w:tcPr>
          <w:p w:rsidR="00F20B81" w:rsidRDefault="00F20B81" w:rsidP="000440EB">
            <w:pPr>
              <w:spacing w:before="100" w:beforeAutospacing="1" w:after="100" w:afterAutospacing="1" w:line="255" w:lineRule="atLeast"/>
              <w:jc w:val="both"/>
              <w:rPr>
                <w:rFonts w:ascii="Book Antiqua" w:hAnsi="Book Antiqua"/>
                <w:b w:val="0"/>
              </w:rPr>
            </w:pPr>
            <w:proofErr w:type="spellStart"/>
            <w:r w:rsidRPr="00F20B81">
              <w:rPr>
                <w:rFonts w:ascii="Book Antiqua" w:hAnsi="Book Antiqua"/>
              </w:rPr>
              <w:t>Sr</w:t>
            </w:r>
            <w:proofErr w:type="spellEnd"/>
            <w:r w:rsidRPr="00F20B81">
              <w:rPr>
                <w:rFonts w:ascii="Book Antiqua" w:hAnsi="Book Antiqua"/>
              </w:rPr>
              <w:t xml:space="preserve"> No.</w:t>
            </w:r>
          </w:p>
        </w:tc>
        <w:tc>
          <w:tcPr>
            <w:tcW w:w="4500" w:type="dxa"/>
          </w:tcPr>
          <w:p w:rsidR="00F20B81" w:rsidRDefault="00F20B81" w:rsidP="000440EB">
            <w:pPr>
              <w:spacing w:before="100" w:beforeAutospacing="1" w:after="100" w:afterAutospacing="1" w:line="255" w:lineRule="atLeast"/>
              <w:jc w:val="both"/>
              <w:cnfStyle w:val="100000000000" w:firstRow="1" w:lastRow="0" w:firstColumn="0" w:lastColumn="0" w:oddVBand="0" w:evenVBand="0" w:oddHBand="0" w:evenHBand="0" w:firstRowFirstColumn="0" w:firstRowLastColumn="0" w:lastRowFirstColumn="0" w:lastRowLastColumn="0"/>
              <w:rPr>
                <w:rFonts w:ascii="Book Antiqua" w:hAnsi="Book Antiqua"/>
                <w:b w:val="0"/>
              </w:rPr>
            </w:pPr>
            <w:r w:rsidRPr="00F20B81">
              <w:rPr>
                <w:rFonts w:ascii="Book Antiqua" w:hAnsi="Book Antiqua"/>
              </w:rPr>
              <w:t>Corporate Debt Restructuring (CDR)</w:t>
            </w:r>
          </w:p>
        </w:tc>
        <w:tc>
          <w:tcPr>
            <w:tcW w:w="4158" w:type="dxa"/>
          </w:tcPr>
          <w:p w:rsidR="00F20B81" w:rsidRDefault="00F20B81" w:rsidP="000440EB">
            <w:pPr>
              <w:spacing w:before="100" w:beforeAutospacing="1" w:after="100" w:afterAutospacing="1" w:line="255" w:lineRule="atLeast"/>
              <w:jc w:val="both"/>
              <w:cnfStyle w:val="100000000000" w:firstRow="1" w:lastRow="0" w:firstColumn="0" w:lastColumn="0" w:oddVBand="0" w:evenVBand="0" w:oddHBand="0" w:evenHBand="0" w:firstRowFirstColumn="0" w:firstRowLastColumn="0" w:lastRowFirstColumn="0" w:lastRowLastColumn="0"/>
              <w:rPr>
                <w:rFonts w:ascii="Book Antiqua" w:hAnsi="Book Antiqua"/>
                <w:b w:val="0"/>
              </w:rPr>
            </w:pPr>
            <w:r w:rsidRPr="00F20B81">
              <w:rPr>
                <w:rFonts w:ascii="Book Antiqua" w:hAnsi="Book Antiqua"/>
              </w:rPr>
              <w:t>Strategic Debt Restructuring (SDR)</w:t>
            </w:r>
          </w:p>
        </w:tc>
      </w:tr>
      <w:tr w:rsidR="00F20B81" w:rsidTr="008E5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dxa"/>
          </w:tcPr>
          <w:p w:rsidR="00F20B81" w:rsidRDefault="00F20B81" w:rsidP="000440EB">
            <w:pPr>
              <w:spacing w:before="100" w:beforeAutospacing="1" w:after="100" w:afterAutospacing="1" w:line="255" w:lineRule="atLeast"/>
              <w:jc w:val="both"/>
              <w:rPr>
                <w:rFonts w:ascii="Book Antiqua" w:hAnsi="Book Antiqua"/>
                <w:b w:val="0"/>
              </w:rPr>
            </w:pPr>
            <w:r>
              <w:rPr>
                <w:rFonts w:ascii="Book Antiqua" w:hAnsi="Book Antiqua"/>
                <w:b w:val="0"/>
              </w:rPr>
              <w:t>1</w:t>
            </w:r>
          </w:p>
        </w:tc>
        <w:tc>
          <w:tcPr>
            <w:tcW w:w="4500" w:type="dxa"/>
          </w:tcPr>
          <w:p w:rsidR="00F20B81" w:rsidRDefault="00F20B81" w:rsidP="000440EB">
            <w:pPr>
              <w:spacing w:before="100" w:beforeAutospacing="1" w:after="100" w:afterAutospacing="1" w:line="255" w:lineRule="atLeast"/>
              <w:jc w:val="both"/>
              <w:cnfStyle w:val="000000100000" w:firstRow="0" w:lastRow="0" w:firstColumn="0" w:lastColumn="0" w:oddVBand="0" w:evenVBand="0" w:oddHBand="1" w:evenHBand="0" w:firstRowFirstColumn="0" w:firstRowLastColumn="0" w:lastRowFirstColumn="0" w:lastRowLastColumn="0"/>
              <w:rPr>
                <w:rFonts w:ascii="Book Antiqua" w:hAnsi="Book Antiqua"/>
                <w:b/>
              </w:rPr>
            </w:pPr>
            <w:r w:rsidRPr="00F20B81">
              <w:rPr>
                <w:rFonts w:ascii="Book Antiqua" w:hAnsi="Book Antiqua"/>
              </w:rPr>
              <w:t>The reorganization of a company's outstanding obligations by reducing the burden of the debts on the company by decreasing the rates paid and increasing the time the company has to pay the obligation back.</w:t>
            </w:r>
          </w:p>
        </w:tc>
        <w:tc>
          <w:tcPr>
            <w:tcW w:w="4158" w:type="dxa"/>
          </w:tcPr>
          <w:p w:rsidR="00F20B81" w:rsidRDefault="00F20B81" w:rsidP="000440EB">
            <w:pPr>
              <w:spacing w:before="100" w:beforeAutospacing="1" w:after="100" w:afterAutospacing="1" w:line="255" w:lineRule="atLeast"/>
              <w:jc w:val="both"/>
              <w:cnfStyle w:val="000000100000" w:firstRow="0" w:lastRow="0" w:firstColumn="0" w:lastColumn="0" w:oddVBand="0" w:evenVBand="0" w:oddHBand="1" w:evenHBand="0" w:firstRowFirstColumn="0" w:firstRowLastColumn="0" w:lastRowFirstColumn="0" w:lastRowLastColumn="0"/>
              <w:rPr>
                <w:rFonts w:ascii="Book Antiqua" w:hAnsi="Book Antiqua"/>
                <w:b/>
              </w:rPr>
            </w:pPr>
            <w:r w:rsidRPr="00F20B81">
              <w:rPr>
                <w:rFonts w:ascii="Book Antiqua" w:hAnsi="Book Antiqua"/>
              </w:rPr>
              <w:t>SDR scheme allows banks to convert their outstanding loans into equity in a company if even restructuring has not helped</w:t>
            </w:r>
            <w:r>
              <w:rPr>
                <w:rFonts w:ascii="Book Antiqua" w:hAnsi="Book Antiqua"/>
              </w:rPr>
              <w:t>.</w:t>
            </w:r>
          </w:p>
        </w:tc>
      </w:tr>
      <w:tr w:rsidR="00F20B81" w:rsidTr="008E5D3B">
        <w:tc>
          <w:tcPr>
            <w:cnfStyle w:val="001000000000" w:firstRow="0" w:lastRow="0" w:firstColumn="1" w:lastColumn="0" w:oddVBand="0" w:evenVBand="0" w:oddHBand="0" w:evenHBand="0" w:firstRowFirstColumn="0" w:firstRowLastColumn="0" w:lastRowFirstColumn="0" w:lastRowLastColumn="0"/>
            <w:tcW w:w="918" w:type="dxa"/>
          </w:tcPr>
          <w:p w:rsidR="00F20B81" w:rsidRDefault="00F20B81" w:rsidP="000440EB">
            <w:pPr>
              <w:spacing w:before="100" w:beforeAutospacing="1" w:after="100" w:afterAutospacing="1" w:line="255" w:lineRule="atLeast"/>
              <w:jc w:val="both"/>
              <w:rPr>
                <w:rFonts w:ascii="Book Antiqua" w:hAnsi="Book Antiqua"/>
                <w:b w:val="0"/>
              </w:rPr>
            </w:pPr>
            <w:r>
              <w:rPr>
                <w:rFonts w:ascii="Book Antiqua" w:hAnsi="Book Antiqua"/>
                <w:b w:val="0"/>
              </w:rPr>
              <w:t>2</w:t>
            </w:r>
          </w:p>
        </w:tc>
        <w:tc>
          <w:tcPr>
            <w:tcW w:w="4500" w:type="dxa"/>
          </w:tcPr>
          <w:p w:rsidR="00F20B81" w:rsidRDefault="00F20B81" w:rsidP="000440EB">
            <w:pPr>
              <w:spacing w:before="100" w:beforeAutospacing="1" w:after="100" w:afterAutospacing="1" w:line="255" w:lineRule="atLeast"/>
              <w:jc w:val="both"/>
              <w:cnfStyle w:val="000000000000" w:firstRow="0" w:lastRow="0" w:firstColumn="0" w:lastColumn="0" w:oddVBand="0" w:evenVBand="0" w:oddHBand="0" w:evenHBand="0" w:firstRowFirstColumn="0" w:firstRowLastColumn="0" w:lastRowFirstColumn="0" w:lastRowLastColumn="0"/>
              <w:rPr>
                <w:rFonts w:ascii="Book Antiqua" w:hAnsi="Book Antiqua"/>
                <w:b/>
              </w:rPr>
            </w:pPr>
            <w:r w:rsidRPr="00F20B81">
              <w:rPr>
                <w:rFonts w:ascii="Book Antiqua" w:hAnsi="Book Antiqua"/>
              </w:rPr>
              <w:t>The CDR system got evolved and detailed guidelines were issued by RBI on August 23, 2001.</w:t>
            </w:r>
          </w:p>
        </w:tc>
        <w:tc>
          <w:tcPr>
            <w:tcW w:w="4158" w:type="dxa"/>
          </w:tcPr>
          <w:p w:rsidR="00F20B81" w:rsidRDefault="00F20B81" w:rsidP="000440EB">
            <w:pPr>
              <w:spacing w:before="100" w:beforeAutospacing="1" w:after="100" w:afterAutospacing="1" w:line="255" w:lineRule="atLeast"/>
              <w:jc w:val="both"/>
              <w:cnfStyle w:val="000000000000" w:firstRow="0" w:lastRow="0" w:firstColumn="0" w:lastColumn="0" w:oddVBand="0" w:evenVBand="0" w:oddHBand="0" w:evenHBand="0" w:firstRowFirstColumn="0" w:firstRowLastColumn="0" w:lastRowFirstColumn="0" w:lastRowLastColumn="0"/>
              <w:rPr>
                <w:rFonts w:ascii="Book Antiqua" w:hAnsi="Book Antiqua"/>
                <w:b/>
              </w:rPr>
            </w:pPr>
            <w:r w:rsidRPr="00F20B81">
              <w:rPr>
                <w:rFonts w:ascii="Book Antiqua" w:hAnsi="Book Antiqua"/>
              </w:rPr>
              <w:t>SDR was announced on 8th June, 2015 by the RBI</w:t>
            </w:r>
          </w:p>
        </w:tc>
      </w:tr>
      <w:tr w:rsidR="00F20B81" w:rsidTr="008E5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 w:type="dxa"/>
          </w:tcPr>
          <w:p w:rsidR="00F20B81" w:rsidRDefault="00F20B81" w:rsidP="000440EB">
            <w:pPr>
              <w:spacing w:before="100" w:beforeAutospacing="1" w:after="100" w:afterAutospacing="1" w:line="255" w:lineRule="atLeast"/>
              <w:jc w:val="both"/>
              <w:rPr>
                <w:rFonts w:ascii="Book Antiqua" w:hAnsi="Book Antiqua"/>
                <w:b w:val="0"/>
              </w:rPr>
            </w:pPr>
            <w:r>
              <w:rPr>
                <w:rFonts w:ascii="Book Antiqua" w:hAnsi="Book Antiqua"/>
                <w:b w:val="0"/>
              </w:rPr>
              <w:t>3</w:t>
            </w:r>
          </w:p>
        </w:tc>
        <w:tc>
          <w:tcPr>
            <w:tcW w:w="4500" w:type="dxa"/>
          </w:tcPr>
          <w:p w:rsidR="00F20B81" w:rsidRDefault="00F20B81" w:rsidP="000440EB">
            <w:pPr>
              <w:spacing w:before="100" w:beforeAutospacing="1" w:after="100" w:afterAutospacing="1" w:line="255" w:lineRule="atLeast"/>
              <w:jc w:val="both"/>
              <w:cnfStyle w:val="000000100000" w:firstRow="0" w:lastRow="0" w:firstColumn="0" w:lastColumn="0" w:oddVBand="0" w:evenVBand="0" w:oddHBand="1" w:evenHBand="0" w:firstRowFirstColumn="0" w:firstRowLastColumn="0" w:lastRowFirstColumn="0" w:lastRowLastColumn="0"/>
              <w:rPr>
                <w:rFonts w:ascii="Book Antiqua" w:hAnsi="Book Antiqua"/>
                <w:b/>
              </w:rPr>
            </w:pPr>
            <w:r w:rsidRPr="00F20B81">
              <w:rPr>
                <w:rFonts w:ascii="Book Antiqua" w:hAnsi="Book Antiqua"/>
              </w:rPr>
              <w:t>It has a three tier structure which includes CDR Cell, Empowered Group and a Standing Forum. The Standing Forum is the top tier which decides on the restructuring.</w:t>
            </w:r>
          </w:p>
        </w:tc>
        <w:tc>
          <w:tcPr>
            <w:tcW w:w="4158" w:type="dxa"/>
          </w:tcPr>
          <w:p w:rsidR="00F20B81" w:rsidRDefault="00F20B81" w:rsidP="000440EB">
            <w:pPr>
              <w:spacing w:before="100" w:beforeAutospacing="1" w:after="100" w:afterAutospacing="1" w:line="255" w:lineRule="atLeast"/>
              <w:jc w:val="both"/>
              <w:cnfStyle w:val="000000100000" w:firstRow="0" w:lastRow="0" w:firstColumn="0" w:lastColumn="0" w:oddVBand="0" w:evenVBand="0" w:oddHBand="1" w:evenHBand="0" w:firstRowFirstColumn="0" w:firstRowLastColumn="0" w:lastRowFirstColumn="0" w:lastRowLastColumn="0"/>
              <w:rPr>
                <w:rFonts w:ascii="Book Antiqua" w:hAnsi="Book Antiqua"/>
                <w:b/>
              </w:rPr>
            </w:pPr>
            <w:r w:rsidRPr="00F20B81">
              <w:rPr>
                <w:rFonts w:ascii="Book Antiqua" w:hAnsi="Book Antiqua"/>
              </w:rPr>
              <w:t>A consortium of lending institutions namely Joint Lender’s Forum is formed which will decide on the conversion of debt into equity</w:t>
            </w:r>
          </w:p>
        </w:tc>
      </w:tr>
    </w:tbl>
    <w:p w:rsidR="008E5D3B" w:rsidRDefault="008E5D3B" w:rsidP="000440EB">
      <w:pPr>
        <w:shd w:val="clear" w:color="auto" w:fill="FFFFFF"/>
        <w:spacing w:before="100" w:beforeAutospacing="1" w:after="100" w:afterAutospacing="1" w:line="255" w:lineRule="atLeast"/>
        <w:jc w:val="both"/>
        <w:rPr>
          <w:rFonts w:ascii="Book Antiqua" w:hAnsi="Book Antiqua"/>
          <w:b/>
        </w:rPr>
      </w:pPr>
      <w:r w:rsidRPr="008E5D3B">
        <w:rPr>
          <w:rFonts w:ascii="Book Antiqua" w:hAnsi="Book Antiqua"/>
          <w:b/>
        </w:rPr>
        <w:t>11. ADVANTAGES TO BANKS</w:t>
      </w:r>
    </w:p>
    <w:tbl>
      <w:tblPr>
        <w:tblStyle w:val="LightGrid-Accent4"/>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8"/>
        <w:gridCol w:w="3150"/>
      </w:tblGrid>
      <w:tr w:rsidR="0044110E" w:rsidRPr="003D4C67" w:rsidTr="004411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08" w:type="dxa"/>
            <w:tcBorders>
              <w:top w:val="none" w:sz="0" w:space="0" w:color="auto"/>
              <w:left w:val="none" w:sz="0" w:space="0" w:color="auto"/>
              <w:bottom w:val="none" w:sz="0" w:space="0" w:color="auto"/>
              <w:right w:val="none" w:sz="0" w:space="0" w:color="auto"/>
            </w:tcBorders>
            <w:shd w:val="clear" w:color="auto" w:fill="auto"/>
          </w:tcPr>
          <w:p w:rsidR="0044110E" w:rsidRPr="003D4C67" w:rsidRDefault="0044110E" w:rsidP="003D4C67">
            <w:pPr>
              <w:shd w:val="clear" w:color="auto" w:fill="FFFFFF"/>
              <w:spacing w:before="100" w:beforeAutospacing="1" w:after="100" w:afterAutospacing="1" w:line="255" w:lineRule="atLeast"/>
              <w:jc w:val="both"/>
              <w:rPr>
                <w:rFonts w:ascii="Book Antiqua" w:hAnsi="Book Antiqua"/>
                <w:b w:val="0"/>
              </w:rPr>
            </w:pPr>
            <w:r w:rsidRPr="003D4C67">
              <w:rPr>
                <w:rFonts w:ascii="Book Antiqua" w:hAnsi="Book Antiqua"/>
                <w:b w:val="0"/>
              </w:rPr>
              <w:t>Con</w:t>
            </w:r>
            <w:r>
              <w:rPr>
                <w:rFonts w:ascii="Book Antiqua" w:hAnsi="Book Antiqua"/>
                <w:b w:val="0"/>
              </w:rPr>
              <w:t>version of</w:t>
            </w:r>
            <w:r w:rsidRPr="003D4C67">
              <w:rPr>
                <w:rFonts w:ascii="Book Antiqua" w:hAnsi="Book Antiqua"/>
                <w:b w:val="0"/>
              </w:rPr>
              <w:t xml:space="preserve"> debt into equity in an enterprise by a bank may result in the bank holding more than 20% of voting power, which will normally result in an investor associate relationship under applicable accounting standards. However, as the lender acquires such voting power in the borrower entity in satisfaction of its advances under the SDR, and the rights exercised by the lenders are more protective in nature and not participative, such investment may not be treated as investment in associate. On conversion of debt to equity as approved under SDR Scheme, the existing asset classification of the account, as on the reference date will continue for a </w:t>
            </w:r>
            <w:r w:rsidRPr="003D4C67">
              <w:rPr>
                <w:rFonts w:ascii="Book Antiqua" w:hAnsi="Book Antiqua"/>
                <w:b w:val="0"/>
              </w:rPr>
              <w:lastRenderedPageBreak/>
              <w:t>period of 18 months from the reference date. Acquisition of shares due to the execution of strategic debt restructuring scheme will be exempted from regulatory ceilings or restrictions on capital market exposures, investment in para-banking activities and intra-group exposure.</w:t>
            </w:r>
          </w:p>
        </w:tc>
        <w:tc>
          <w:tcPr>
            <w:tcW w:w="3150" w:type="dxa"/>
            <w:tcBorders>
              <w:top w:val="none" w:sz="0" w:space="0" w:color="auto"/>
              <w:left w:val="none" w:sz="0" w:space="0" w:color="auto"/>
              <w:bottom w:val="none" w:sz="0" w:space="0" w:color="auto"/>
              <w:right w:val="none" w:sz="0" w:space="0" w:color="auto"/>
            </w:tcBorders>
            <w:shd w:val="clear" w:color="auto" w:fill="auto"/>
          </w:tcPr>
          <w:p w:rsidR="0044110E" w:rsidRPr="0044110E" w:rsidRDefault="0044110E" w:rsidP="003D4C67">
            <w:pPr>
              <w:shd w:val="clear" w:color="auto" w:fill="FFFFFF"/>
              <w:spacing w:before="100" w:beforeAutospacing="1" w:after="100" w:afterAutospacing="1" w:line="255" w:lineRule="atLeast"/>
              <w:jc w:val="both"/>
              <w:cnfStyle w:val="100000000000" w:firstRow="1" w:lastRow="0" w:firstColumn="0" w:lastColumn="0" w:oddVBand="0" w:evenVBand="0" w:oddHBand="0" w:evenHBand="0" w:firstRowFirstColumn="0" w:firstRowLastColumn="0" w:lastRowFirstColumn="0" w:lastRowLastColumn="0"/>
              <w:rPr>
                <w:rFonts w:ascii="Book Antiqua" w:hAnsi="Book Antiqua"/>
                <w:i/>
              </w:rPr>
            </w:pPr>
            <w:r w:rsidRPr="0044110E">
              <w:rPr>
                <w:rFonts w:ascii="Book Antiqua" w:hAnsi="Book Antiqua"/>
                <w:i/>
              </w:rPr>
              <w:lastRenderedPageBreak/>
              <w:t xml:space="preserve">“For such companies, the ability of banks to find buyers will be critical because the regulation clearly states that banks will take control only to cede control to another promoter” - </w:t>
            </w:r>
            <w:proofErr w:type="spellStart"/>
            <w:r w:rsidRPr="0044110E">
              <w:rPr>
                <w:rFonts w:ascii="Book Antiqua" w:hAnsi="Book Antiqua"/>
                <w:i/>
              </w:rPr>
              <w:t>Diwakar</w:t>
            </w:r>
            <w:proofErr w:type="spellEnd"/>
            <w:r w:rsidRPr="0044110E">
              <w:rPr>
                <w:rFonts w:ascii="Book Antiqua" w:hAnsi="Book Antiqua"/>
                <w:i/>
              </w:rPr>
              <w:t xml:space="preserve"> Gupta, former MD and CFO of the State Bank of India</w:t>
            </w:r>
          </w:p>
        </w:tc>
      </w:tr>
      <w:tr w:rsidR="0044110E" w:rsidRPr="003D4C67" w:rsidTr="004411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58" w:type="dxa"/>
            <w:gridSpan w:val="2"/>
            <w:tcBorders>
              <w:top w:val="none" w:sz="0" w:space="0" w:color="auto"/>
              <w:left w:val="none" w:sz="0" w:space="0" w:color="auto"/>
              <w:bottom w:val="none" w:sz="0" w:space="0" w:color="auto"/>
              <w:right w:val="none" w:sz="0" w:space="0" w:color="auto"/>
            </w:tcBorders>
            <w:shd w:val="clear" w:color="auto" w:fill="auto"/>
          </w:tcPr>
          <w:p w:rsidR="0044110E" w:rsidRPr="003D4C67" w:rsidRDefault="0044110E" w:rsidP="008E5D3B">
            <w:pPr>
              <w:spacing w:before="100" w:beforeAutospacing="1" w:after="100" w:afterAutospacing="1" w:line="255" w:lineRule="atLeast"/>
              <w:jc w:val="both"/>
              <w:rPr>
                <w:rFonts w:ascii="Book Antiqua" w:hAnsi="Book Antiqua"/>
              </w:rPr>
            </w:pPr>
            <w:r>
              <w:rPr>
                <w:rFonts w:ascii="Book Antiqua" w:hAnsi="Book Antiqua"/>
                <w:b w:val="0"/>
              </w:rPr>
              <w:lastRenderedPageBreak/>
              <w:t xml:space="preserve">2. </w:t>
            </w:r>
            <w:r w:rsidRPr="003D4C67">
              <w:rPr>
                <w:rFonts w:ascii="Book Antiqua" w:hAnsi="Book Antiqua"/>
                <w:b w:val="0"/>
              </w:rPr>
              <w:t>Equity shares acquired and held by banks under the SDR scheme will be exempt from the requirement of periodic mark-to-market. On divestment of holding of banks in favour of a new promoter, the asset classification of the account may be upgraded to Standard. Further, at the time of divestment of their holdings to a new promoter, banks may refinance the existing debt of the company considering the changed risk profile of the company without treating the exercise as restructuring subject to banks making provision for any diminution in fair value of the existing debt on account of the refinance. Advantages for Bankers under the SDR Scheme.</w:t>
            </w:r>
          </w:p>
        </w:tc>
      </w:tr>
      <w:tr w:rsidR="0044110E" w:rsidRPr="003D4C67" w:rsidTr="004411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58" w:type="dxa"/>
            <w:gridSpan w:val="2"/>
            <w:tcBorders>
              <w:top w:val="none" w:sz="0" w:space="0" w:color="auto"/>
              <w:left w:val="none" w:sz="0" w:space="0" w:color="auto"/>
              <w:bottom w:val="none" w:sz="0" w:space="0" w:color="auto"/>
              <w:right w:val="none" w:sz="0" w:space="0" w:color="auto"/>
            </w:tcBorders>
            <w:shd w:val="clear" w:color="auto" w:fill="auto"/>
          </w:tcPr>
          <w:p w:rsidR="0044110E" w:rsidRPr="003D4C67" w:rsidRDefault="0044110E" w:rsidP="003D4C67">
            <w:pPr>
              <w:shd w:val="clear" w:color="auto" w:fill="FFFFFF"/>
              <w:spacing w:before="100" w:beforeAutospacing="1" w:after="100" w:afterAutospacing="1" w:line="255" w:lineRule="atLeast"/>
              <w:jc w:val="both"/>
              <w:rPr>
                <w:rFonts w:ascii="Book Antiqua" w:hAnsi="Book Antiqua"/>
              </w:rPr>
            </w:pPr>
            <w:r w:rsidRPr="003D4C67">
              <w:rPr>
                <w:rFonts w:ascii="Book Antiqua" w:hAnsi="Book Antiqua"/>
                <w:b w:val="0"/>
              </w:rPr>
              <w:t>Banks can bring in Foreign Promoters after taking over defaulting companies</w:t>
            </w:r>
          </w:p>
        </w:tc>
      </w:tr>
      <w:tr w:rsidR="0044110E" w:rsidRPr="003D4C67" w:rsidTr="004411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58" w:type="dxa"/>
            <w:gridSpan w:val="2"/>
            <w:tcBorders>
              <w:top w:val="none" w:sz="0" w:space="0" w:color="auto"/>
              <w:left w:val="none" w:sz="0" w:space="0" w:color="auto"/>
              <w:bottom w:val="none" w:sz="0" w:space="0" w:color="auto"/>
              <w:right w:val="none" w:sz="0" w:space="0" w:color="auto"/>
            </w:tcBorders>
            <w:shd w:val="clear" w:color="auto" w:fill="auto"/>
          </w:tcPr>
          <w:p w:rsidR="0044110E" w:rsidRPr="003D4C67" w:rsidRDefault="0044110E" w:rsidP="003D4C67">
            <w:pPr>
              <w:shd w:val="clear" w:color="auto" w:fill="FFFFFF"/>
              <w:spacing w:before="100" w:beforeAutospacing="1" w:after="100" w:afterAutospacing="1" w:line="255" w:lineRule="atLeast"/>
              <w:jc w:val="both"/>
              <w:rPr>
                <w:rFonts w:ascii="Book Antiqua" w:hAnsi="Book Antiqua"/>
              </w:rPr>
            </w:pPr>
            <w:r>
              <w:rPr>
                <w:rFonts w:ascii="Book Antiqua" w:hAnsi="Book Antiqua"/>
                <w:b w:val="0"/>
              </w:rPr>
              <w:t xml:space="preserve">3. </w:t>
            </w:r>
            <w:r w:rsidRPr="003D4C67">
              <w:rPr>
                <w:rFonts w:ascii="Book Antiqua" w:hAnsi="Book Antiqua"/>
                <w:b w:val="0"/>
              </w:rPr>
              <w:t xml:space="preserve">Banks can convert shares at prices prevailing during time of restructuring, subject to floor of face value. </w:t>
            </w:r>
            <w:r w:rsidRPr="003D4C67">
              <w:rPr>
                <w:rFonts w:ascii="Book Antiqua" w:hAnsi="Book Antiqua"/>
                <w:b w:val="0"/>
              </w:rPr>
              <w:sym w:font="Symbol" w:char="F0D8"/>
            </w:r>
            <w:r w:rsidRPr="003D4C67">
              <w:rPr>
                <w:rFonts w:ascii="Book Antiqua" w:hAnsi="Book Antiqua"/>
                <w:b w:val="0"/>
              </w:rPr>
              <w:t xml:space="preserve"> New RBI guideline will help banks avoid a “Kingfisher type Situation” where banks were compelled by the old SEBI pricing formula to convert loans at a 60% premium to market value although the airline was on the verge of bankruptcy. </w:t>
            </w:r>
            <w:r w:rsidRPr="003D4C67">
              <w:rPr>
                <w:rFonts w:ascii="Book Antiqua" w:hAnsi="Book Antiqua"/>
                <w:b w:val="0"/>
              </w:rPr>
              <w:sym w:font="Symbol" w:char="F0D8"/>
            </w:r>
            <w:r w:rsidRPr="003D4C67">
              <w:rPr>
                <w:rFonts w:ascii="Book Antiqua" w:hAnsi="Book Antiqua"/>
                <w:b w:val="0"/>
              </w:rPr>
              <w:t xml:space="preserve"> New Indian promoters should hold at least 51%</w:t>
            </w:r>
            <w:proofErr w:type="gramStart"/>
            <w:r w:rsidRPr="003D4C67">
              <w:rPr>
                <w:rFonts w:ascii="Book Antiqua" w:hAnsi="Book Antiqua"/>
                <w:b w:val="0"/>
              </w:rPr>
              <w:t>,</w:t>
            </w:r>
            <w:proofErr w:type="gramEnd"/>
            <w:r w:rsidRPr="003D4C67">
              <w:rPr>
                <w:rFonts w:ascii="Book Antiqua" w:hAnsi="Book Antiqua"/>
                <w:b w:val="0"/>
              </w:rPr>
              <w:t xml:space="preserve"> foreigners can acquire control with 26% as long as they are largest shareholders.</w:t>
            </w:r>
          </w:p>
        </w:tc>
      </w:tr>
      <w:tr w:rsidR="0044110E" w:rsidRPr="003D4C67" w:rsidTr="004411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58" w:type="dxa"/>
            <w:gridSpan w:val="2"/>
            <w:tcBorders>
              <w:top w:val="none" w:sz="0" w:space="0" w:color="auto"/>
              <w:left w:val="none" w:sz="0" w:space="0" w:color="auto"/>
              <w:bottom w:val="none" w:sz="0" w:space="0" w:color="auto"/>
              <w:right w:val="none" w:sz="0" w:space="0" w:color="auto"/>
            </w:tcBorders>
            <w:shd w:val="clear" w:color="auto" w:fill="auto"/>
          </w:tcPr>
          <w:p w:rsidR="0044110E" w:rsidRDefault="0044110E" w:rsidP="0044110E">
            <w:pPr>
              <w:shd w:val="clear" w:color="auto" w:fill="FFFFFF"/>
              <w:spacing w:before="100" w:beforeAutospacing="1" w:after="100" w:afterAutospacing="1" w:line="255" w:lineRule="atLeast"/>
              <w:jc w:val="both"/>
              <w:rPr>
                <w:rFonts w:ascii="Book Antiqua" w:hAnsi="Book Antiqua"/>
                <w:b w:val="0"/>
              </w:rPr>
            </w:pPr>
            <w:proofErr w:type="gramStart"/>
            <w:r>
              <w:rPr>
                <w:rFonts w:ascii="Book Antiqua" w:hAnsi="Book Antiqua"/>
                <w:b w:val="0"/>
              </w:rPr>
              <w:t>4.</w:t>
            </w:r>
            <w:r w:rsidRPr="003D4C67">
              <w:rPr>
                <w:rFonts w:ascii="Book Antiqua" w:hAnsi="Book Antiqua"/>
                <w:b w:val="0"/>
              </w:rPr>
              <w:t>Banks</w:t>
            </w:r>
            <w:proofErr w:type="gramEnd"/>
            <w:r w:rsidRPr="003D4C67">
              <w:rPr>
                <w:rFonts w:ascii="Book Antiqua" w:hAnsi="Book Antiqua"/>
                <w:b w:val="0"/>
              </w:rPr>
              <w:t xml:space="preserve"> need not mark to market converted shares, nor do they have to follow investor-associate norms</w:t>
            </w:r>
            <w:r w:rsidR="002807E4">
              <w:rPr>
                <w:rFonts w:ascii="Book Antiqua" w:hAnsi="Book Antiqua"/>
                <w:b w:val="0"/>
              </w:rPr>
              <w:t>.</w:t>
            </w:r>
          </w:p>
          <w:p w:rsidR="002807E4" w:rsidRDefault="007B5C02" w:rsidP="0044110E">
            <w:pPr>
              <w:shd w:val="clear" w:color="auto" w:fill="FFFFFF"/>
              <w:spacing w:before="100" w:beforeAutospacing="1" w:after="100" w:afterAutospacing="1" w:line="255" w:lineRule="atLeast"/>
              <w:jc w:val="both"/>
            </w:pPr>
            <w:r>
              <w:t>12. ISSUES RELATED TO STRATEGIC DEBT RESTRUCTURING SCHEME</w:t>
            </w:r>
            <w:r w:rsidR="002807E4">
              <w:rPr>
                <w:noProof/>
              </w:rPr>
              <w:drawing>
                <wp:inline distT="0" distB="0" distL="0" distR="0">
                  <wp:extent cx="5486400" cy="3200400"/>
                  <wp:effectExtent l="76200" t="0" r="9525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2807E4" w:rsidRPr="003D4C67" w:rsidRDefault="002807E4" w:rsidP="0044110E">
            <w:pPr>
              <w:shd w:val="clear" w:color="auto" w:fill="FFFFFF"/>
              <w:spacing w:before="100" w:beforeAutospacing="1" w:after="100" w:afterAutospacing="1" w:line="255" w:lineRule="atLeast"/>
              <w:jc w:val="both"/>
              <w:rPr>
                <w:rFonts w:ascii="Book Antiqua" w:hAnsi="Book Antiqua"/>
              </w:rPr>
            </w:pPr>
          </w:p>
        </w:tc>
      </w:tr>
    </w:tbl>
    <w:p w:rsidR="008E26CC" w:rsidRPr="00F20B81" w:rsidRDefault="007B5C02" w:rsidP="008E26CC">
      <w:pPr>
        <w:shd w:val="clear" w:color="auto" w:fill="FFFFFF"/>
        <w:spacing w:before="100" w:beforeAutospacing="1" w:after="100" w:afterAutospacing="1" w:line="240" w:lineRule="auto"/>
        <w:jc w:val="both"/>
        <w:outlineLvl w:val="2"/>
        <w:rPr>
          <w:rFonts w:ascii="Book Antiqua" w:eastAsia="Times New Roman" w:hAnsi="Book Antiqua" w:cs="Arial"/>
          <w:b/>
          <w:bCs/>
          <w:color w:val="333333"/>
        </w:rPr>
      </w:pPr>
      <w:r>
        <w:rPr>
          <w:rFonts w:ascii="Book Antiqua" w:eastAsia="Times New Roman" w:hAnsi="Book Antiqua" w:cs="Arial"/>
          <w:b/>
          <w:bCs/>
          <w:color w:val="333333"/>
        </w:rPr>
        <w:t>13</w:t>
      </w:r>
      <w:r w:rsidR="003D4C67">
        <w:rPr>
          <w:rFonts w:ascii="Book Antiqua" w:eastAsia="Times New Roman" w:hAnsi="Book Antiqua" w:cs="Arial"/>
          <w:b/>
          <w:bCs/>
          <w:color w:val="333333"/>
        </w:rPr>
        <w:t xml:space="preserve">. </w:t>
      </w:r>
      <w:r w:rsidR="008E26CC" w:rsidRPr="00F20B81">
        <w:rPr>
          <w:rFonts w:ascii="Book Antiqua" w:eastAsia="Times New Roman" w:hAnsi="Book Antiqua" w:cs="Arial"/>
          <w:b/>
          <w:bCs/>
          <w:color w:val="333333"/>
        </w:rPr>
        <w:t>ANALYSIS</w:t>
      </w:r>
    </w:p>
    <w:p w:rsidR="008E26CC" w:rsidRDefault="008E26CC" w:rsidP="008E26CC">
      <w:pPr>
        <w:numPr>
          <w:ilvl w:val="0"/>
          <w:numId w:val="7"/>
        </w:numPr>
        <w:shd w:val="clear" w:color="auto" w:fill="FFFFFF"/>
        <w:spacing w:before="100" w:beforeAutospacing="1" w:after="100" w:afterAutospacing="1" w:line="255" w:lineRule="atLeast"/>
        <w:jc w:val="both"/>
        <w:rPr>
          <w:rFonts w:ascii="Book Antiqua" w:eastAsia="Times New Roman" w:hAnsi="Book Antiqua" w:cs="Arial"/>
          <w:color w:val="333333"/>
        </w:rPr>
      </w:pPr>
      <w:r w:rsidRPr="00F20B81">
        <w:rPr>
          <w:rFonts w:ascii="Book Antiqua" w:eastAsia="Times New Roman" w:hAnsi="Book Antiqua" w:cs="Arial"/>
          <w:color w:val="333333"/>
        </w:rPr>
        <w:lastRenderedPageBreak/>
        <w:t>RBI has recently proposed this concept in India. Although banks would get ownership and control over these corporates, at this stage, the value of the underlying assets would have deteriorated substantially. Banks are, in effect, left with a bagful of non-performing assets. It will be challenging for the lenders to continue to run the business of these companies till the time a suitable buyer is found and may have to deploy professional management to efficiently run and manage these companies leading to "putting good (public) money behind bad money". Until these corporates turn-around and become viable, finding a suitable buyer for the lenders will be difficult and may take many years. SDR can be considered as a last resort to revive such companies which have already undergone a long drawn financial restructuring process.</w:t>
      </w:r>
    </w:p>
    <w:p w:rsidR="008E26CC" w:rsidRDefault="008E26CC" w:rsidP="008E26CC">
      <w:pPr>
        <w:numPr>
          <w:ilvl w:val="0"/>
          <w:numId w:val="7"/>
        </w:numPr>
        <w:shd w:val="clear" w:color="auto" w:fill="FFFFFF"/>
        <w:spacing w:before="100" w:beforeAutospacing="1" w:after="100" w:afterAutospacing="1" w:line="255" w:lineRule="atLeast"/>
        <w:jc w:val="both"/>
        <w:rPr>
          <w:rFonts w:ascii="Book Antiqua" w:eastAsia="Times New Roman" w:hAnsi="Book Antiqua" w:cs="Arial"/>
          <w:color w:val="333333"/>
        </w:rPr>
      </w:pPr>
      <w:r w:rsidRPr="00F20B81">
        <w:rPr>
          <w:rFonts w:ascii="Book Antiqua" w:eastAsia="Times New Roman" w:hAnsi="Book Antiqua" w:cs="Arial"/>
          <w:color w:val="333333"/>
        </w:rPr>
        <w:t xml:space="preserve">One of the critical problems of the Scheme could be the price at which the debt to equity conversion must take place. The conversion price could be higher than the market price as the market value of these </w:t>
      </w:r>
      <w:proofErr w:type="spellStart"/>
      <w:r w:rsidRPr="00F20B81">
        <w:rPr>
          <w:rFonts w:ascii="Book Antiqua" w:eastAsia="Times New Roman" w:hAnsi="Book Antiqua" w:cs="Arial"/>
          <w:color w:val="333333"/>
        </w:rPr>
        <w:t>scrips</w:t>
      </w:r>
      <w:proofErr w:type="spellEnd"/>
      <w:r w:rsidRPr="00F20B81">
        <w:rPr>
          <w:rFonts w:ascii="Book Antiqua" w:eastAsia="Times New Roman" w:hAnsi="Book Antiqua" w:cs="Arial"/>
          <w:color w:val="333333"/>
        </w:rPr>
        <w:t xml:space="preserve"> would have substantially reduced, whereas the lenders as per the Scheme will be required to convert the debt into equity at a price which shall not exceed the fair value (i.e. market value or break-up value, whichever is lower subject to the floor of face value). This may result in further losses to the lenders.</w:t>
      </w:r>
    </w:p>
    <w:p w:rsidR="00161337" w:rsidRDefault="00161337" w:rsidP="00161337">
      <w:pPr>
        <w:shd w:val="clear" w:color="auto" w:fill="FFFFFF"/>
        <w:spacing w:after="0" w:line="255" w:lineRule="atLeast"/>
        <w:jc w:val="both"/>
        <w:rPr>
          <w:rFonts w:ascii="Book Antiqua" w:eastAsia="Times New Roman" w:hAnsi="Book Antiqua" w:cs="Arial"/>
          <w:i/>
          <w:color w:val="333333"/>
        </w:rPr>
      </w:pPr>
    </w:p>
    <w:p w:rsidR="000B59DC" w:rsidRDefault="000B59DC" w:rsidP="000B59DC">
      <w:pPr>
        <w:spacing w:after="0"/>
        <w:rPr>
          <w:rFonts w:ascii="Calisto MT" w:hAnsi="Calisto MT"/>
          <w:sz w:val="20"/>
          <w:szCs w:val="20"/>
        </w:rPr>
      </w:pPr>
      <w:proofErr w:type="spellStart"/>
      <w:r w:rsidRPr="0004601B">
        <w:rPr>
          <w:rFonts w:ascii="Calisto MT" w:hAnsi="Calisto MT"/>
          <w:sz w:val="20"/>
          <w:szCs w:val="20"/>
        </w:rPr>
        <w:t>Sumat</w:t>
      </w:r>
      <w:proofErr w:type="spellEnd"/>
      <w:r w:rsidRPr="0004601B">
        <w:rPr>
          <w:rFonts w:ascii="Calisto MT" w:hAnsi="Calisto MT"/>
          <w:sz w:val="20"/>
          <w:szCs w:val="20"/>
        </w:rPr>
        <w:t xml:space="preserve"> Singhal</w:t>
      </w:r>
    </w:p>
    <w:p w:rsidR="000B59DC" w:rsidRDefault="000B59DC" w:rsidP="000B59DC">
      <w:pPr>
        <w:spacing w:after="0"/>
        <w:rPr>
          <w:rFonts w:ascii="Calisto MT" w:hAnsi="Calisto MT"/>
          <w:sz w:val="18"/>
          <w:szCs w:val="18"/>
        </w:rPr>
      </w:pPr>
      <w:r w:rsidRPr="0004601B">
        <w:rPr>
          <w:rFonts w:ascii="Calisto MT" w:hAnsi="Calisto MT"/>
          <w:sz w:val="18"/>
          <w:szCs w:val="18"/>
        </w:rPr>
        <w:t>(B.Com, CAIIB, DTIRM,</w:t>
      </w:r>
      <w:r>
        <w:rPr>
          <w:rFonts w:ascii="Calisto MT" w:hAnsi="Calisto MT"/>
          <w:sz w:val="18"/>
          <w:szCs w:val="18"/>
        </w:rPr>
        <w:t xml:space="preserve"> </w:t>
      </w:r>
      <w:r w:rsidRPr="0004601B">
        <w:rPr>
          <w:rFonts w:ascii="Calisto MT" w:hAnsi="Calisto MT"/>
          <w:sz w:val="18"/>
          <w:szCs w:val="18"/>
        </w:rPr>
        <w:t>ACA,</w:t>
      </w:r>
      <w:r>
        <w:rPr>
          <w:rFonts w:ascii="Calisto MT" w:hAnsi="Calisto MT"/>
          <w:sz w:val="18"/>
          <w:szCs w:val="18"/>
        </w:rPr>
        <w:t xml:space="preserve"> </w:t>
      </w:r>
      <w:r w:rsidRPr="0004601B">
        <w:rPr>
          <w:rFonts w:ascii="Calisto MT" w:hAnsi="Calisto MT"/>
          <w:sz w:val="18"/>
          <w:szCs w:val="18"/>
        </w:rPr>
        <w:t>ACS,</w:t>
      </w:r>
      <w:r>
        <w:rPr>
          <w:rFonts w:ascii="Calisto MT" w:hAnsi="Calisto MT"/>
          <w:sz w:val="18"/>
          <w:szCs w:val="18"/>
        </w:rPr>
        <w:t xml:space="preserve"> </w:t>
      </w:r>
      <w:proofErr w:type="gramStart"/>
      <w:r w:rsidRPr="0004601B">
        <w:rPr>
          <w:rFonts w:ascii="Calisto MT" w:hAnsi="Calisto MT"/>
          <w:sz w:val="18"/>
          <w:szCs w:val="18"/>
        </w:rPr>
        <w:t>CWA(</w:t>
      </w:r>
      <w:proofErr w:type="gramEnd"/>
      <w:r w:rsidRPr="0004601B">
        <w:rPr>
          <w:rFonts w:ascii="Calisto MT" w:hAnsi="Calisto MT"/>
          <w:sz w:val="18"/>
          <w:szCs w:val="18"/>
        </w:rPr>
        <w:t>F)</w:t>
      </w:r>
    </w:p>
    <w:p w:rsidR="000B59DC" w:rsidRDefault="000B59DC" w:rsidP="00161337">
      <w:pPr>
        <w:shd w:val="clear" w:color="auto" w:fill="FFFFFF"/>
        <w:spacing w:after="0" w:line="255" w:lineRule="atLeast"/>
        <w:jc w:val="both"/>
        <w:rPr>
          <w:rFonts w:ascii="Book Antiqua" w:eastAsia="Times New Roman" w:hAnsi="Book Antiqua" w:cs="Arial"/>
          <w:i/>
          <w:color w:val="333333"/>
        </w:rPr>
      </w:pPr>
      <w:bookmarkStart w:id="0" w:name="_GoBack"/>
      <w:bookmarkEnd w:id="0"/>
    </w:p>
    <w:p w:rsidR="000B59DC" w:rsidRDefault="000B59DC" w:rsidP="00161337">
      <w:pPr>
        <w:shd w:val="clear" w:color="auto" w:fill="FFFFFF"/>
        <w:spacing w:after="0" w:line="255" w:lineRule="atLeast"/>
        <w:jc w:val="both"/>
        <w:rPr>
          <w:rFonts w:ascii="Book Antiqua" w:eastAsia="Times New Roman" w:hAnsi="Book Antiqua" w:cs="Arial"/>
          <w:i/>
          <w:color w:val="333333"/>
        </w:rPr>
      </w:pPr>
    </w:p>
    <w:p w:rsidR="00161337" w:rsidRPr="00161337" w:rsidRDefault="00161337" w:rsidP="00161337">
      <w:pPr>
        <w:shd w:val="clear" w:color="auto" w:fill="FFFFFF"/>
        <w:spacing w:after="0" w:line="255" w:lineRule="atLeast"/>
        <w:jc w:val="both"/>
        <w:rPr>
          <w:rFonts w:ascii="Book Antiqua" w:eastAsia="Times New Roman" w:hAnsi="Book Antiqua" w:cs="Arial"/>
          <w:i/>
          <w:color w:val="333333"/>
        </w:rPr>
      </w:pPr>
      <w:r w:rsidRPr="00161337">
        <w:rPr>
          <w:rFonts w:ascii="Book Antiqua" w:eastAsia="Times New Roman" w:hAnsi="Book Antiqua" w:cs="Arial"/>
          <w:i/>
          <w:color w:val="333333"/>
        </w:rPr>
        <w:t>January 2016</w:t>
      </w:r>
    </w:p>
    <w:p w:rsidR="00161337" w:rsidRPr="00161337" w:rsidRDefault="00161337" w:rsidP="00161337">
      <w:pPr>
        <w:shd w:val="clear" w:color="auto" w:fill="FFFFFF"/>
        <w:spacing w:after="0" w:line="255" w:lineRule="atLeast"/>
        <w:jc w:val="both"/>
        <w:rPr>
          <w:rFonts w:ascii="Book Antiqua" w:eastAsia="Times New Roman" w:hAnsi="Book Antiqua" w:cs="Arial"/>
          <w:i/>
          <w:color w:val="333333"/>
        </w:rPr>
      </w:pPr>
      <w:r w:rsidRPr="00161337">
        <w:rPr>
          <w:rFonts w:ascii="Book Antiqua" w:eastAsia="Times New Roman" w:hAnsi="Book Antiqua" w:cs="Arial"/>
          <w:i/>
          <w:color w:val="333333"/>
        </w:rPr>
        <w:t xml:space="preserve">Sources: Various Readings from publicly available </w:t>
      </w:r>
    </w:p>
    <w:sectPr w:rsidR="00161337" w:rsidRPr="00161337" w:rsidSect="00803DAA">
      <w:pgSz w:w="12240" w:h="15840"/>
      <w:pgMar w:top="1440" w:right="1440" w:bottom="1440" w:left="1440" w:header="720" w:footer="720" w:gutter="0"/>
      <w:pgBorders w:offsetFrom="page">
        <w:top w:val="double" w:sz="4" w:space="24" w:color="auto" w:shadow="1"/>
        <w:left w:val="double" w:sz="4" w:space="24" w:color="auto" w:shadow="1"/>
        <w:bottom w:val="double" w:sz="4" w:space="24" w:color="auto" w:shadow="1"/>
        <w:right w:val="double" w:sz="4" w:space="24" w:color="auto" w:shadow="1"/>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37B" w:rsidRDefault="0017537B" w:rsidP="00AD78A3">
      <w:pPr>
        <w:spacing w:after="0" w:line="240" w:lineRule="auto"/>
      </w:pPr>
      <w:r>
        <w:separator/>
      </w:r>
    </w:p>
  </w:endnote>
  <w:endnote w:type="continuationSeparator" w:id="0">
    <w:p w:rsidR="0017537B" w:rsidRDefault="0017537B" w:rsidP="00AD7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37B" w:rsidRDefault="0017537B" w:rsidP="00AD78A3">
      <w:pPr>
        <w:spacing w:after="0" w:line="240" w:lineRule="auto"/>
      </w:pPr>
      <w:r>
        <w:separator/>
      </w:r>
    </w:p>
  </w:footnote>
  <w:footnote w:type="continuationSeparator" w:id="0">
    <w:p w:rsidR="0017537B" w:rsidRDefault="0017537B" w:rsidP="00AD78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97993"/>
    <w:multiLevelType w:val="multilevel"/>
    <w:tmpl w:val="7D048F20"/>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E97C6B"/>
    <w:multiLevelType w:val="multilevel"/>
    <w:tmpl w:val="232CB936"/>
    <w:lvl w:ilvl="0">
      <w:start w:val="1"/>
      <w:numFmt w:val="lowerLetter"/>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9680937"/>
    <w:multiLevelType w:val="multilevel"/>
    <w:tmpl w:val="6C8257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nsid w:val="13154326"/>
    <w:multiLevelType w:val="multilevel"/>
    <w:tmpl w:val="AD80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CC3473E"/>
    <w:multiLevelType w:val="multilevel"/>
    <w:tmpl w:val="987EC226"/>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47E50DD"/>
    <w:multiLevelType w:val="multilevel"/>
    <w:tmpl w:val="EAC89342"/>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7A040D1"/>
    <w:multiLevelType w:val="multilevel"/>
    <w:tmpl w:val="211233B8"/>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abstractNumId w:val="6"/>
  </w:num>
  <w:num w:numId="2">
    <w:abstractNumId w:val="3"/>
  </w:num>
  <w:num w:numId="3">
    <w:abstractNumId w:val="4"/>
  </w:num>
  <w:num w:numId="4">
    <w:abstractNumId w:val="5"/>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6CC"/>
    <w:rsid w:val="000440EB"/>
    <w:rsid w:val="000B59DC"/>
    <w:rsid w:val="000C61CF"/>
    <w:rsid w:val="00161337"/>
    <w:rsid w:val="0017537B"/>
    <w:rsid w:val="001A285B"/>
    <w:rsid w:val="002807E4"/>
    <w:rsid w:val="003D4C67"/>
    <w:rsid w:val="004047E5"/>
    <w:rsid w:val="0044110E"/>
    <w:rsid w:val="006E2147"/>
    <w:rsid w:val="007B5C02"/>
    <w:rsid w:val="007D2B4C"/>
    <w:rsid w:val="00803DAA"/>
    <w:rsid w:val="008235E8"/>
    <w:rsid w:val="008E26CC"/>
    <w:rsid w:val="008E5D3B"/>
    <w:rsid w:val="009C293B"/>
    <w:rsid w:val="00A47E94"/>
    <w:rsid w:val="00AD78A3"/>
    <w:rsid w:val="00BE04F0"/>
    <w:rsid w:val="00BF7424"/>
    <w:rsid w:val="00C45C65"/>
    <w:rsid w:val="00C65BA7"/>
    <w:rsid w:val="00D35BA9"/>
    <w:rsid w:val="00F06EC0"/>
    <w:rsid w:val="00F20B81"/>
    <w:rsid w:val="00FC25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8E26C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E26CC"/>
    <w:rPr>
      <w:rFonts w:ascii="Times New Roman" w:eastAsia="Times New Roman" w:hAnsi="Times New Roman" w:cs="Times New Roman"/>
      <w:b/>
      <w:bCs/>
      <w:sz w:val="27"/>
      <w:szCs w:val="27"/>
    </w:rPr>
  </w:style>
  <w:style w:type="character" w:styleId="Strong">
    <w:name w:val="Strong"/>
    <w:basedOn w:val="DefaultParagraphFont"/>
    <w:uiPriority w:val="22"/>
    <w:qFormat/>
    <w:rsid w:val="008E26CC"/>
    <w:rPr>
      <w:b/>
      <w:bCs/>
    </w:rPr>
  </w:style>
  <w:style w:type="character" w:customStyle="1" w:styleId="apple-converted-space">
    <w:name w:val="apple-converted-space"/>
    <w:basedOn w:val="DefaultParagraphFont"/>
    <w:rsid w:val="008E26CC"/>
  </w:style>
  <w:style w:type="paragraph" w:styleId="NormalWeb">
    <w:name w:val="Normal (Web)"/>
    <w:basedOn w:val="Normal"/>
    <w:uiPriority w:val="99"/>
    <w:semiHidden/>
    <w:unhideWhenUsed/>
    <w:rsid w:val="008E26C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E26CC"/>
    <w:rPr>
      <w:i/>
      <w:iCs/>
    </w:rPr>
  </w:style>
  <w:style w:type="table" w:styleId="TableGrid">
    <w:name w:val="Table Grid"/>
    <w:basedOn w:val="TableNormal"/>
    <w:uiPriority w:val="59"/>
    <w:rsid w:val="000440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1">
    <w:name w:val="Light Grid Accent 1"/>
    <w:basedOn w:val="TableNormal"/>
    <w:uiPriority w:val="62"/>
    <w:rsid w:val="006E2147"/>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ListParagraph">
    <w:name w:val="List Paragraph"/>
    <w:basedOn w:val="Normal"/>
    <w:uiPriority w:val="34"/>
    <w:qFormat/>
    <w:rsid w:val="00FC2549"/>
    <w:pPr>
      <w:ind w:left="720"/>
      <w:contextualSpacing/>
    </w:pPr>
  </w:style>
  <w:style w:type="paragraph" w:styleId="BalloonText">
    <w:name w:val="Balloon Text"/>
    <w:basedOn w:val="Normal"/>
    <w:link w:val="BalloonTextChar"/>
    <w:uiPriority w:val="99"/>
    <w:semiHidden/>
    <w:unhideWhenUsed/>
    <w:rsid w:val="007D2B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B4C"/>
    <w:rPr>
      <w:rFonts w:ascii="Tahoma" w:hAnsi="Tahoma" w:cs="Tahoma"/>
      <w:sz w:val="16"/>
      <w:szCs w:val="16"/>
    </w:rPr>
  </w:style>
  <w:style w:type="table" w:styleId="LightShading-Accent5">
    <w:name w:val="Light Shading Accent 5"/>
    <w:basedOn w:val="TableNormal"/>
    <w:uiPriority w:val="60"/>
    <w:rsid w:val="008E5D3B"/>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1">
    <w:name w:val="Light Shading Accent 1"/>
    <w:basedOn w:val="TableNormal"/>
    <w:uiPriority w:val="60"/>
    <w:rsid w:val="008E5D3B"/>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8E5D3B"/>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Grid-Accent6">
    <w:name w:val="Light Grid Accent 6"/>
    <w:basedOn w:val="TableNormal"/>
    <w:uiPriority w:val="62"/>
    <w:rsid w:val="003D4C67"/>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Accent1">
    <w:name w:val="Medium Shading 1 Accent 1"/>
    <w:basedOn w:val="TableNormal"/>
    <w:uiPriority w:val="63"/>
    <w:rsid w:val="003D4C6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4">
    <w:name w:val="Light Grid Accent 4"/>
    <w:basedOn w:val="TableNormal"/>
    <w:uiPriority w:val="62"/>
    <w:rsid w:val="003D4C67"/>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Header">
    <w:name w:val="header"/>
    <w:basedOn w:val="Normal"/>
    <w:link w:val="HeaderChar"/>
    <w:uiPriority w:val="99"/>
    <w:unhideWhenUsed/>
    <w:rsid w:val="00AD78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8A3"/>
  </w:style>
  <w:style w:type="paragraph" w:styleId="Footer">
    <w:name w:val="footer"/>
    <w:basedOn w:val="Normal"/>
    <w:link w:val="FooterChar"/>
    <w:uiPriority w:val="99"/>
    <w:unhideWhenUsed/>
    <w:rsid w:val="00AD78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8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8E26C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E26CC"/>
    <w:rPr>
      <w:rFonts w:ascii="Times New Roman" w:eastAsia="Times New Roman" w:hAnsi="Times New Roman" w:cs="Times New Roman"/>
      <w:b/>
      <w:bCs/>
      <w:sz w:val="27"/>
      <w:szCs w:val="27"/>
    </w:rPr>
  </w:style>
  <w:style w:type="character" w:styleId="Strong">
    <w:name w:val="Strong"/>
    <w:basedOn w:val="DefaultParagraphFont"/>
    <w:uiPriority w:val="22"/>
    <w:qFormat/>
    <w:rsid w:val="008E26CC"/>
    <w:rPr>
      <w:b/>
      <w:bCs/>
    </w:rPr>
  </w:style>
  <w:style w:type="character" w:customStyle="1" w:styleId="apple-converted-space">
    <w:name w:val="apple-converted-space"/>
    <w:basedOn w:val="DefaultParagraphFont"/>
    <w:rsid w:val="008E26CC"/>
  </w:style>
  <w:style w:type="paragraph" w:styleId="NormalWeb">
    <w:name w:val="Normal (Web)"/>
    <w:basedOn w:val="Normal"/>
    <w:uiPriority w:val="99"/>
    <w:semiHidden/>
    <w:unhideWhenUsed/>
    <w:rsid w:val="008E26C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E26CC"/>
    <w:rPr>
      <w:i/>
      <w:iCs/>
    </w:rPr>
  </w:style>
  <w:style w:type="table" w:styleId="TableGrid">
    <w:name w:val="Table Grid"/>
    <w:basedOn w:val="TableNormal"/>
    <w:uiPriority w:val="59"/>
    <w:rsid w:val="000440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1">
    <w:name w:val="Light Grid Accent 1"/>
    <w:basedOn w:val="TableNormal"/>
    <w:uiPriority w:val="62"/>
    <w:rsid w:val="006E2147"/>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ListParagraph">
    <w:name w:val="List Paragraph"/>
    <w:basedOn w:val="Normal"/>
    <w:uiPriority w:val="34"/>
    <w:qFormat/>
    <w:rsid w:val="00FC2549"/>
    <w:pPr>
      <w:ind w:left="720"/>
      <w:contextualSpacing/>
    </w:pPr>
  </w:style>
  <w:style w:type="paragraph" w:styleId="BalloonText">
    <w:name w:val="Balloon Text"/>
    <w:basedOn w:val="Normal"/>
    <w:link w:val="BalloonTextChar"/>
    <w:uiPriority w:val="99"/>
    <w:semiHidden/>
    <w:unhideWhenUsed/>
    <w:rsid w:val="007D2B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B4C"/>
    <w:rPr>
      <w:rFonts w:ascii="Tahoma" w:hAnsi="Tahoma" w:cs="Tahoma"/>
      <w:sz w:val="16"/>
      <w:szCs w:val="16"/>
    </w:rPr>
  </w:style>
  <w:style w:type="table" w:styleId="LightShading-Accent5">
    <w:name w:val="Light Shading Accent 5"/>
    <w:basedOn w:val="TableNormal"/>
    <w:uiPriority w:val="60"/>
    <w:rsid w:val="008E5D3B"/>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1">
    <w:name w:val="Light Shading Accent 1"/>
    <w:basedOn w:val="TableNormal"/>
    <w:uiPriority w:val="60"/>
    <w:rsid w:val="008E5D3B"/>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8E5D3B"/>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Grid-Accent6">
    <w:name w:val="Light Grid Accent 6"/>
    <w:basedOn w:val="TableNormal"/>
    <w:uiPriority w:val="62"/>
    <w:rsid w:val="003D4C67"/>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Accent1">
    <w:name w:val="Medium Shading 1 Accent 1"/>
    <w:basedOn w:val="TableNormal"/>
    <w:uiPriority w:val="63"/>
    <w:rsid w:val="003D4C6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4">
    <w:name w:val="Light Grid Accent 4"/>
    <w:basedOn w:val="TableNormal"/>
    <w:uiPriority w:val="62"/>
    <w:rsid w:val="003D4C67"/>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Header">
    <w:name w:val="header"/>
    <w:basedOn w:val="Normal"/>
    <w:link w:val="HeaderChar"/>
    <w:uiPriority w:val="99"/>
    <w:unhideWhenUsed/>
    <w:rsid w:val="00AD78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8A3"/>
  </w:style>
  <w:style w:type="paragraph" w:styleId="Footer">
    <w:name w:val="footer"/>
    <w:basedOn w:val="Normal"/>
    <w:link w:val="FooterChar"/>
    <w:uiPriority w:val="99"/>
    <w:unhideWhenUsed/>
    <w:rsid w:val="00AD78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8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805268">
      <w:bodyDiv w:val="1"/>
      <w:marLeft w:val="0"/>
      <w:marRight w:val="0"/>
      <w:marTop w:val="0"/>
      <w:marBottom w:val="0"/>
      <w:divBdr>
        <w:top w:val="none" w:sz="0" w:space="0" w:color="auto"/>
        <w:left w:val="none" w:sz="0" w:space="0" w:color="auto"/>
        <w:bottom w:val="none" w:sz="0" w:space="0" w:color="auto"/>
        <w:right w:val="none" w:sz="0" w:space="0" w:color="auto"/>
      </w:divBdr>
      <w:divsChild>
        <w:div w:id="1793207618">
          <w:marLeft w:val="547"/>
          <w:marRight w:val="0"/>
          <w:marTop w:val="0"/>
          <w:marBottom w:val="0"/>
          <w:divBdr>
            <w:top w:val="none" w:sz="0" w:space="0" w:color="auto"/>
            <w:left w:val="none" w:sz="0" w:space="0" w:color="auto"/>
            <w:bottom w:val="none" w:sz="0" w:space="0" w:color="auto"/>
            <w:right w:val="none" w:sz="0" w:space="0" w:color="auto"/>
          </w:divBdr>
        </w:div>
      </w:divsChild>
    </w:div>
    <w:div w:id="2057468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diagramLayout" Target="diagrams/layout2.xml"/><Relationship Id="rId10" Type="http://schemas.openxmlformats.org/officeDocument/2006/relationships/diagramLayout" Target="diagrams/layout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D182BDF-BAC2-4545-A52B-BE6B4A4B69C9}" type="doc">
      <dgm:prSet loTypeId="urn:microsoft.com/office/officeart/2005/8/layout/process4" loCatId="list" qsTypeId="urn:microsoft.com/office/officeart/2005/8/quickstyle/3d2" qsCatId="3D" csTypeId="urn:microsoft.com/office/officeart/2005/8/colors/accent1_2" csCatId="accent1" phldr="1"/>
      <dgm:spPr/>
      <dgm:t>
        <a:bodyPr/>
        <a:lstStyle/>
        <a:p>
          <a:endParaRPr lang="en-US"/>
        </a:p>
      </dgm:t>
    </dgm:pt>
    <dgm:pt modelId="{4042DA85-76C9-44E6-87FD-7B8DA5DDA783}">
      <dgm:prSet phldrT="[Text]" custT="1"/>
      <dgm:spPr/>
      <dgm:t>
        <a:bodyPr/>
        <a:lstStyle/>
        <a:p>
          <a:pPr algn="ctr"/>
          <a:r>
            <a:rPr lang="en-US" sz="1200"/>
            <a:t>Joint lender’s forum meet to discuss recovery plans</a:t>
          </a:r>
        </a:p>
      </dgm:t>
    </dgm:pt>
    <dgm:pt modelId="{F1BD4BA9-03F4-4A48-9D8E-3B0C848C04A2}" type="parTrans" cxnId="{27FF715B-59A6-4C93-96C1-959CCA51F132}">
      <dgm:prSet/>
      <dgm:spPr/>
      <dgm:t>
        <a:bodyPr/>
        <a:lstStyle/>
        <a:p>
          <a:endParaRPr lang="en-US" sz="1200"/>
        </a:p>
      </dgm:t>
    </dgm:pt>
    <dgm:pt modelId="{41E31F6D-0B47-4F7A-9980-C57F6B25DDD0}" type="sibTrans" cxnId="{27FF715B-59A6-4C93-96C1-959CCA51F132}">
      <dgm:prSet/>
      <dgm:spPr/>
      <dgm:t>
        <a:bodyPr/>
        <a:lstStyle/>
        <a:p>
          <a:endParaRPr lang="en-US" sz="1200"/>
        </a:p>
      </dgm:t>
    </dgm:pt>
    <dgm:pt modelId="{8EE35E6E-AF63-4A73-84AE-8A8FD126054F}">
      <dgm:prSet phldrT="[Text]" custT="1"/>
      <dgm:spPr/>
      <dgm:t>
        <a:bodyPr/>
        <a:lstStyle/>
        <a:p>
          <a:r>
            <a:rPr lang="en-US" sz="1200"/>
            <a:t>Banks decide whether the entire loan or a part of it can be converted into equity</a:t>
          </a:r>
        </a:p>
      </dgm:t>
    </dgm:pt>
    <dgm:pt modelId="{1D9B77E6-46A6-4AB6-9A81-750DD0889879}" type="parTrans" cxnId="{C163567D-EF96-4C00-BADB-25158F319391}">
      <dgm:prSet/>
      <dgm:spPr/>
      <dgm:t>
        <a:bodyPr/>
        <a:lstStyle/>
        <a:p>
          <a:endParaRPr lang="en-US" sz="1200"/>
        </a:p>
      </dgm:t>
    </dgm:pt>
    <dgm:pt modelId="{19E827C0-2326-4392-9233-392106DE7764}" type="sibTrans" cxnId="{C163567D-EF96-4C00-BADB-25158F319391}">
      <dgm:prSet/>
      <dgm:spPr/>
      <dgm:t>
        <a:bodyPr/>
        <a:lstStyle/>
        <a:p>
          <a:endParaRPr lang="en-US" sz="1200"/>
        </a:p>
      </dgm:t>
    </dgm:pt>
    <dgm:pt modelId="{D920C025-E460-465F-A3F9-7DB777C87DA9}">
      <dgm:prSet phldrT="[Text]" custT="1"/>
      <dgm:spPr/>
      <dgm:t>
        <a:bodyPr/>
        <a:lstStyle/>
        <a:p>
          <a:r>
            <a:rPr lang="en-US" sz="1200"/>
            <a:t>Consent of at least 75% of creditors by value and 60% of creditors by number.</a:t>
          </a:r>
        </a:p>
      </dgm:t>
    </dgm:pt>
    <dgm:pt modelId="{D8DC0D16-6470-4249-B1EF-9BFE4F3B274C}" type="parTrans" cxnId="{37D6F0D7-7687-44BE-AF2C-7250BB6CC25C}">
      <dgm:prSet/>
      <dgm:spPr/>
      <dgm:t>
        <a:bodyPr/>
        <a:lstStyle/>
        <a:p>
          <a:endParaRPr lang="en-US" sz="1200"/>
        </a:p>
      </dgm:t>
    </dgm:pt>
    <dgm:pt modelId="{F68A27F1-205B-4F5D-A49A-08FCFFA5E8BD}" type="sibTrans" cxnId="{37D6F0D7-7687-44BE-AF2C-7250BB6CC25C}">
      <dgm:prSet/>
      <dgm:spPr/>
      <dgm:t>
        <a:bodyPr/>
        <a:lstStyle/>
        <a:p>
          <a:endParaRPr lang="en-US" sz="1200"/>
        </a:p>
      </dgm:t>
    </dgm:pt>
    <dgm:pt modelId="{FE90DDB2-2CBE-421F-96E2-E483F532C2E4}">
      <dgm:prSet phldrT="[Text]" custT="1"/>
      <dgm:spPr/>
      <dgm:t>
        <a:bodyPr/>
        <a:lstStyle/>
        <a:p>
          <a:r>
            <a:rPr lang="en-US" sz="1200"/>
            <a:t>A decision has to be taken by the lenders within 30 days of the review of the account.</a:t>
          </a:r>
        </a:p>
      </dgm:t>
    </dgm:pt>
    <dgm:pt modelId="{AF88648A-82F2-4C2A-B189-21AA002D776C}" type="parTrans" cxnId="{5B12983E-18E9-4EA2-B243-435D439D7DAB}">
      <dgm:prSet/>
      <dgm:spPr/>
      <dgm:t>
        <a:bodyPr/>
        <a:lstStyle/>
        <a:p>
          <a:endParaRPr lang="en-US"/>
        </a:p>
      </dgm:t>
    </dgm:pt>
    <dgm:pt modelId="{7500A7F0-DD90-4F86-8AE0-C87E91F3D94D}" type="sibTrans" cxnId="{5B12983E-18E9-4EA2-B243-435D439D7DAB}">
      <dgm:prSet/>
      <dgm:spPr/>
      <dgm:t>
        <a:bodyPr/>
        <a:lstStyle/>
        <a:p>
          <a:endParaRPr lang="en-US"/>
        </a:p>
      </dgm:t>
    </dgm:pt>
    <dgm:pt modelId="{531241B4-3F5A-4C80-8AC8-D618E9D3BC1F}" type="pres">
      <dgm:prSet presAssocID="{6D182BDF-BAC2-4545-A52B-BE6B4A4B69C9}" presName="Name0" presStyleCnt="0">
        <dgm:presLayoutVars>
          <dgm:dir/>
          <dgm:animLvl val="lvl"/>
          <dgm:resizeHandles val="exact"/>
        </dgm:presLayoutVars>
      </dgm:prSet>
      <dgm:spPr/>
      <dgm:t>
        <a:bodyPr/>
        <a:lstStyle/>
        <a:p>
          <a:endParaRPr lang="en-US"/>
        </a:p>
      </dgm:t>
    </dgm:pt>
    <dgm:pt modelId="{276140B4-FEA4-45FC-98B8-C9ED63684EE8}" type="pres">
      <dgm:prSet presAssocID="{FE90DDB2-2CBE-421F-96E2-E483F532C2E4}" presName="boxAndChildren" presStyleCnt="0"/>
      <dgm:spPr/>
    </dgm:pt>
    <dgm:pt modelId="{013F96C6-3E62-47EA-8AD8-4418930FD32C}" type="pres">
      <dgm:prSet presAssocID="{FE90DDB2-2CBE-421F-96E2-E483F532C2E4}" presName="parentTextBox" presStyleLbl="node1" presStyleIdx="0" presStyleCnt="4"/>
      <dgm:spPr/>
      <dgm:t>
        <a:bodyPr/>
        <a:lstStyle/>
        <a:p>
          <a:endParaRPr lang="en-US"/>
        </a:p>
      </dgm:t>
    </dgm:pt>
    <dgm:pt modelId="{E56E8513-2608-434E-BB16-0E7AF2DA7894}" type="pres">
      <dgm:prSet presAssocID="{F68A27F1-205B-4F5D-A49A-08FCFFA5E8BD}" presName="sp" presStyleCnt="0"/>
      <dgm:spPr/>
    </dgm:pt>
    <dgm:pt modelId="{872DC6BE-21C6-43CA-9CCC-C4180A3EFCB8}" type="pres">
      <dgm:prSet presAssocID="{D920C025-E460-465F-A3F9-7DB777C87DA9}" presName="arrowAndChildren" presStyleCnt="0"/>
      <dgm:spPr/>
    </dgm:pt>
    <dgm:pt modelId="{4C0AC6E9-7F33-4384-B2A2-7A9ECBB10B68}" type="pres">
      <dgm:prSet presAssocID="{D920C025-E460-465F-A3F9-7DB777C87DA9}" presName="parentTextArrow" presStyleLbl="node1" presStyleIdx="1" presStyleCnt="4"/>
      <dgm:spPr/>
      <dgm:t>
        <a:bodyPr/>
        <a:lstStyle/>
        <a:p>
          <a:endParaRPr lang="en-US"/>
        </a:p>
      </dgm:t>
    </dgm:pt>
    <dgm:pt modelId="{A57E1DA0-DDED-4185-B6B6-59D4DCD84964}" type="pres">
      <dgm:prSet presAssocID="{19E827C0-2326-4392-9233-392106DE7764}" presName="sp" presStyleCnt="0"/>
      <dgm:spPr/>
    </dgm:pt>
    <dgm:pt modelId="{BA46F5B2-670E-4955-BFB9-2E4BAEF1A58A}" type="pres">
      <dgm:prSet presAssocID="{8EE35E6E-AF63-4A73-84AE-8A8FD126054F}" presName="arrowAndChildren" presStyleCnt="0"/>
      <dgm:spPr/>
    </dgm:pt>
    <dgm:pt modelId="{667EA004-C9AE-4C3C-A6F9-465E2C405FA8}" type="pres">
      <dgm:prSet presAssocID="{8EE35E6E-AF63-4A73-84AE-8A8FD126054F}" presName="parentTextArrow" presStyleLbl="node1" presStyleIdx="2" presStyleCnt="4"/>
      <dgm:spPr/>
      <dgm:t>
        <a:bodyPr/>
        <a:lstStyle/>
        <a:p>
          <a:endParaRPr lang="en-US"/>
        </a:p>
      </dgm:t>
    </dgm:pt>
    <dgm:pt modelId="{2284980D-FB4D-4721-AC74-FCC895695B32}" type="pres">
      <dgm:prSet presAssocID="{41E31F6D-0B47-4F7A-9980-C57F6B25DDD0}" presName="sp" presStyleCnt="0"/>
      <dgm:spPr/>
    </dgm:pt>
    <dgm:pt modelId="{6348289A-67BC-4C7D-B12E-F6619CC5E7B7}" type="pres">
      <dgm:prSet presAssocID="{4042DA85-76C9-44E6-87FD-7B8DA5DDA783}" presName="arrowAndChildren" presStyleCnt="0"/>
      <dgm:spPr/>
    </dgm:pt>
    <dgm:pt modelId="{835473CA-4FC2-4C78-AD32-A6302BF3D492}" type="pres">
      <dgm:prSet presAssocID="{4042DA85-76C9-44E6-87FD-7B8DA5DDA783}" presName="parentTextArrow" presStyleLbl="node1" presStyleIdx="3" presStyleCnt="4"/>
      <dgm:spPr/>
      <dgm:t>
        <a:bodyPr/>
        <a:lstStyle/>
        <a:p>
          <a:endParaRPr lang="en-US"/>
        </a:p>
      </dgm:t>
    </dgm:pt>
  </dgm:ptLst>
  <dgm:cxnLst>
    <dgm:cxn modelId="{46B9BF49-F72A-410A-BA5E-4421CF24E5CB}" type="presOf" srcId="{6D182BDF-BAC2-4545-A52B-BE6B4A4B69C9}" destId="{531241B4-3F5A-4C80-8AC8-D618E9D3BC1F}" srcOrd="0" destOrd="0" presId="urn:microsoft.com/office/officeart/2005/8/layout/process4"/>
    <dgm:cxn modelId="{5B12983E-18E9-4EA2-B243-435D439D7DAB}" srcId="{6D182BDF-BAC2-4545-A52B-BE6B4A4B69C9}" destId="{FE90DDB2-2CBE-421F-96E2-E483F532C2E4}" srcOrd="3" destOrd="0" parTransId="{AF88648A-82F2-4C2A-B189-21AA002D776C}" sibTransId="{7500A7F0-DD90-4F86-8AE0-C87E91F3D94D}"/>
    <dgm:cxn modelId="{C163567D-EF96-4C00-BADB-25158F319391}" srcId="{6D182BDF-BAC2-4545-A52B-BE6B4A4B69C9}" destId="{8EE35E6E-AF63-4A73-84AE-8A8FD126054F}" srcOrd="1" destOrd="0" parTransId="{1D9B77E6-46A6-4AB6-9A81-750DD0889879}" sibTransId="{19E827C0-2326-4392-9233-392106DE7764}"/>
    <dgm:cxn modelId="{27FF715B-59A6-4C93-96C1-959CCA51F132}" srcId="{6D182BDF-BAC2-4545-A52B-BE6B4A4B69C9}" destId="{4042DA85-76C9-44E6-87FD-7B8DA5DDA783}" srcOrd="0" destOrd="0" parTransId="{F1BD4BA9-03F4-4A48-9D8E-3B0C848C04A2}" sibTransId="{41E31F6D-0B47-4F7A-9980-C57F6B25DDD0}"/>
    <dgm:cxn modelId="{37D6F0D7-7687-44BE-AF2C-7250BB6CC25C}" srcId="{6D182BDF-BAC2-4545-A52B-BE6B4A4B69C9}" destId="{D920C025-E460-465F-A3F9-7DB777C87DA9}" srcOrd="2" destOrd="0" parTransId="{D8DC0D16-6470-4249-B1EF-9BFE4F3B274C}" sibTransId="{F68A27F1-205B-4F5D-A49A-08FCFFA5E8BD}"/>
    <dgm:cxn modelId="{A02C8F7F-E623-4F3B-9A16-3292DD01A2B5}" type="presOf" srcId="{D920C025-E460-465F-A3F9-7DB777C87DA9}" destId="{4C0AC6E9-7F33-4384-B2A2-7A9ECBB10B68}" srcOrd="0" destOrd="0" presId="urn:microsoft.com/office/officeart/2005/8/layout/process4"/>
    <dgm:cxn modelId="{3ED0B993-D49E-4CA3-A888-DA05A06A118F}" type="presOf" srcId="{4042DA85-76C9-44E6-87FD-7B8DA5DDA783}" destId="{835473CA-4FC2-4C78-AD32-A6302BF3D492}" srcOrd="0" destOrd="0" presId="urn:microsoft.com/office/officeart/2005/8/layout/process4"/>
    <dgm:cxn modelId="{08E7D5F5-FA67-4D96-A916-E6A3CBD13A6F}" type="presOf" srcId="{8EE35E6E-AF63-4A73-84AE-8A8FD126054F}" destId="{667EA004-C9AE-4C3C-A6F9-465E2C405FA8}" srcOrd="0" destOrd="0" presId="urn:microsoft.com/office/officeart/2005/8/layout/process4"/>
    <dgm:cxn modelId="{8E34C0EC-2927-434A-B60F-3FC8B2FC256D}" type="presOf" srcId="{FE90DDB2-2CBE-421F-96E2-E483F532C2E4}" destId="{013F96C6-3E62-47EA-8AD8-4418930FD32C}" srcOrd="0" destOrd="0" presId="urn:microsoft.com/office/officeart/2005/8/layout/process4"/>
    <dgm:cxn modelId="{A0F3AA27-7B49-4C18-8DC3-3F38E43DD545}" type="presParOf" srcId="{531241B4-3F5A-4C80-8AC8-D618E9D3BC1F}" destId="{276140B4-FEA4-45FC-98B8-C9ED63684EE8}" srcOrd="0" destOrd="0" presId="urn:microsoft.com/office/officeart/2005/8/layout/process4"/>
    <dgm:cxn modelId="{F9CB3F0B-9C0F-41D8-B9B7-3B532301AA46}" type="presParOf" srcId="{276140B4-FEA4-45FC-98B8-C9ED63684EE8}" destId="{013F96C6-3E62-47EA-8AD8-4418930FD32C}" srcOrd="0" destOrd="0" presId="urn:microsoft.com/office/officeart/2005/8/layout/process4"/>
    <dgm:cxn modelId="{7B0D6B7F-A83A-4B6D-8570-03CB76406CE0}" type="presParOf" srcId="{531241B4-3F5A-4C80-8AC8-D618E9D3BC1F}" destId="{E56E8513-2608-434E-BB16-0E7AF2DA7894}" srcOrd="1" destOrd="0" presId="urn:microsoft.com/office/officeart/2005/8/layout/process4"/>
    <dgm:cxn modelId="{A5512AEF-3E25-4752-98F6-2DFEAEB5C88D}" type="presParOf" srcId="{531241B4-3F5A-4C80-8AC8-D618E9D3BC1F}" destId="{872DC6BE-21C6-43CA-9CCC-C4180A3EFCB8}" srcOrd="2" destOrd="0" presId="urn:microsoft.com/office/officeart/2005/8/layout/process4"/>
    <dgm:cxn modelId="{1F6CD563-FB9B-43B4-AED1-227A85BEAF7C}" type="presParOf" srcId="{872DC6BE-21C6-43CA-9CCC-C4180A3EFCB8}" destId="{4C0AC6E9-7F33-4384-B2A2-7A9ECBB10B68}" srcOrd="0" destOrd="0" presId="urn:microsoft.com/office/officeart/2005/8/layout/process4"/>
    <dgm:cxn modelId="{AD4EF33E-001B-4AD4-9C5F-625CB8061AE1}" type="presParOf" srcId="{531241B4-3F5A-4C80-8AC8-D618E9D3BC1F}" destId="{A57E1DA0-DDED-4185-B6B6-59D4DCD84964}" srcOrd="3" destOrd="0" presId="urn:microsoft.com/office/officeart/2005/8/layout/process4"/>
    <dgm:cxn modelId="{5F89B514-E00B-412C-9A72-ADE911515D53}" type="presParOf" srcId="{531241B4-3F5A-4C80-8AC8-D618E9D3BC1F}" destId="{BA46F5B2-670E-4955-BFB9-2E4BAEF1A58A}" srcOrd="4" destOrd="0" presId="urn:microsoft.com/office/officeart/2005/8/layout/process4"/>
    <dgm:cxn modelId="{2C512E83-42DC-4161-A114-0D39CEB44430}" type="presParOf" srcId="{BA46F5B2-670E-4955-BFB9-2E4BAEF1A58A}" destId="{667EA004-C9AE-4C3C-A6F9-465E2C405FA8}" srcOrd="0" destOrd="0" presId="urn:microsoft.com/office/officeart/2005/8/layout/process4"/>
    <dgm:cxn modelId="{E15E590E-8C0C-49BE-A893-455670285818}" type="presParOf" srcId="{531241B4-3F5A-4C80-8AC8-D618E9D3BC1F}" destId="{2284980D-FB4D-4721-AC74-FCC895695B32}" srcOrd="5" destOrd="0" presId="urn:microsoft.com/office/officeart/2005/8/layout/process4"/>
    <dgm:cxn modelId="{5F2389AE-A78F-4D64-9101-D9826033F474}" type="presParOf" srcId="{531241B4-3F5A-4C80-8AC8-D618E9D3BC1F}" destId="{6348289A-67BC-4C7D-B12E-F6619CC5E7B7}" srcOrd="6" destOrd="0" presId="urn:microsoft.com/office/officeart/2005/8/layout/process4"/>
    <dgm:cxn modelId="{830449EC-CCE5-422A-A611-4AC29752A05F}" type="presParOf" srcId="{6348289A-67BC-4C7D-B12E-F6619CC5E7B7}" destId="{835473CA-4FC2-4C78-AD32-A6302BF3D492}" srcOrd="0" destOrd="0" presId="urn:microsoft.com/office/officeart/2005/8/layout/process4"/>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41EE655-AF91-4DE9-99CB-323B6D45A477}" type="doc">
      <dgm:prSet loTypeId="urn:microsoft.com/office/officeart/2005/8/layout/hierarchy6" loCatId="hierarchy" qsTypeId="urn:microsoft.com/office/officeart/2005/8/quickstyle/simple3" qsCatId="simple" csTypeId="urn:microsoft.com/office/officeart/2005/8/colors/accent1_2" csCatId="accent1" phldr="1"/>
      <dgm:spPr/>
      <dgm:t>
        <a:bodyPr/>
        <a:lstStyle/>
        <a:p>
          <a:endParaRPr lang="en-US"/>
        </a:p>
      </dgm:t>
    </dgm:pt>
    <dgm:pt modelId="{E8B47E6B-B641-4C94-8CC9-5C971F2F3A09}">
      <dgm:prSet phldrT="[Text]" custT="1"/>
      <dgm:spPr/>
      <dgm:t>
        <a:bodyPr/>
        <a:lstStyle/>
        <a:p>
          <a:r>
            <a:rPr lang="en-US" sz="900"/>
            <a:t>Issues related to Strategic Debt Restructuring Scheme</a:t>
          </a:r>
        </a:p>
      </dgm:t>
    </dgm:pt>
    <dgm:pt modelId="{B5A6F939-82B3-4349-B9EC-80910CB2501A}" type="parTrans" cxnId="{F360D040-619D-4BFA-AD4A-084A8BC25088}">
      <dgm:prSet/>
      <dgm:spPr/>
      <dgm:t>
        <a:bodyPr/>
        <a:lstStyle/>
        <a:p>
          <a:endParaRPr lang="en-US"/>
        </a:p>
      </dgm:t>
    </dgm:pt>
    <dgm:pt modelId="{2905997B-EDDA-4488-97E3-E941A30BF020}" type="sibTrans" cxnId="{F360D040-619D-4BFA-AD4A-084A8BC25088}">
      <dgm:prSet/>
      <dgm:spPr/>
      <dgm:t>
        <a:bodyPr/>
        <a:lstStyle/>
        <a:p>
          <a:endParaRPr lang="en-US"/>
        </a:p>
      </dgm:t>
    </dgm:pt>
    <dgm:pt modelId="{196EEBE6-31D1-4469-81A0-F8D3E65E3E4E}">
      <dgm:prSet phldrT="[Text]" custT="1"/>
      <dgm:spPr/>
      <dgm:t>
        <a:bodyPr/>
        <a:lstStyle/>
        <a:p>
          <a:r>
            <a:rPr lang="en-US" sz="900"/>
            <a:t>Legal Issues </a:t>
          </a:r>
        </a:p>
        <a:p>
          <a:r>
            <a:rPr lang="en-US" sz="900"/>
            <a:t>Since a major portion of the SDR scheme depends on the discretion of the lenders, banks may be potentially making themselves vulnerable to litigation. Various groups like minority shareholders, promoters, rival companies etc may file multiple cases against the banks, which will be a major concern for the lenders.</a:t>
          </a:r>
        </a:p>
      </dgm:t>
    </dgm:pt>
    <dgm:pt modelId="{83DA6C5D-1E91-4124-AB41-46F301EA24D4}" type="parTrans" cxnId="{3044459D-9482-4850-A4EC-89FCB089EF75}">
      <dgm:prSet/>
      <dgm:spPr/>
      <dgm:t>
        <a:bodyPr/>
        <a:lstStyle/>
        <a:p>
          <a:endParaRPr lang="en-US"/>
        </a:p>
      </dgm:t>
    </dgm:pt>
    <dgm:pt modelId="{AED39F2D-6B72-40F8-9A28-9CF5F30DFB3C}" type="sibTrans" cxnId="{3044459D-9482-4850-A4EC-89FCB089EF75}">
      <dgm:prSet/>
      <dgm:spPr/>
      <dgm:t>
        <a:bodyPr/>
        <a:lstStyle/>
        <a:p>
          <a:endParaRPr lang="en-US"/>
        </a:p>
      </dgm:t>
    </dgm:pt>
    <dgm:pt modelId="{AF12E6C3-F61E-4331-928D-2156D716917F}">
      <dgm:prSet phldrT="[Text]" custT="1"/>
      <dgm:spPr/>
      <dgm:t>
        <a:bodyPr/>
        <a:lstStyle/>
        <a:p>
          <a:r>
            <a:rPr lang="en-US" sz="900"/>
            <a:t>Multiple Claimants </a:t>
          </a:r>
        </a:p>
        <a:p>
          <a:r>
            <a:rPr lang="en-US" sz="900"/>
            <a:t>In case there are more than one potential new owners with comparable track records and competent management teams, it will be difficult for banks to choose one over the other. Further, as stated earlier, the final selection will leave a lot of room for aggrieved parties to take the lenders to court.</a:t>
          </a:r>
        </a:p>
      </dgm:t>
    </dgm:pt>
    <dgm:pt modelId="{EC2ACC91-85D0-4BD6-A841-729CF14A7794}" type="parTrans" cxnId="{2F5A9117-0E20-4471-A5A7-C9A311836301}">
      <dgm:prSet/>
      <dgm:spPr/>
      <dgm:t>
        <a:bodyPr/>
        <a:lstStyle/>
        <a:p>
          <a:endParaRPr lang="en-US"/>
        </a:p>
      </dgm:t>
    </dgm:pt>
    <dgm:pt modelId="{5DA22C64-5AD9-42AD-B6C4-33B4E2DEC0C8}" type="sibTrans" cxnId="{2F5A9117-0E20-4471-A5A7-C9A311836301}">
      <dgm:prSet/>
      <dgm:spPr/>
      <dgm:t>
        <a:bodyPr/>
        <a:lstStyle/>
        <a:p>
          <a:endParaRPr lang="en-US"/>
        </a:p>
      </dgm:t>
    </dgm:pt>
    <dgm:pt modelId="{C2686EA4-256C-4BDC-8EB7-B563340E612F}">
      <dgm:prSet custT="1"/>
      <dgm:spPr/>
      <dgm:t>
        <a:bodyPr/>
        <a:lstStyle/>
        <a:p>
          <a:r>
            <a:rPr lang="en-US" sz="900"/>
            <a:t>Structural Issues</a:t>
          </a:r>
        </a:p>
        <a:p>
          <a:r>
            <a:rPr lang="en-US" sz="900"/>
            <a:t> Many accounts run into problems not because of inefficient managements but due to structural problems like weak demand, cheap imports, overcapacity etc. In such cases, effecting a management change is not likely to substantially improve the troubled company's performance</a:t>
          </a:r>
        </a:p>
      </dgm:t>
    </dgm:pt>
    <dgm:pt modelId="{ABE0CD94-18F7-4ECB-A064-59A5923DC410}" type="parTrans" cxnId="{A3E46829-56E3-4930-822B-9314481EBAAB}">
      <dgm:prSet/>
      <dgm:spPr/>
      <dgm:t>
        <a:bodyPr/>
        <a:lstStyle/>
        <a:p>
          <a:endParaRPr lang="en-US"/>
        </a:p>
      </dgm:t>
    </dgm:pt>
    <dgm:pt modelId="{0DE780F7-C1C9-48E7-A44D-6964004B3AC8}" type="sibTrans" cxnId="{A3E46829-56E3-4930-822B-9314481EBAAB}">
      <dgm:prSet/>
      <dgm:spPr/>
      <dgm:t>
        <a:bodyPr/>
        <a:lstStyle/>
        <a:p>
          <a:endParaRPr lang="en-US"/>
        </a:p>
      </dgm:t>
    </dgm:pt>
    <dgm:pt modelId="{9496C5F4-1787-486D-BAB8-6D4D0E42B3E2}" type="pres">
      <dgm:prSet presAssocID="{E41EE655-AF91-4DE9-99CB-323B6D45A477}" presName="mainComposite" presStyleCnt="0">
        <dgm:presLayoutVars>
          <dgm:chPref val="1"/>
          <dgm:dir/>
          <dgm:animOne val="branch"/>
          <dgm:animLvl val="lvl"/>
          <dgm:resizeHandles val="exact"/>
        </dgm:presLayoutVars>
      </dgm:prSet>
      <dgm:spPr/>
      <dgm:t>
        <a:bodyPr/>
        <a:lstStyle/>
        <a:p>
          <a:endParaRPr lang="en-US"/>
        </a:p>
      </dgm:t>
    </dgm:pt>
    <dgm:pt modelId="{27E76603-642E-487A-A302-BBDA5FD5A00A}" type="pres">
      <dgm:prSet presAssocID="{E41EE655-AF91-4DE9-99CB-323B6D45A477}" presName="hierFlow" presStyleCnt="0"/>
      <dgm:spPr/>
    </dgm:pt>
    <dgm:pt modelId="{9494BB48-A8C0-4593-B3C0-9175491FEEE5}" type="pres">
      <dgm:prSet presAssocID="{E41EE655-AF91-4DE9-99CB-323B6D45A477}" presName="hierChild1" presStyleCnt="0">
        <dgm:presLayoutVars>
          <dgm:chPref val="1"/>
          <dgm:animOne val="branch"/>
          <dgm:animLvl val="lvl"/>
        </dgm:presLayoutVars>
      </dgm:prSet>
      <dgm:spPr/>
    </dgm:pt>
    <dgm:pt modelId="{EB2A9640-D37F-47F9-89E5-2B65E38EBBE6}" type="pres">
      <dgm:prSet presAssocID="{E8B47E6B-B641-4C94-8CC9-5C971F2F3A09}" presName="Name14" presStyleCnt="0"/>
      <dgm:spPr/>
    </dgm:pt>
    <dgm:pt modelId="{76948FF4-EC68-4F5E-AD89-F03D70F65B41}" type="pres">
      <dgm:prSet presAssocID="{E8B47E6B-B641-4C94-8CC9-5C971F2F3A09}" presName="level1Shape" presStyleLbl="node0" presStyleIdx="0" presStyleCnt="1" custScaleY="58140">
        <dgm:presLayoutVars>
          <dgm:chPref val="3"/>
        </dgm:presLayoutVars>
      </dgm:prSet>
      <dgm:spPr/>
      <dgm:t>
        <a:bodyPr/>
        <a:lstStyle/>
        <a:p>
          <a:endParaRPr lang="en-US"/>
        </a:p>
      </dgm:t>
    </dgm:pt>
    <dgm:pt modelId="{E448B175-8565-4B3B-B407-001F14BCB0F5}" type="pres">
      <dgm:prSet presAssocID="{E8B47E6B-B641-4C94-8CC9-5C971F2F3A09}" presName="hierChild2" presStyleCnt="0"/>
      <dgm:spPr/>
    </dgm:pt>
    <dgm:pt modelId="{AA3BAA16-733C-4D12-BEF9-0004934E5334}" type="pres">
      <dgm:prSet presAssocID="{83DA6C5D-1E91-4124-AB41-46F301EA24D4}" presName="Name19" presStyleLbl="parChTrans1D2" presStyleIdx="0" presStyleCnt="3"/>
      <dgm:spPr/>
      <dgm:t>
        <a:bodyPr/>
        <a:lstStyle/>
        <a:p>
          <a:endParaRPr lang="en-US"/>
        </a:p>
      </dgm:t>
    </dgm:pt>
    <dgm:pt modelId="{EA037B7F-CFC9-4357-AE13-F33965C0AB77}" type="pres">
      <dgm:prSet presAssocID="{196EEBE6-31D1-4469-81A0-F8D3E65E3E4E}" presName="Name21" presStyleCnt="0"/>
      <dgm:spPr/>
    </dgm:pt>
    <dgm:pt modelId="{5688B347-07C6-4626-8430-F7B84BAD3095}" type="pres">
      <dgm:prSet presAssocID="{196EEBE6-31D1-4469-81A0-F8D3E65E3E4E}" presName="level2Shape" presStyleLbl="node2" presStyleIdx="0" presStyleCnt="3" custScaleX="141961" custScaleY="247527"/>
      <dgm:spPr/>
      <dgm:t>
        <a:bodyPr/>
        <a:lstStyle/>
        <a:p>
          <a:endParaRPr lang="en-US"/>
        </a:p>
      </dgm:t>
    </dgm:pt>
    <dgm:pt modelId="{785ECD99-A416-4A82-9DBF-AC25DEBD6D78}" type="pres">
      <dgm:prSet presAssocID="{196EEBE6-31D1-4469-81A0-F8D3E65E3E4E}" presName="hierChild3" presStyleCnt="0"/>
      <dgm:spPr/>
    </dgm:pt>
    <dgm:pt modelId="{B02B0253-4FE5-4932-A0FA-42F96E38FC7C}" type="pres">
      <dgm:prSet presAssocID="{EC2ACC91-85D0-4BD6-A841-729CF14A7794}" presName="Name19" presStyleLbl="parChTrans1D2" presStyleIdx="1" presStyleCnt="3"/>
      <dgm:spPr/>
      <dgm:t>
        <a:bodyPr/>
        <a:lstStyle/>
        <a:p>
          <a:endParaRPr lang="en-US"/>
        </a:p>
      </dgm:t>
    </dgm:pt>
    <dgm:pt modelId="{61A83B02-4326-475B-9FE2-882308D1DFC7}" type="pres">
      <dgm:prSet presAssocID="{AF12E6C3-F61E-4331-928D-2156D716917F}" presName="Name21" presStyleCnt="0"/>
      <dgm:spPr/>
    </dgm:pt>
    <dgm:pt modelId="{182534E3-0CE0-4161-8F8B-61EEE938B09C}" type="pres">
      <dgm:prSet presAssocID="{AF12E6C3-F61E-4331-928D-2156D716917F}" presName="level2Shape" presStyleLbl="node2" presStyleIdx="1" presStyleCnt="3" custScaleX="130306" custScaleY="251953"/>
      <dgm:spPr/>
      <dgm:t>
        <a:bodyPr/>
        <a:lstStyle/>
        <a:p>
          <a:endParaRPr lang="en-US"/>
        </a:p>
      </dgm:t>
    </dgm:pt>
    <dgm:pt modelId="{0FDF9A86-F0DA-426A-A361-49980E6D88A2}" type="pres">
      <dgm:prSet presAssocID="{AF12E6C3-F61E-4331-928D-2156D716917F}" presName="hierChild3" presStyleCnt="0"/>
      <dgm:spPr/>
    </dgm:pt>
    <dgm:pt modelId="{6A6A992B-93CD-4CC9-B95A-3BA20DD72549}" type="pres">
      <dgm:prSet presAssocID="{ABE0CD94-18F7-4ECB-A064-59A5923DC410}" presName="Name19" presStyleLbl="parChTrans1D2" presStyleIdx="2" presStyleCnt="3"/>
      <dgm:spPr/>
      <dgm:t>
        <a:bodyPr/>
        <a:lstStyle/>
        <a:p>
          <a:endParaRPr lang="en-US"/>
        </a:p>
      </dgm:t>
    </dgm:pt>
    <dgm:pt modelId="{64D8DAC1-1EBE-4D6D-A74C-2223A331989C}" type="pres">
      <dgm:prSet presAssocID="{C2686EA4-256C-4BDC-8EB7-B563340E612F}" presName="Name21" presStyleCnt="0"/>
      <dgm:spPr/>
    </dgm:pt>
    <dgm:pt modelId="{D88482A2-09B8-438F-8AAF-C7CB2A652029}" type="pres">
      <dgm:prSet presAssocID="{C2686EA4-256C-4BDC-8EB7-B563340E612F}" presName="level2Shape" presStyleLbl="node2" presStyleIdx="2" presStyleCnt="3" custScaleX="136788" custScaleY="239365"/>
      <dgm:spPr/>
      <dgm:t>
        <a:bodyPr/>
        <a:lstStyle/>
        <a:p>
          <a:endParaRPr lang="en-US"/>
        </a:p>
      </dgm:t>
    </dgm:pt>
    <dgm:pt modelId="{EA6F148A-3FA6-4085-8B9F-DF7B84EA6A53}" type="pres">
      <dgm:prSet presAssocID="{C2686EA4-256C-4BDC-8EB7-B563340E612F}" presName="hierChild3" presStyleCnt="0"/>
      <dgm:spPr/>
    </dgm:pt>
    <dgm:pt modelId="{02FDE1F2-4ECD-4057-AD63-E85A0CBB6E97}" type="pres">
      <dgm:prSet presAssocID="{E41EE655-AF91-4DE9-99CB-323B6D45A477}" presName="bgShapesFlow" presStyleCnt="0"/>
      <dgm:spPr/>
    </dgm:pt>
  </dgm:ptLst>
  <dgm:cxnLst>
    <dgm:cxn modelId="{A3E46829-56E3-4930-822B-9314481EBAAB}" srcId="{E8B47E6B-B641-4C94-8CC9-5C971F2F3A09}" destId="{C2686EA4-256C-4BDC-8EB7-B563340E612F}" srcOrd="2" destOrd="0" parTransId="{ABE0CD94-18F7-4ECB-A064-59A5923DC410}" sibTransId="{0DE780F7-C1C9-48E7-A44D-6964004B3AC8}"/>
    <dgm:cxn modelId="{56C80571-CAD3-4351-B1A4-976EB687E2F3}" type="presOf" srcId="{AF12E6C3-F61E-4331-928D-2156D716917F}" destId="{182534E3-0CE0-4161-8F8B-61EEE938B09C}" srcOrd="0" destOrd="0" presId="urn:microsoft.com/office/officeart/2005/8/layout/hierarchy6"/>
    <dgm:cxn modelId="{EF6CCDDE-7FB0-42B7-9B89-912B76ADD076}" type="presOf" srcId="{EC2ACC91-85D0-4BD6-A841-729CF14A7794}" destId="{B02B0253-4FE5-4932-A0FA-42F96E38FC7C}" srcOrd="0" destOrd="0" presId="urn:microsoft.com/office/officeart/2005/8/layout/hierarchy6"/>
    <dgm:cxn modelId="{5B7C1E82-69A6-4C03-BBAE-6C8B5D144A0B}" type="presOf" srcId="{C2686EA4-256C-4BDC-8EB7-B563340E612F}" destId="{D88482A2-09B8-438F-8AAF-C7CB2A652029}" srcOrd="0" destOrd="0" presId="urn:microsoft.com/office/officeart/2005/8/layout/hierarchy6"/>
    <dgm:cxn modelId="{2F5A9117-0E20-4471-A5A7-C9A311836301}" srcId="{E8B47E6B-B641-4C94-8CC9-5C971F2F3A09}" destId="{AF12E6C3-F61E-4331-928D-2156D716917F}" srcOrd="1" destOrd="0" parTransId="{EC2ACC91-85D0-4BD6-A841-729CF14A7794}" sibTransId="{5DA22C64-5AD9-42AD-B6C4-33B4E2DEC0C8}"/>
    <dgm:cxn modelId="{F360D040-619D-4BFA-AD4A-084A8BC25088}" srcId="{E41EE655-AF91-4DE9-99CB-323B6D45A477}" destId="{E8B47E6B-B641-4C94-8CC9-5C971F2F3A09}" srcOrd="0" destOrd="0" parTransId="{B5A6F939-82B3-4349-B9EC-80910CB2501A}" sibTransId="{2905997B-EDDA-4488-97E3-E941A30BF020}"/>
    <dgm:cxn modelId="{F2AF4BA7-3A11-41FD-B01E-3C3BFFC6551C}" type="presOf" srcId="{196EEBE6-31D1-4469-81A0-F8D3E65E3E4E}" destId="{5688B347-07C6-4626-8430-F7B84BAD3095}" srcOrd="0" destOrd="0" presId="urn:microsoft.com/office/officeart/2005/8/layout/hierarchy6"/>
    <dgm:cxn modelId="{3C719D48-DDFB-4CCD-B0F1-2A8E0AE1F4A8}" type="presOf" srcId="{E41EE655-AF91-4DE9-99CB-323B6D45A477}" destId="{9496C5F4-1787-486D-BAB8-6D4D0E42B3E2}" srcOrd="0" destOrd="0" presId="urn:microsoft.com/office/officeart/2005/8/layout/hierarchy6"/>
    <dgm:cxn modelId="{6F818F84-5BCA-47EF-94D9-1B724771D8EE}" type="presOf" srcId="{E8B47E6B-B641-4C94-8CC9-5C971F2F3A09}" destId="{76948FF4-EC68-4F5E-AD89-F03D70F65B41}" srcOrd="0" destOrd="0" presId="urn:microsoft.com/office/officeart/2005/8/layout/hierarchy6"/>
    <dgm:cxn modelId="{CC1FB791-C39E-46E4-9068-3EEED2A63300}" type="presOf" srcId="{ABE0CD94-18F7-4ECB-A064-59A5923DC410}" destId="{6A6A992B-93CD-4CC9-B95A-3BA20DD72549}" srcOrd="0" destOrd="0" presId="urn:microsoft.com/office/officeart/2005/8/layout/hierarchy6"/>
    <dgm:cxn modelId="{3044459D-9482-4850-A4EC-89FCB089EF75}" srcId="{E8B47E6B-B641-4C94-8CC9-5C971F2F3A09}" destId="{196EEBE6-31D1-4469-81A0-F8D3E65E3E4E}" srcOrd="0" destOrd="0" parTransId="{83DA6C5D-1E91-4124-AB41-46F301EA24D4}" sibTransId="{AED39F2D-6B72-40F8-9A28-9CF5F30DFB3C}"/>
    <dgm:cxn modelId="{EDF6AC02-BCC7-4EF9-B6E5-30E24812E268}" type="presOf" srcId="{83DA6C5D-1E91-4124-AB41-46F301EA24D4}" destId="{AA3BAA16-733C-4D12-BEF9-0004934E5334}" srcOrd="0" destOrd="0" presId="urn:microsoft.com/office/officeart/2005/8/layout/hierarchy6"/>
    <dgm:cxn modelId="{07331125-6E7B-4886-A80D-B69C31061DD0}" type="presParOf" srcId="{9496C5F4-1787-486D-BAB8-6D4D0E42B3E2}" destId="{27E76603-642E-487A-A302-BBDA5FD5A00A}" srcOrd="0" destOrd="0" presId="urn:microsoft.com/office/officeart/2005/8/layout/hierarchy6"/>
    <dgm:cxn modelId="{709D5C64-5492-422C-B8D5-CCE03DC72329}" type="presParOf" srcId="{27E76603-642E-487A-A302-BBDA5FD5A00A}" destId="{9494BB48-A8C0-4593-B3C0-9175491FEEE5}" srcOrd="0" destOrd="0" presId="urn:microsoft.com/office/officeart/2005/8/layout/hierarchy6"/>
    <dgm:cxn modelId="{C6BADA25-D166-4A0B-B38C-C65AE9B742D2}" type="presParOf" srcId="{9494BB48-A8C0-4593-B3C0-9175491FEEE5}" destId="{EB2A9640-D37F-47F9-89E5-2B65E38EBBE6}" srcOrd="0" destOrd="0" presId="urn:microsoft.com/office/officeart/2005/8/layout/hierarchy6"/>
    <dgm:cxn modelId="{0AAD0D02-2B66-4CDF-A436-D1744C57F91B}" type="presParOf" srcId="{EB2A9640-D37F-47F9-89E5-2B65E38EBBE6}" destId="{76948FF4-EC68-4F5E-AD89-F03D70F65B41}" srcOrd="0" destOrd="0" presId="urn:microsoft.com/office/officeart/2005/8/layout/hierarchy6"/>
    <dgm:cxn modelId="{FAABF799-4FBB-4501-8B03-8B11221B7F9D}" type="presParOf" srcId="{EB2A9640-D37F-47F9-89E5-2B65E38EBBE6}" destId="{E448B175-8565-4B3B-B407-001F14BCB0F5}" srcOrd="1" destOrd="0" presId="urn:microsoft.com/office/officeart/2005/8/layout/hierarchy6"/>
    <dgm:cxn modelId="{60D3D0FF-8DAC-499D-A3DE-7A7F121765E5}" type="presParOf" srcId="{E448B175-8565-4B3B-B407-001F14BCB0F5}" destId="{AA3BAA16-733C-4D12-BEF9-0004934E5334}" srcOrd="0" destOrd="0" presId="urn:microsoft.com/office/officeart/2005/8/layout/hierarchy6"/>
    <dgm:cxn modelId="{35CB0EF0-4997-4B8C-9B07-8292A472090A}" type="presParOf" srcId="{E448B175-8565-4B3B-B407-001F14BCB0F5}" destId="{EA037B7F-CFC9-4357-AE13-F33965C0AB77}" srcOrd="1" destOrd="0" presId="urn:microsoft.com/office/officeart/2005/8/layout/hierarchy6"/>
    <dgm:cxn modelId="{40559C38-362B-4B6A-BA73-DE9FA872DEE6}" type="presParOf" srcId="{EA037B7F-CFC9-4357-AE13-F33965C0AB77}" destId="{5688B347-07C6-4626-8430-F7B84BAD3095}" srcOrd="0" destOrd="0" presId="urn:microsoft.com/office/officeart/2005/8/layout/hierarchy6"/>
    <dgm:cxn modelId="{1385CA06-4E43-4F68-8DF4-8A2E7EBA98AA}" type="presParOf" srcId="{EA037B7F-CFC9-4357-AE13-F33965C0AB77}" destId="{785ECD99-A416-4A82-9DBF-AC25DEBD6D78}" srcOrd="1" destOrd="0" presId="urn:microsoft.com/office/officeart/2005/8/layout/hierarchy6"/>
    <dgm:cxn modelId="{E24277AF-9C07-4612-9906-2F5E2E173D9B}" type="presParOf" srcId="{E448B175-8565-4B3B-B407-001F14BCB0F5}" destId="{B02B0253-4FE5-4932-A0FA-42F96E38FC7C}" srcOrd="2" destOrd="0" presId="urn:microsoft.com/office/officeart/2005/8/layout/hierarchy6"/>
    <dgm:cxn modelId="{46AAE308-07F0-42D8-ADD0-5ABC289B3B62}" type="presParOf" srcId="{E448B175-8565-4B3B-B407-001F14BCB0F5}" destId="{61A83B02-4326-475B-9FE2-882308D1DFC7}" srcOrd="3" destOrd="0" presId="urn:microsoft.com/office/officeart/2005/8/layout/hierarchy6"/>
    <dgm:cxn modelId="{7D35F0B0-D0A1-4BF8-8E00-0BAFF6A4B9B4}" type="presParOf" srcId="{61A83B02-4326-475B-9FE2-882308D1DFC7}" destId="{182534E3-0CE0-4161-8F8B-61EEE938B09C}" srcOrd="0" destOrd="0" presId="urn:microsoft.com/office/officeart/2005/8/layout/hierarchy6"/>
    <dgm:cxn modelId="{4A3E688B-5A07-40A5-89A7-E25A410D477D}" type="presParOf" srcId="{61A83B02-4326-475B-9FE2-882308D1DFC7}" destId="{0FDF9A86-F0DA-426A-A361-49980E6D88A2}" srcOrd="1" destOrd="0" presId="urn:microsoft.com/office/officeart/2005/8/layout/hierarchy6"/>
    <dgm:cxn modelId="{D1FEEEC8-4B7E-4FDC-90B8-668C52F40FEA}" type="presParOf" srcId="{E448B175-8565-4B3B-B407-001F14BCB0F5}" destId="{6A6A992B-93CD-4CC9-B95A-3BA20DD72549}" srcOrd="4" destOrd="0" presId="urn:microsoft.com/office/officeart/2005/8/layout/hierarchy6"/>
    <dgm:cxn modelId="{FCF5A37E-833E-463F-902F-9E3DA17FEEB7}" type="presParOf" srcId="{E448B175-8565-4B3B-B407-001F14BCB0F5}" destId="{64D8DAC1-1EBE-4D6D-A74C-2223A331989C}" srcOrd="5" destOrd="0" presId="urn:microsoft.com/office/officeart/2005/8/layout/hierarchy6"/>
    <dgm:cxn modelId="{9E769C4D-4592-4C54-B7AC-7138813BFC12}" type="presParOf" srcId="{64D8DAC1-1EBE-4D6D-A74C-2223A331989C}" destId="{D88482A2-09B8-438F-8AAF-C7CB2A652029}" srcOrd="0" destOrd="0" presId="urn:microsoft.com/office/officeart/2005/8/layout/hierarchy6"/>
    <dgm:cxn modelId="{4FC9D1BA-CAA7-4B37-8783-A38EFFE1775B}" type="presParOf" srcId="{64D8DAC1-1EBE-4D6D-A74C-2223A331989C}" destId="{EA6F148A-3FA6-4085-8B9F-DF7B84EA6A53}" srcOrd="1" destOrd="0" presId="urn:microsoft.com/office/officeart/2005/8/layout/hierarchy6"/>
    <dgm:cxn modelId="{62DE8640-1B37-4E75-9D12-A79B69525209}" type="presParOf" srcId="{9496C5F4-1787-486D-BAB8-6D4D0E42B3E2}" destId="{02FDE1F2-4ECD-4057-AD63-E85A0CBB6E97}" srcOrd="1" destOrd="0" presId="urn:microsoft.com/office/officeart/2005/8/layout/hierarchy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3F96C6-3E62-47EA-8AD8-4418930FD32C}">
      <dsp:nvSpPr>
        <dsp:cNvPr id="0" name=""/>
        <dsp:cNvSpPr/>
      </dsp:nvSpPr>
      <dsp:spPr>
        <a:xfrm>
          <a:off x="0" y="1379728"/>
          <a:ext cx="5779698" cy="301850"/>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t>A decision has to be taken by the lenders within 30 days of the review of the account.</a:t>
          </a:r>
        </a:p>
      </dsp:txBody>
      <dsp:txXfrm>
        <a:off x="0" y="1379728"/>
        <a:ext cx="5779698" cy="301850"/>
      </dsp:txXfrm>
    </dsp:sp>
    <dsp:sp modelId="{4C0AC6E9-7F33-4384-B2A2-7A9ECBB10B68}">
      <dsp:nvSpPr>
        <dsp:cNvPr id="0" name=""/>
        <dsp:cNvSpPr/>
      </dsp:nvSpPr>
      <dsp:spPr>
        <a:xfrm rot="10800000">
          <a:off x="0" y="920009"/>
          <a:ext cx="5779698" cy="464246"/>
        </a:xfrm>
        <a:prstGeom prst="upArrowCallou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t>Consent of at least 75% of creditors by value and 60% of creditors by number.</a:t>
          </a:r>
        </a:p>
      </dsp:txBody>
      <dsp:txXfrm rot="10800000">
        <a:off x="0" y="920009"/>
        <a:ext cx="5779698" cy="301653"/>
      </dsp:txXfrm>
    </dsp:sp>
    <dsp:sp modelId="{667EA004-C9AE-4C3C-A6F9-465E2C405FA8}">
      <dsp:nvSpPr>
        <dsp:cNvPr id="0" name=""/>
        <dsp:cNvSpPr/>
      </dsp:nvSpPr>
      <dsp:spPr>
        <a:xfrm rot="10800000">
          <a:off x="0" y="460290"/>
          <a:ext cx="5779698" cy="464246"/>
        </a:xfrm>
        <a:prstGeom prst="upArrowCallou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t>Banks decide whether the entire loan or a part of it can be converted into equity</a:t>
          </a:r>
        </a:p>
      </dsp:txBody>
      <dsp:txXfrm rot="10800000">
        <a:off x="0" y="460290"/>
        <a:ext cx="5779698" cy="301653"/>
      </dsp:txXfrm>
    </dsp:sp>
    <dsp:sp modelId="{835473CA-4FC2-4C78-AD32-A6302BF3D492}">
      <dsp:nvSpPr>
        <dsp:cNvPr id="0" name=""/>
        <dsp:cNvSpPr/>
      </dsp:nvSpPr>
      <dsp:spPr>
        <a:xfrm rot="10800000">
          <a:off x="0" y="571"/>
          <a:ext cx="5779698" cy="464246"/>
        </a:xfrm>
        <a:prstGeom prst="upArrowCallou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t>Joint lender’s forum meet to discuss recovery plans</a:t>
          </a:r>
        </a:p>
      </dsp:txBody>
      <dsp:txXfrm rot="10800000">
        <a:off x="0" y="571"/>
        <a:ext cx="5779698" cy="30165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948FF4-EC68-4F5E-AD89-F03D70F65B41}">
      <dsp:nvSpPr>
        <dsp:cNvPr id="0" name=""/>
        <dsp:cNvSpPr/>
      </dsp:nvSpPr>
      <dsp:spPr>
        <a:xfrm>
          <a:off x="2158528" y="235604"/>
          <a:ext cx="1169342" cy="453237"/>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Issues related to Strategic Debt Restructuring Scheme</a:t>
          </a:r>
        </a:p>
      </dsp:txBody>
      <dsp:txXfrm>
        <a:off x="2171803" y="248879"/>
        <a:ext cx="1142792" cy="426687"/>
      </dsp:txXfrm>
    </dsp:sp>
    <dsp:sp modelId="{AA3BAA16-733C-4D12-BEF9-0004934E5334}">
      <dsp:nvSpPr>
        <dsp:cNvPr id="0" name=""/>
        <dsp:cNvSpPr/>
      </dsp:nvSpPr>
      <dsp:spPr>
        <a:xfrm>
          <a:off x="830775" y="688841"/>
          <a:ext cx="1912424" cy="311824"/>
        </a:xfrm>
        <a:custGeom>
          <a:avLst/>
          <a:gdLst/>
          <a:ahLst/>
          <a:cxnLst/>
          <a:rect l="0" t="0" r="0" b="0"/>
          <a:pathLst>
            <a:path>
              <a:moveTo>
                <a:pt x="1912424" y="0"/>
              </a:moveTo>
              <a:lnTo>
                <a:pt x="1912424" y="155912"/>
              </a:lnTo>
              <a:lnTo>
                <a:pt x="0" y="155912"/>
              </a:lnTo>
              <a:lnTo>
                <a:pt x="0" y="31182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88B347-07C6-4626-8430-F7B84BAD3095}">
      <dsp:nvSpPr>
        <dsp:cNvPr id="0" name=""/>
        <dsp:cNvSpPr/>
      </dsp:nvSpPr>
      <dsp:spPr>
        <a:xfrm>
          <a:off x="770" y="1000666"/>
          <a:ext cx="1660010" cy="1929625"/>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Legal Issues </a:t>
          </a:r>
        </a:p>
        <a:p>
          <a:pPr lvl="0" algn="ctr" defTabSz="400050">
            <a:lnSpc>
              <a:spcPct val="90000"/>
            </a:lnSpc>
            <a:spcBef>
              <a:spcPct val="0"/>
            </a:spcBef>
            <a:spcAft>
              <a:spcPct val="35000"/>
            </a:spcAft>
          </a:pPr>
          <a:r>
            <a:rPr lang="en-US" sz="900" kern="1200"/>
            <a:t>Since a major portion of the SDR scheme depends on the discretion of the lenders, banks may be potentially making themselves vulnerable to litigation. Various groups like minority shareholders, promoters, rival companies etc may file multiple cases against the banks, which will be a major concern for the lenders.</a:t>
          </a:r>
        </a:p>
      </dsp:txBody>
      <dsp:txXfrm>
        <a:off x="49390" y="1049286"/>
        <a:ext cx="1562770" cy="1832385"/>
      </dsp:txXfrm>
    </dsp:sp>
    <dsp:sp modelId="{B02B0253-4FE5-4932-A0FA-42F96E38FC7C}">
      <dsp:nvSpPr>
        <dsp:cNvPr id="0" name=""/>
        <dsp:cNvSpPr/>
      </dsp:nvSpPr>
      <dsp:spPr>
        <a:xfrm>
          <a:off x="2697480" y="688841"/>
          <a:ext cx="91440" cy="311824"/>
        </a:xfrm>
        <a:custGeom>
          <a:avLst/>
          <a:gdLst/>
          <a:ahLst/>
          <a:cxnLst/>
          <a:rect l="0" t="0" r="0" b="0"/>
          <a:pathLst>
            <a:path>
              <a:moveTo>
                <a:pt x="45720" y="0"/>
              </a:moveTo>
              <a:lnTo>
                <a:pt x="45720" y="155912"/>
              </a:lnTo>
              <a:lnTo>
                <a:pt x="75965" y="155912"/>
              </a:lnTo>
              <a:lnTo>
                <a:pt x="75965" y="31182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82534E3-0CE0-4161-8F8B-61EEE938B09C}">
      <dsp:nvSpPr>
        <dsp:cNvPr id="0" name=""/>
        <dsp:cNvSpPr/>
      </dsp:nvSpPr>
      <dsp:spPr>
        <a:xfrm>
          <a:off x="2011583" y="1000666"/>
          <a:ext cx="1523723" cy="196412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Multiple Claimants </a:t>
          </a:r>
        </a:p>
        <a:p>
          <a:pPr lvl="0" algn="ctr" defTabSz="400050">
            <a:lnSpc>
              <a:spcPct val="90000"/>
            </a:lnSpc>
            <a:spcBef>
              <a:spcPct val="0"/>
            </a:spcBef>
            <a:spcAft>
              <a:spcPct val="35000"/>
            </a:spcAft>
          </a:pPr>
          <a:r>
            <a:rPr lang="en-US" sz="900" kern="1200"/>
            <a:t>In case there are more than one potential new owners with comparable track records and competent management teams, it will be difficult for banks to choose one over the other. Further, as stated earlier, the final selection will leave a lot of room for aggrieved parties to take the lenders to court.</a:t>
          </a:r>
        </a:p>
      </dsp:txBody>
      <dsp:txXfrm>
        <a:off x="2056211" y="1045294"/>
        <a:ext cx="1434467" cy="1874873"/>
      </dsp:txXfrm>
    </dsp:sp>
    <dsp:sp modelId="{6A6A992B-93CD-4CC9-B95A-3BA20DD72549}">
      <dsp:nvSpPr>
        <dsp:cNvPr id="0" name=""/>
        <dsp:cNvSpPr/>
      </dsp:nvSpPr>
      <dsp:spPr>
        <a:xfrm>
          <a:off x="2743200" y="688841"/>
          <a:ext cx="1942669" cy="311824"/>
        </a:xfrm>
        <a:custGeom>
          <a:avLst/>
          <a:gdLst/>
          <a:ahLst/>
          <a:cxnLst/>
          <a:rect l="0" t="0" r="0" b="0"/>
          <a:pathLst>
            <a:path>
              <a:moveTo>
                <a:pt x="0" y="0"/>
              </a:moveTo>
              <a:lnTo>
                <a:pt x="0" y="155912"/>
              </a:lnTo>
              <a:lnTo>
                <a:pt x="1942669" y="155912"/>
              </a:lnTo>
              <a:lnTo>
                <a:pt x="1942669" y="31182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88482A2-09B8-438F-8AAF-C7CB2A652029}">
      <dsp:nvSpPr>
        <dsp:cNvPr id="0" name=""/>
        <dsp:cNvSpPr/>
      </dsp:nvSpPr>
      <dsp:spPr>
        <a:xfrm>
          <a:off x="3886109" y="1000666"/>
          <a:ext cx="1599520" cy="1865997"/>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Structural Issues</a:t>
          </a:r>
        </a:p>
        <a:p>
          <a:pPr lvl="0" algn="ctr" defTabSz="400050">
            <a:lnSpc>
              <a:spcPct val="90000"/>
            </a:lnSpc>
            <a:spcBef>
              <a:spcPct val="0"/>
            </a:spcBef>
            <a:spcAft>
              <a:spcPct val="35000"/>
            </a:spcAft>
          </a:pPr>
          <a:r>
            <a:rPr lang="en-US" sz="900" kern="1200"/>
            <a:t> Many accounts run into problems not because of inefficient managements but due to structural problems like weak demand, cheap imports, overcapacity etc. In such cases, effecting a management change is not likely to substantially improve the troubled company's performance</a:t>
          </a:r>
        </a:p>
      </dsp:txBody>
      <dsp:txXfrm>
        <a:off x="3932957" y="1047514"/>
        <a:ext cx="1505824" cy="177230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50767-5BBA-4190-BA80-3392247C0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1458</Words>
  <Characters>8315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Rakesh khanna</dc:creator>
  <cp:lastModifiedBy>Rakesh khanna</cp:lastModifiedBy>
  <cp:revision>4</cp:revision>
  <cp:lastPrinted>2016-01-05T07:41:00Z</cp:lastPrinted>
  <dcterms:created xsi:type="dcterms:W3CDTF">2016-01-05T07:42:00Z</dcterms:created>
  <dcterms:modified xsi:type="dcterms:W3CDTF">2016-01-06T07:02:00Z</dcterms:modified>
</cp:coreProperties>
</file>