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788" w:rsidRPr="00706BA7" w:rsidRDefault="00CC1788" w:rsidP="00240123">
      <w:pPr>
        <w:shd w:val="clear" w:color="auto" w:fill="C2D69B" w:themeFill="accent3" w:themeFillTint="99"/>
        <w:spacing w:after="0"/>
        <w:jc w:val="center"/>
        <w:rPr>
          <w:rFonts w:ascii="Book Antiqua" w:eastAsia="Times New Roman" w:hAnsi="Book Antiqua" w:cs="Arial"/>
          <w:b/>
          <w:bCs/>
          <w:color w:val="333333"/>
          <w:sz w:val="28"/>
          <w:szCs w:val="28"/>
          <w:u w:val="single"/>
        </w:rPr>
      </w:pPr>
      <w:r w:rsidRPr="00706BA7">
        <w:rPr>
          <w:rFonts w:ascii="Book Antiqua" w:eastAsia="Times New Roman" w:hAnsi="Book Antiqua" w:cs="Arial"/>
          <w:b/>
          <w:bCs/>
          <w:color w:val="333333"/>
          <w:sz w:val="28"/>
          <w:szCs w:val="28"/>
          <w:u w:val="single"/>
        </w:rPr>
        <w:t>THE 5:25 FLEXIBLE STRUCTURING SCHEME</w:t>
      </w:r>
    </w:p>
    <w:p w:rsidR="00CC1788" w:rsidRPr="00706BA7" w:rsidRDefault="00CC1788" w:rsidP="00706BA7">
      <w:pPr>
        <w:spacing w:after="0"/>
        <w:jc w:val="both"/>
        <w:rPr>
          <w:rFonts w:ascii="Book Antiqua" w:eastAsia="Times New Roman" w:hAnsi="Book Antiqua" w:cs="Arial"/>
          <w:b/>
          <w:bCs/>
          <w:color w:val="333333"/>
          <w:u w:val="single"/>
        </w:rPr>
      </w:pPr>
    </w:p>
    <w:p w:rsidR="001B53B1" w:rsidRPr="00706BA7" w:rsidRDefault="001B53B1" w:rsidP="00706BA7">
      <w:pPr>
        <w:pStyle w:val="Default"/>
        <w:jc w:val="both"/>
        <w:rPr>
          <w:rFonts w:ascii="Book Antiqua" w:hAnsi="Book Antiqua" w:cs="Times New Roman"/>
          <w:color w:val="auto"/>
          <w:sz w:val="22"/>
          <w:szCs w:val="22"/>
        </w:rPr>
      </w:pPr>
    </w:p>
    <w:p w:rsidR="001B53B1" w:rsidRPr="00DD6672" w:rsidRDefault="00DD6672" w:rsidP="00E83EE3">
      <w:pPr>
        <w:pStyle w:val="Default"/>
        <w:numPr>
          <w:ilvl w:val="0"/>
          <w:numId w:val="2"/>
        </w:numPr>
        <w:jc w:val="both"/>
        <w:rPr>
          <w:rFonts w:ascii="Book Antiqua" w:hAnsi="Book Antiqua" w:cs="Times New Roman"/>
          <w:b/>
          <w:bCs/>
          <w:color w:val="auto"/>
          <w:sz w:val="22"/>
          <w:szCs w:val="22"/>
        </w:rPr>
      </w:pPr>
      <w:r w:rsidRPr="00DD6672">
        <w:rPr>
          <w:rFonts w:ascii="Book Antiqua" w:hAnsi="Book Antiqua" w:cs="Times New Roman"/>
          <w:b/>
          <w:color w:val="auto"/>
          <w:sz w:val="22"/>
          <w:szCs w:val="22"/>
        </w:rPr>
        <w:t>Introduction</w:t>
      </w:r>
    </w:p>
    <w:p w:rsidR="007E1261" w:rsidRPr="00706BA7" w:rsidRDefault="007E1261" w:rsidP="00706BA7">
      <w:pPr>
        <w:pStyle w:val="Default"/>
        <w:jc w:val="both"/>
        <w:rPr>
          <w:rFonts w:ascii="Book Antiqua" w:hAnsi="Book Antiqua" w:cs="Times New Roman"/>
          <w:color w:val="auto"/>
          <w:sz w:val="22"/>
          <w:szCs w:val="22"/>
        </w:rPr>
      </w:pPr>
    </w:p>
    <w:p w:rsidR="003D516B" w:rsidRDefault="003D516B" w:rsidP="003D516B">
      <w:pPr>
        <w:spacing w:after="0"/>
        <w:jc w:val="both"/>
        <w:rPr>
          <w:rFonts w:ascii="Book Antiqua" w:hAnsi="Book Antiqua"/>
        </w:rPr>
      </w:pPr>
      <w:r w:rsidRPr="003D516B">
        <w:rPr>
          <w:rFonts w:ascii="Book Antiqua" w:hAnsi="Book Antiqua"/>
        </w:rPr>
        <w:t>The key issues facing the infrastructure space are a) risk from regulatory changes, b) fuel</w:t>
      </w:r>
      <w:r>
        <w:rPr>
          <w:rFonts w:ascii="Book Antiqua" w:hAnsi="Book Antiqua"/>
        </w:rPr>
        <w:t xml:space="preserve"> </w:t>
      </w:r>
      <w:r w:rsidRPr="003D516B">
        <w:rPr>
          <w:rFonts w:ascii="Book Antiqua" w:hAnsi="Book Antiqua"/>
        </w:rPr>
        <w:t>supply constraint and c) debt servicing. This guideline addresses the financing constraint</w:t>
      </w:r>
      <w:r>
        <w:rPr>
          <w:rFonts w:ascii="Book Antiqua" w:hAnsi="Book Antiqua"/>
        </w:rPr>
        <w:t xml:space="preserve"> </w:t>
      </w:r>
      <w:r w:rsidRPr="003D516B">
        <w:rPr>
          <w:rFonts w:ascii="Book Antiqua" w:hAnsi="Book Antiqua"/>
        </w:rPr>
        <w:t>by allowing the bankers to match the repayment period of the loan with cash flow of these</w:t>
      </w:r>
      <w:r>
        <w:rPr>
          <w:rFonts w:ascii="Book Antiqua" w:hAnsi="Book Antiqua"/>
        </w:rPr>
        <w:t xml:space="preserve"> </w:t>
      </w:r>
      <w:r w:rsidRPr="003D516B">
        <w:rPr>
          <w:rFonts w:ascii="Book Antiqua" w:hAnsi="Book Antiqua"/>
        </w:rPr>
        <w:t xml:space="preserve">projects. </w:t>
      </w:r>
    </w:p>
    <w:p w:rsidR="00C45C65" w:rsidRPr="00706BA7" w:rsidRDefault="001B53B1" w:rsidP="00706BA7">
      <w:pPr>
        <w:jc w:val="both"/>
        <w:rPr>
          <w:rFonts w:ascii="Book Antiqua" w:hAnsi="Book Antiqua"/>
        </w:rPr>
      </w:pPr>
      <w:r w:rsidRPr="00706BA7">
        <w:rPr>
          <w:rFonts w:ascii="Book Antiqua" w:hAnsi="Book Antiqua"/>
        </w:rPr>
        <w:t>As per the 5:25 flexible structuring scheme, the lenders are allowed to fix longer amortization period for loans to projects in the infrastructure and core industries sector, for say 25 years, based on the economic life or concession period of the project, with periodic refinancing, say every 5 years. The repayment at the end of each refinancing period would be structured as a bullet repayment, with the intent specified upfront that it will be refinanced. The repayment may be taken up by the same lender / a set of new lenders / a combination of both / by issue of corporate bonds as a refinancing debt facility and such refinancing may repeat till the end of the amortization schedule.</w:t>
      </w:r>
    </w:p>
    <w:p w:rsidR="001B53B1" w:rsidRPr="00706BA7" w:rsidRDefault="001B53B1" w:rsidP="00E83EE3">
      <w:pPr>
        <w:pStyle w:val="Default"/>
        <w:numPr>
          <w:ilvl w:val="0"/>
          <w:numId w:val="2"/>
        </w:numPr>
        <w:jc w:val="both"/>
        <w:rPr>
          <w:rFonts w:ascii="Book Antiqua" w:hAnsi="Book Antiqua" w:cs="Times New Roman"/>
          <w:b/>
          <w:bCs/>
          <w:iCs/>
          <w:color w:val="auto"/>
          <w:sz w:val="22"/>
          <w:szCs w:val="22"/>
        </w:rPr>
      </w:pPr>
      <w:r w:rsidRPr="00706BA7">
        <w:rPr>
          <w:rFonts w:ascii="Book Antiqua" w:hAnsi="Book Antiqua" w:cs="Times New Roman"/>
          <w:b/>
          <w:bCs/>
          <w:iCs/>
          <w:color w:val="auto"/>
          <w:sz w:val="22"/>
          <w:szCs w:val="22"/>
        </w:rPr>
        <w:t xml:space="preserve">Conditions for 5:25 flexible structuring scheme </w:t>
      </w:r>
    </w:p>
    <w:p w:rsidR="007E1261" w:rsidRPr="00706BA7" w:rsidRDefault="007E1261" w:rsidP="00706BA7">
      <w:pPr>
        <w:pStyle w:val="Default"/>
        <w:jc w:val="both"/>
        <w:rPr>
          <w:rFonts w:ascii="Book Antiqua" w:hAnsi="Book Antiqua" w:cs="Times New Roman"/>
          <w:color w:val="auto"/>
          <w:sz w:val="22"/>
          <w:szCs w:val="22"/>
        </w:rPr>
      </w:pPr>
    </w:p>
    <w:p w:rsidR="001B53B1" w:rsidRPr="00706BA7" w:rsidRDefault="001B53B1" w:rsidP="00706BA7">
      <w:pPr>
        <w:pStyle w:val="Default"/>
        <w:numPr>
          <w:ilvl w:val="0"/>
          <w:numId w:val="1"/>
        </w:numPr>
        <w:spacing w:after="164"/>
        <w:jc w:val="both"/>
        <w:rPr>
          <w:rFonts w:ascii="Book Antiqua" w:hAnsi="Book Antiqua"/>
          <w:color w:val="auto"/>
          <w:sz w:val="22"/>
          <w:szCs w:val="22"/>
        </w:rPr>
      </w:pPr>
      <w:r w:rsidRPr="00706BA7">
        <w:rPr>
          <w:rFonts w:ascii="Book Antiqua" w:hAnsi="Book Antiqua"/>
          <w:color w:val="auto"/>
          <w:sz w:val="22"/>
          <w:szCs w:val="22"/>
        </w:rPr>
        <w:t xml:space="preserve">Term loans to projects, in which the aggregate exposure of all institutional lenders exceeds </w:t>
      </w:r>
      <w:r w:rsidRPr="00706BA7">
        <w:rPr>
          <w:rFonts w:ascii="Book Antiqua" w:hAnsi="Book Antiqua"/>
          <w:b/>
          <w:color w:val="auto"/>
          <w:sz w:val="22"/>
          <w:szCs w:val="22"/>
        </w:rPr>
        <w:t>Rs.500 crore</w:t>
      </w:r>
      <w:r w:rsidRPr="00706BA7">
        <w:rPr>
          <w:rFonts w:ascii="Book Antiqua" w:hAnsi="Book Antiqua"/>
          <w:color w:val="auto"/>
          <w:sz w:val="22"/>
          <w:szCs w:val="22"/>
        </w:rPr>
        <w:t xml:space="preserve">, in the </w:t>
      </w:r>
      <w:r w:rsidRPr="00706BA7">
        <w:rPr>
          <w:rFonts w:ascii="Book Antiqua" w:hAnsi="Book Antiqua"/>
          <w:b/>
          <w:color w:val="auto"/>
          <w:sz w:val="22"/>
          <w:szCs w:val="22"/>
        </w:rPr>
        <w:t>infrastructure and core industries sector</w:t>
      </w:r>
      <w:r w:rsidRPr="00706BA7">
        <w:rPr>
          <w:rFonts w:ascii="Book Antiqua" w:hAnsi="Book Antiqua"/>
          <w:color w:val="auto"/>
          <w:sz w:val="22"/>
          <w:szCs w:val="22"/>
        </w:rPr>
        <w:t xml:space="preserve"> will qualify. </w:t>
      </w:r>
    </w:p>
    <w:p w:rsidR="001B53B1" w:rsidRPr="00706BA7" w:rsidRDefault="001B53B1" w:rsidP="00706BA7">
      <w:pPr>
        <w:pStyle w:val="Default"/>
        <w:numPr>
          <w:ilvl w:val="0"/>
          <w:numId w:val="1"/>
        </w:numPr>
        <w:jc w:val="both"/>
        <w:rPr>
          <w:rFonts w:ascii="Book Antiqua" w:hAnsi="Book Antiqua"/>
          <w:color w:val="auto"/>
          <w:sz w:val="22"/>
          <w:szCs w:val="22"/>
        </w:rPr>
      </w:pPr>
      <w:r w:rsidRPr="00706BA7">
        <w:rPr>
          <w:rFonts w:ascii="Book Antiqua" w:hAnsi="Book Antiqua"/>
          <w:color w:val="auto"/>
          <w:sz w:val="22"/>
          <w:szCs w:val="22"/>
        </w:rPr>
        <w:t xml:space="preserve"> Banks may fix a fresh amortization schedule for the existing projects loans, once during the life time of the project</w:t>
      </w:r>
      <w:r w:rsidRPr="00706BA7">
        <w:rPr>
          <w:rFonts w:ascii="Book Antiqua" w:hAnsi="Book Antiqua"/>
          <w:b/>
          <w:color w:val="auto"/>
          <w:sz w:val="22"/>
          <w:szCs w:val="22"/>
        </w:rPr>
        <w:t>, after the Commercial Operations Date (CoD)</w:t>
      </w:r>
      <w:r w:rsidRPr="00706BA7">
        <w:rPr>
          <w:rFonts w:ascii="Book Antiqua" w:hAnsi="Book Antiqua"/>
          <w:color w:val="auto"/>
          <w:sz w:val="22"/>
          <w:szCs w:val="22"/>
        </w:rPr>
        <w:t xml:space="preserve"> without it being treated as restructuring subject to: </w:t>
      </w:r>
    </w:p>
    <w:p w:rsidR="007E1261" w:rsidRPr="00706BA7" w:rsidRDefault="007E1261" w:rsidP="00706BA7">
      <w:pPr>
        <w:pStyle w:val="Default"/>
        <w:jc w:val="both"/>
        <w:rPr>
          <w:rFonts w:ascii="Book Antiqua" w:hAnsi="Book Antiqua"/>
          <w:color w:val="auto"/>
          <w:sz w:val="22"/>
          <w:szCs w:val="22"/>
        </w:rPr>
      </w:pPr>
    </w:p>
    <w:p w:rsidR="001B53B1" w:rsidRPr="00706BA7" w:rsidRDefault="001B53B1" w:rsidP="00706BA7">
      <w:pPr>
        <w:pStyle w:val="Default"/>
        <w:spacing w:after="150"/>
        <w:ind w:firstLine="720"/>
        <w:jc w:val="both"/>
        <w:rPr>
          <w:rFonts w:ascii="Book Antiqua" w:hAnsi="Book Antiqua"/>
          <w:color w:val="auto"/>
          <w:sz w:val="22"/>
          <w:szCs w:val="22"/>
        </w:rPr>
      </w:pPr>
      <w:r w:rsidRPr="00706BA7">
        <w:rPr>
          <w:rFonts w:ascii="Book Antiqua" w:hAnsi="Book Antiqua"/>
          <w:b/>
          <w:color w:val="auto"/>
          <w:sz w:val="22"/>
          <w:szCs w:val="22"/>
        </w:rPr>
        <w:t>The loan is standard</w:t>
      </w:r>
      <w:r w:rsidRPr="00706BA7">
        <w:rPr>
          <w:rFonts w:ascii="Book Antiqua" w:hAnsi="Book Antiqua"/>
          <w:color w:val="auto"/>
          <w:sz w:val="22"/>
          <w:szCs w:val="22"/>
        </w:rPr>
        <w:t xml:space="preserve"> as on date of change of loan amortization schedule </w:t>
      </w:r>
    </w:p>
    <w:p w:rsidR="001B53B1" w:rsidRPr="00706BA7" w:rsidRDefault="001B53B1" w:rsidP="00706BA7">
      <w:pPr>
        <w:pStyle w:val="Default"/>
        <w:ind w:left="720"/>
        <w:jc w:val="both"/>
        <w:rPr>
          <w:rFonts w:ascii="Book Antiqua" w:hAnsi="Book Antiqua"/>
          <w:sz w:val="22"/>
          <w:szCs w:val="22"/>
        </w:rPr>
      </w:pPr>
      <w:r w:rsidRPr="00706BA7">
        <w:rPr>
          <w:rFonts w:ascii="Book Antiqua" w:hAnsi="Book Antiqua"/>
          <w:color w:val="auto"/>
          <w:sz w:val="22"/>
          <w:szCs w:val="22"/>
        </w:rPr>
        <w:t xml:space="preserve">The </w:t>
      </w:r>
      <w:r w:rsidRPr="00706BA7">
        <w:rPr>
          <w:rFonts w:ascii="Book Antiqua" w:hAnsi="Book Antiqua"/>
          <w:b/>
          <w:color w:val="auto"/>
          <w:sz w:val="22"/>
          <w:szCs w:val="22"/>
        </w:rPr>
        <w:t>Net Present Value</w:t>
      </w:r>
      <w:r w:rsidRPr="00706BA7">
        <w:rPr>
          <w:rFonts w:ascii="Book Antiqua" w:hAnsi="Book Antiqua"/>
          <w:color w:val="auto"/>
          <w:sz w:val="22"/>
          <w:szCs w:val="22"/>
        </w:rPr>
        <w:t xml:space="preserve"> of the loan remains same before and after the change in the </w:t>
      </w:r>
      <w:r w:rsidR="007E1261" w:rsidRPr="00706BA7">
        <w:rPr>
          <w:rFonts w:ascii="Book Antiqua" w:hAnsi="Book Antiqua"/>
          <w:color w:val="auto"/>
          <w:sz w:val="22"/>
          <w:szCs w:val="22"/>
        </w:rPr>
        <w:t>amortization</w:t>
      </w:r>
      <w:r w:rsidRPr="00706BA7">
        <w:rPr>
          <w:rFonts w:ascii="Book Antiqua" w:hAnsi="Book Antiqua"/>
          <w:color w:val="auto"/>
          <w:sz w:val="22"/>
          <w:szCs w:val="22"/>
        </w:rPr>
        <w:t xml:space="preserve"> schedule. </w:t>
      </w:r>
      <w:r w:rsidR="007E1261" w:rsidRPr="00706BA7">
        <w:rPr>
          <w:rFonts w:ascii="Book Antiqua" w:hAnsi="Book Antiqua"/>
          <w:color w:val="auto"/>
          <w:sz w:val="22"/>
          <w:szCs w:val="22"/>
        </w:rPr>
        <w:t xml:space="preserve"> </w:t>
      </w:r>
    </w:p>
    <w:p w:rsidR="001B53B1" w:rsidRPr="001B53B1" w:rsidRDefault="001B53B1" w:rsidP="00706BA7">
      <w:pPr>
        <w:autoSpaceDE w:val="0"/>
        <w:autoSpaceDN w:val="0"/>
        <w:adjustRightInd w:val="0"/>
        <w:spacing w:after="0" w:line="240" w:lineRule="auto"/>
        <w:jc w:val="both"/>
        <w:rPr>
          <w:rFonts w:ascii="Book Antiqua" w:hAnsi="Book Antiqua" w:cs="Courier New"/>
          <w:color w:val="000000"/>
        </w:rPr>
      </w:pPr>
    </w:p>
    <w:p w:rsidR="001B53B1" w:rsidRPr="00706BA7" w:rsidRDefault="001B53B1" w:rsidP="00706BA7">
      <w:pPr>
        <w:autoSpaceDE w:val="0"/>
        <w:autoSpaceDN w:val="0"/>
        <w:adjustRightInd w:val="0"/>
        <w:spacing w:after="0" w:line="240" w:lineRule="auto"/>
        <w:ind w:left="720"/>
        <w:jc w:val="both"/>
        <w:rPr>
          <w:rFonts w:ascii="Book Antiqua" w:hAnsi="Book Antiqua" w:cs="Calibri"/>
          <w:color w:val="000000"/>
        </w:rPr>
      </w:pPr>
      <w:r w:rsidRPr="001B53B1">
        <w:rPr>
          <w:rFonts w:ascii="Book Antiqua" w:hAnsi="Book Antiqua" w:cs="Calibri"/>
          <w:color w:val="000000"/>
        </w:rPr>
        <w:t xml:space="preserve">The Fresh loan amortization schedule should be within 85% of the initial concession period / life of the project. </w:t>
      </w:r>
    </w:p>
    <w:p w:rsidR="001B53B1" w:rsidRPr="001B53B1" w:rsidRDefault="001B53B1" w:rsidP="00706BA7">
      <w:pPr>
        <w:autoSpaceDE w:val="0"/>
        <w:autoSpaceDN w:val="0"/>
        <w:adjustRightInd w:val="0"/>
        <w:spacing w:after="0" w:line="240" w:lineRule="auto"/>
        <w:jc w:val="both"/>
        <w:rPr>
          <w:rFonts w:ascii="Book Antiqua" w:hAnsi="Book Antiqua" w:cs="Calibri"/>
          <w:color w:val="000000"/>
        </w:rPr>
      </w:pPr>
    </w:p>
    <w:p w:rsidR="001B53B1" w:rsidRPr="001B53B1" w:rsidRDefault="001B53B1" w:rsidP="00706BA7">
      <w:pPr>
        <w:shd w:val="clear" w:color="auto" w:fill="B6DDE8" w:themeFill="accent5" w:themeFillTint="66"/>
        <w:autoSpaceDE w:val="0"/>
        <w:autoSpaceDN w:val="0"/>
        <w:adjustRightInd w:val="0"/>
        <w:spacing w:after="0" w:line="240" w:lineRule="auto"/>
        <w:jc w:val="both"/>
        <w:rPr>
          <w:rFonts w:ascii="Book Antiqua" w:hAnsi="Book Antiqua" w:cs="Calibri"/>
          <w:color w:val="000000"/>
        </w:rPr>
      </w:pPr>
      <w:r w:rsidRPr="001B53B1">
        <w:rPr>
          <w:rFonts w:ascii="Book Antiqua" w:hAnsi="Book Antiqua" w:cs="Calibri"/>
          <w:color w:val="000000"/>
        </w:rPr>
        <w:t xml:space="preserve">In case of accounts which are already classified as NPA, banks are allowed to extend the flexible structuring scheme. However, it shall be considered as ‘restructuring’ and such accounts would continue to remain classified as NPAs. </w:t>
      </w:r>
      <w:r w:rsidR="00064553" w:rsidRPr="00706BA7">
        <w:rPr>
          <w:rFonts w:ascii="Book Antiqua" w:hAnsi="Book Antiqua" w:cs="Calibri"/>
          <w:color w:val="000000"/>
        </w:rPr>
        <w:t>Such accounts may be upgraded only when all the outstanding loan/facilities in the account perform satisfactorily during the ‘specified period’ (as defined in the extant prudential guidelines on restructuring of accounts), i.e. principal and interest on all facilities in the account are serviced as per terms of payment during that period. However, periodic refinance facility would be permitted only when the account is classified as ‘standard’ as prescribed</w:t>
      </w:r>
    </w:p>
    <w:p w:rsidR="0015624D" w:rsidRDefault="0015624D" w:rsidP="0015624D">
      <w:pPr>
        <w:pStyle w:val="Default"/>
        <w:ind w:left="720"/>
        <w:jc w:val="both"/>
        <w:rPr>
          <w:rFonts w:ascii="Book Antiqua" w:hAnsi="Book Antiqua"/>
          <w:b/>
          <w:bCs/>
          <w:sz w:val="23"/>
          <w:szCs w:val="23"/>
        </w:rPr>
      </w:pPr>
    </w:p>
    <w:p w:rsidR="00706BA7" w:rsidRPr="00706BA7" w:rsidRDefault="00706BA7" w:rsidP="00E83EE3">
      <w:pPr>
        <w:pStyle w:val="Default"/>
        <w:numPr>
          <w:ilvl w:val="0"/>
          <w:numId w:val="1"/>
        </w:numPr>
        <w:jc w:val="both"/>
        <w:rPr>
          <w:rFonts w:ascii="Book Antiqua" w:hAnsi="Book Antiqua"/>
          <w:b/>
          <w:bCs/>
          <w:sz w:val="23"/>
          <w:szCs w:val="23"/>
        </w:rPr>
      </w:pPr>
      <w:r w:rsidRPr="00706BA7">
        <w:rPr>
          <w:rFonts w:ascii="Book Antiqua" w:hAnsi="Book Antiqua"/>
          <w:b/>
          <w:bCs/>
          <w:sz w:val="23"/>
          <w:szCs w:val="23"/>
        </w:rPr>
        <w:t xml:space="preserve">Beneficiaries </w:t>
      </w:r>
    </w:p>
    <w:p w:rsidR="00706BA7" w:rsidRDefault="00706BA7" w:rsidP="00706BA7">
      <w:pPr>
        <w:pStyle w:val="Default"/>
        <w:jc w:val="both"/>
        <w:rPr>
          <w:rFonts w:ascii="Book Antiqua" w:hAnsi="Book Antiqua"/>
          <w:sz w:val="22"/>
          <w:szCs w:val="22"/>
        </w:rPr>
      </w:pPr>
      <w:r w:rsidRPr="00706BA7">
        <w:rPr>
          <w:rFonts w:ascii="Book Antiqua" w:hAnsi="Book Antiqua"/>
          <w:sz w:val="22"/>
          <w:szCs w:val="22"/>
        </w:rPr>
        <w:t xml:space="preserve">The 5:25 flexible structuring scheme is applicable to projects in the Infrastructure and Core Industries sector. New projects or projects which have achieved CoD are eligible under the scheme. However, under-implementation projects which have not yet achieved CoD are eligible </w:t>
      </w:r>
      <w:r w:rsidRPr="00706BA7">
        <w:rPr>
          <w:rFonts w:ascii="Book Antiqua" w:hAnsi="Book Antiqua"/>
          <w:sz w:val="22"/>
          <w:szCs w:val="22"/>
        </w:rPr>
        <w:lastRenderedPageBreak/>
        <w:t>for extension of moratorium period up to 2 years in infrastructure sector and 1 year in other sectors under separate guidelines of RBI without being considered as restructuring and subsequent to CoD announcement, such projects would be eligible under the extant scheme.</w:t>
      </w:r>
    </w:p>
    <w:p w:rsidR="00706BA7" w:rsidRDefault="00706BA7" w:rsidP="00706BA7">
      <w:pPr>
        <w:pStyle w:val="Default"/>
        <w:jc w:val="both"/>
        <w:rPr>
          <w:rFonts w:ascii="Book Antiqua" w:hAnsi="Book Antiqua"/>
          <w:sz w:val="22"/>
          <w:szCs w:val="22"/>
        </w:rPr>
      </w:pPr>
    </w:p>
    <w:p w:rsidR="004F2D37" w:rsidRDefault="004F2D37" w:rsidP="004F2D37">
      <w:pPr>
        <w:pStyle w:val="Default"/>
        <w:jc w:val="both"/>
        <w:rPr>
          <w:rFonts w:ascii="Book Antiqua" w:hAnsi="Book Antiqua" w:cs="Arial"/>
          <w:sz w:val="22"/>
          <w:szCs w:val="22"/>
        </w:rPr>
      </w:pPr>
      <w:r w:rsidRPr="00706BA7">
        <w:rPr>
          <w:rFonts w:ascii="Book Antiqua" w:hAnsi="Book Antiqua"/>
          <w:sz w:val="22"/>
          <w:szCs w:val="22"/>
        </w:rPr>
        <w:t>Initially the</w:t>
      </w:r>
      <w:r w:rsidRPr="00706BA7">
        <w:rPr>
          <w:rFonts w:ascii="Book Antiqua" w:hAnsi="Book Antiqua" w:cs="Arial"/>
          <w:sz w:val="22"/>
          <w:szCs w:val="22"/>
          <w:shd w:val="clear" w:color="auto" w:fill="FFFFFF"/>
        </w:rPr>
        <w:t xml:space="preserve"> above structure was made applicable to new loans to infrastructure projects and core industries projects sanctioned after the date of circular 15.07.14, however vide circular </w:t>
      </w:r>
      <w:r w:rsidRPr="001B53B1">
        <w:rPr>
          <w:rFonts w:ascii="Book Antiqua" w:hAnsi="Book Antiqua" w:cs="Arial"/>
          <w:sz w:val="22"/>
          <w:szCs w:val="22"/>
        </w:rPr>
        <w:t xml:space="preserve">RBI/2014-15/354 </w:t>
      </w:r>
      <w:r w:rsidRPr="00706BA7">
        <w:rPr>
          <w:rFonts w:ascii="Book Antiqua" w:hAnsi="Book Antiqua" w:cs="Arial"/>
          <w:sz w:val="22"/>
          <w:szCs w:val="22"/>
        </w:rPr>
        <w:t>DBR.No.BP.BC.53/21.04.132/2014-15 December 15, 2014 RBI clarified that this would also applicable to existing sanctioned loan even before the date of this circular which have achieved COD.</w:t>
      </w:r>
    </w:p>
    <w:p w:rsidR="000C142C" w:rsidRPr="00706BA7" w:rsidRDefault="000C142C" w:rsidP="004F2D37">
      <w:pPr>
        <w:pStyle w:val="Default"/>
        <w:jc w:val="both"/>
        <w:rPr>
          <w:rFonts w:ascii="Book Antiqua" w:hAnsi="Book Antiqua" w:cs="Arial"/>
          <w:sz w:val="22"/>
          <w:szCs w:val="22"/>
        </w:rPr>
      </w:pPr>
    </w:p>
    <w:p w:rsidR="00706BA7" w:rsidRDefault="00706BA7" w:rsidP="000C142C">
      <w:pPr>
        <w:pStyle w:val="Default"/>
        <w:ind w:firstLine="720"/>
        <w:jc w:val="center"/>
        <w:rPr>
          <w:b/>
          <w:bCs/>
          <w:sz w:val="18"/>
          <w:szCs w:val="18"/>
        </w:rPr>
      </w:pPr>
      <w:r>
        <w:rPr>
          <w:b/>
          <w:bCs/>
          <w:sz w:val="18"/>
          <w:szCs w:val="18"/>
        </w:rPr>
        <w:t>Issues faced by projects at various stages of the life-cycle and eligibility for flexible structuring scheme</w:t>
      </w:r>
    </w:p>
    <w:p w:rsidR="00706BA7" w:rsidRDefault="00706BA7" w:rsidP="000C142C">
      <w:pPr>
        <w:pStyle w:val="Default"/>
        <w:ind w:left="720"/>
        <w:jc w:val="both"/>
        <w:rPr>
          <w:rFonts w:ascii="Book Antiqua" w:hAnsi="Book Antiqua"/>
          <w:sz w:val="22"/>
          <w:szCs w:val="22"/>
        </w:rPr>
      </w:pPr>
      <w:r>
        <w:rPr>
          <w:rFonts w:ascii="Book Antiqua" w:hAnsi="Book Antiqua"/>
          <w:noProof/>
          <w:sz w:val="22"/>
          <w:szCs w:val="22"/>
        </w:rPr>
        <w:drawing>
          <wp:inline distT="0" distB="0" distL="0" distR="0">
            <wp:extent cx="5740303" cy="199577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6620" cy="1997973"/>
                    </a:xfrm>
                    <a:prstGeom prst="rect">
                      <a:avLst/>
                    </a:prstGeom>
                    <a:noFill/>
                    <a:ln>
                      <a:noFill/>
                    </a:ln>
                  </pic:spPr>
                </pic:pic>
              </a:graphicData>
            </a:graphic>
          </wp:inline>
        </w:drawing>
      </w:r>
    </w:p>
    <w:p w:rsidR="00706BA7" w:rsidRDefault="00706BA7" w:rsidP="00706BA7">
      <w:pPr>
        <w:pStyle w:val="Default"/>
        <w:jc w:val="both"/>
        <w:rPr>
          <w:rFonts w:ascii="Book Antiqua" w:hAnsi="Book Antiqua"/>
          <w:sz w:val="22"/>
          <w:szCs w:val="22"/>
        </w:rPr>
      </w:pPr>
    </w:p>
    <w:p w:rsidR="000C142C" w:rsidRDefault="00A77022" w:rsidP="000C142C">
      <w:pPr>
        <w:pStyle w:val="Default"/>
        <w:numPr>
          <w:ilvl w:val="0"/>
          <w:numId w:val="1"/>
        </w:numPr>
        <w:ind w:left="0" w:firstLine="0"/>
        <w:jc w:val="both"/>
        <w:rPr>
          <w:rFonts w:ascii="Book Antiqua" w:hAnsi="Book Antiqua"/>
          <w:sz w:val="22"/>
          <w:szCs w:val="22"/>
        </w:rPr>
      </w:pPr>
      <w:r w:rsidRPr="00351150">
        <w:rPr>
          <w:rFonts w:ascii="Book Antiqua" w:hAnsi="Book Antiqua"/>
          <w:iCs/>
          <w:sz w:val="22"/>
          <w:szCs w:val="22"/>
        </w:rPr>
        <w:t xml:space="preserve">Infrastructure sector is as defined under the Harmonized Master List of Infrastructure of RBI. Core industries sector are the sectors included in the Index of eight core </w:t>
      </w:r>
      <w:r w:rsidR="000C142C">
        <w:rPr>
          <w:rFonts w:ascii="Book Antiqua" w:hAnsi="Book Antiqua"/>
          <w:iCs/>
          <w:sz w:val="22"/>
          <w:szCs w:val="22"/>
        </w:rPr>
        <w:t>i</w:t>
      </w:r>
      <w:r w:rsidRPr="00351150">
        <w:rPr>
          <w:rFonts w:ascii="Book Antiqua" w:hAnsi="Book Antiqua"/>
          <w:iCs/>
          <w:sz w:val="22"/>
          <w:szCs w:val="22"/>
        </w:rPr>
        <w:t>ndustries</w:t>
      </w:r>
      <w:r w:rsidR="000C142C">
        <w:rPr>
          <w:rFonts w:ascii="Book Antiqua" w:hAnsi="Book Antiqua"/>
          <w:iCs/>
          <w:sz w:val="22"/>
          <w:szCs w:val="22"/>
        </w:rPr>
        <w:t xml:space="preserve"> </w:t>
      </w:r>
      <w:r w:rsidR="000C142C" w:rsidRPr="00351150">
        <w:rPr>
          <w:rFonts w:ascii="Book Antiqua" w:hAnsi="Book Antiqua"/>
          <w:iCs/>
          <w:sz w:val="22"/>
          <w:szCs w:val="22"/>
        </w:rPr>
        <w:t>published</w:t>
      </w:r>
      <w:r w:rsidRPr="00351150">
        <w:rPr>
          <w:rFonts w:ascii="Book Antiqua" w:hAnsi="Book Antiqua"/>
          <w:iCs/>
          <w:sz w:val="22"/>
          <w:szCs w:val="22"/>
        </w:rPr>
        <w:t xml:space="preserve"> by the Ministry of Commerce and Industries, Government of India</w:t>
      </w:r>
      <w:r w:rsidRPr="00351150">
        <w:rPr>
          <w:rFonts w:ascii="Book Antiqua" w:hAnsi="Book Antiqua"/>
          <w:sz w:val="22"/>
          <w:szCs w:val="22"/>
        </w:rPr>
        <w:t>.</w:t>
      </w:r>
    </w:p>
    <w:p w:rsidR="00A77022" w:rsidRPr="00351150" w:rsidRDefault="00A77022" w:rsidP="000C142C">
      <w:pPr>
        <w:pStyle w:val="Default"/>
        <w:ind w:left="720"/>
        <w:rPr>
          <w:rFonts w:ascii="Book Antiqua" w:hAnsi="Book Antiqua"/>
          <w:sz w:val="22"/>
          <w:szCs w:val="22"/>
        </w:rPr>
      </w:pPr>
      <w:r>
        <w:rPr>
          <w:rFonts w:ascii="Book Antiqua" w:hAnsi="Book Antiqua"/>
          <w:noProof/>
          <w:sz w:val="22"/>
          <w:szCs w:val="22"/>
        </w:rPr>
        <w:drawing>
          <wp:inline distT="0" distB="0" distL="0" distR="0" wp14:anchorId="67B2736F" wp14:editId="440357FE">
            <wp:extent cx="5931673" cy="298969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1673" cy="2989690"/>
                    </a:xfrm>
                    <a:prstGeom prst="rect">
                      <a:avLst/>
                    </a:prstGeom>
                    <a:noFill/>
                    <a:ln>
                      <a:noFill/>
                    </a:ln>
                  </pic:spPr>
                </pic:pic>
              </a:graphicData>
            </a:graphic>
          </wp:inline>
        </w:drawing>
      </w:r>
    </w:p>
    <w:p w:rsidR="00A77022" w:rsidRPr="00706BA7" w:rsidRDefault="00A77022" w:rsidP="00706BA7">
      <w:pPr>
        <w:pStyle w:val="Default"/>
        <w:jc w:val="both"/>
        <w:rPr>
          <w:rFonts w:ascii="Book Antiqua" w:hAnsi="Book Antiqua"/>
          <w:sz w:val="22"/>
          <w:szCs w:val="22"/>
        </w:rPr>
      </w:pPr>
    </w:p>
    <w:p w:rsidR="00676FFE" w:rsidRPr="00E83EE3" w:rsidRDefault="00676FFE" w:rsidP="00E83EE3">
      <w:pPr>
        <w:pStyle w:val="ListParagraph"/>
        <w:numPr>
          <w:ilvl w:val="0"/>
          <w:numId w:val="1"/>
        </w:numPr>
        <w:rPr>
          <w:rFonts w:ascii="Book Antiqua" w:hAnsi="Book Antiqua" w:cs="Arial"/>
          <w:b/>
          <w:sz w:val="24"/>
          <w:szCs w:val="24"/>
        </w:rPr>
      </w:pPr>
      <w:r w:rsidRPr="00E83EE3">
        <w:rPr>
          <w:rFonts w:ascii="Book Antiqua" w:hAnsi="Book Antiqua" w:cs="Arial"/>
          <w:b/>
          <w:sz w:val="24"/>
          <w:szCs w:val="24"/>
        </w:rPr>
        <w:t>Financial Viability Parameters for Corporate Debt Restructuring</w:t>
      </w:r>
    </w:p>
    <w:p w:rsidR="00676FFE" w:rsidRPr="00676FFE" w:rsidRDefault="00676FFE" w:rsidP="00676FFE">
      <w:pPr>
        <w:jc w:val="both"/>
        <w:rPr>
          <w:rFonts w:ascii="Book Antiqua" w:hAnsi="Book Antiqua" w:cs="Arial"/>
        </w:rPr>
      </w:pPr>
      <w:r w:rsidRPr="00676FFE">
        <w:rPr>
          <w:rFonts w:ascii="Book Antiqua" w:hAnsi="Book Antiqua" w:cs="Arial"/>
        </w:rPr>
        <w:lastRenderedPageBreak/>
        <w:t xml:space="preserve">The Viability Parameters should be compared with the </w:t>
      </w:r>
      <w:r w:rsidR="00E83EE3" w:rsidRPr="00676FFE">
        <w:rPr>
          <w:rFonts w:ascii="Book Antiqua" w:hAnsi="Book Antiqua" w:cs="Arial"/>
        </w:rPr>
        <w:t>industry averages</w:t>
      </w:r>
      <w:r w:rsidRPr="00676FFE">
        <w:rPr>
          <w:rFonts w:ascii="Book Antiqua" w:hAnsi="Book Antiqua" w:cs="Arial"/>
        </w:rPr>
        <w:t xml:space="preserve"> and suitable comments should be incorporated in the Final Restructuring Package. Additionally</w:t>
      </w:r>
      <w:r w:rsidR="00E83EE3">
        <w:rPr>
          <w:rFonts w:ascii="Book Antiqua" w:hAnsi="Book Antiqua" w:cs="Arial"/>
        </w:rPr>
        <w:t xml:space="preserve"> </w:t>
      </w:r>
      <w:r w:rsidRPr="00676FFE">
        <w:rPr>
          <w:rFonts w:ascii="Book Antiqua" w:hAnsi="Book Antiqua" w:cs="Arial"/>
        </w:rPr>
        <w:t>capacity utilization, Price realization per unit and Profit before Interest, Depreciation Tax (PBIDT) of the borrower-corporate should be compared with the relative industry averages.</w:t>
      </w:r>
    </w:p>
    <w:p w:rsidR="00676FFE" w:rsidRDefault="00676FFE" w:rsidP="00706BA7">
      <w:pPr>
        <w:jc w:val="both"/>
        <w:rPr>
          <w:rFonts w:ascii="Book Antiqua" w:hAnsi="Book Antiqua" w:cs="Arial"/>
        </w:rPr>
      </w:pPr>
      <w:r w:rsidRPr="00676FFE">
        <w:rPr>
          <w:rFonts w:ascii="Book Antiqua" w:hAnsi="Book Antiqua" w:cs="Arial"/>
        </w:rPr>
        <w:t>In the event the indicators are not in consonance with the viability benchmarks or</w:t>
      </w:r>
      <w:r>
        <w:rPr>
          <w:rFonts w:ascii="Book Antiqua" w:hAnsi="Book Antiqua" w:cs="Arial"/>
        </w:rPr>
        <w:t xml:space="preserve"> </w:t>
      </w:r>
      <w:r w:rsidRPr="00676FFE">
        <w:rPr>
          <w:rFonts w:ascii="Book Antiqua" w:hAnsi="Book Antiqua" w:cs="Arial"/>
        </w:rPr>
        <w:t xml:space="preserve">industry averages, suitable qualitative comments should be incorporated </w:t>
      </w:r>
      <w:r w:rsidR="00E83EE3" w:rsidRPr="00676FFE">
        <w:rPr>
          <w:rFonts w:ascii="Book Antiqua" w:hAnsi="Book Antiqua" w:cs="Arial"/>
        </w:rPr>
        <w:t xml:space="preserve">justifying </w:t>
      </w:r>
      <w:r w:rsidR="00E83EE3">
        <w:rPr>
          <w:rFonts w:ascii="Book Antiqua" w:hAnsi="Book Antiqua" w:cs="Arial"/>
        </w:rPr>
        <w:t>the</w:t>
      </w:r>
      <w:r w:rsidRPr="00676FFE">
        <w:rPr>
          <w:rFonts w:ascii="Book Antiqua" w:hAnsi="Book Antiqua" w:cs="Arial"/>
        </w:rPr>
        <w:t xml:space="preserve"> Variations.</w:t>
      </w:r>
    </w:p>
    <w:p w:rsidR="00691B82" w:rsidRDefault="00691B82" w:rsidP="00706BA7">
      <w:pPr>
        <w:jc w:val="both"/>
        <w:rPr>
          <w:rFonts w:ascii="Book Antiqua" w:hAnsi="Book Antiqua" w:cs="Arial"/>
        </w:rPr>
      </w:pPr>
      <w:r>
        <w:rPr>
          <w:noProof/>
        </w:rPr>
        <w:drawing>
          <wp:inline distT="0" distB="0" distL="0" distR="0" wp14:anchorId="0D2C858B" wp14:editId="000BD0E2">
            <wp:extent cx="5943600" cy="2949878"/>
            <wp:effectExtent l="19050" t="0" r="57150" b="317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83EE3" w:rsidRDefault="00691B82" w:rsidP="00706BA7">
      <w:pPr>
        <w:jc w:val="both"/>
        <w:rPr>
          <w:rFonts w:ascii="Book Antiqua" w:hAnsi="Book Antiqua" w:cs="Arial"/>
        </w:rPr>
      </w:pPr>
      <w:r>
        <w:rPr>
          <w:noProof/>
        </w:rPr>
        <w:drawing>
          <wp:inline distT="0" distB="0" distL="0" distR="0" wp14:anchorId="049FBEE7" wp14:editId="7F6B4901">
            <wp:extent cx="5943600" cy="2949575"/>
            <wp:effectExtent l="38100" t="0" r="38100" b="317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E83EE3" w:rsidRDefault="00E83EE3" w:rsidP="00706BA7">
      <w:pPr>
        <w:jc w:val="both"/>
        <w:rPr>
          <w:rFonts w:ascii="Book Antiqua" w:hAnsi="Book Antiqua" w:cs="Arial"/>
        </w:rPr>
      </w:pPr>
    </w:p>
    <w:p w:rsidR="00E83EE3" w:rsidRPr="00E83EE3" w:rsidRDefault="00E83EE3" w:rsidP="00E83EE3">
      <w:pPr>
        <w:pStyle w:val="ListParagraph"/>
        <w:numPr>
          <w:ilvl w:val="0"/>
          <w:numId w:val="1"/>
        </w:numPr>
        <w:spacing w:after="0"/>
        <w:jc w:val="both"/>
        <w:rPr>
          <w:rFonts w:ascii="Book Antiqua" w:hAnsi="Book Antiqua" w:cs="Arial"/>
          <w:b/>
          <w:bCs/>
        </w:rPr>
      </w:pPr>
      <w:r w:rsidRPr="00E83EE3">
        <w:rPr>
          <w:rFonts w:ascii="Book Antiqua" w:hAnsi="Book Antiqua" w:cs="Arial"/>
          <w:b/>
          <w:bCs/>
        </w:rPr>
        <w:t>Earlier RBI support for projects which have not commenced operations</w:t>
      </w:r>
    </w:p>
    <w:p w:rsidR="00E83EE3" w:rsidRPr="00E83EE3" w:rsidRDefault="00E83EE3" w:rsidP="00E83EE3">
      <w:pPr>
        <w:spacing w:after="0"/>
        <w:jc w:val="both"/>
        <w:rPr>
          <w:rFonts w:ascii="Book Antiqua" w:hAnsi="Book Antiqua" w:cs="Arial"/>
          <w:b/>
          <w:bCs/>
        </w:rPr>
      </w:pPr>
    </w:p>
    <w:p w:rsidR="00E83EE3" w:rsidRDefault="00E83EE3" w:rsidP="00E83EE3">
      <w:pPr>
        <w:spacing w:after="0"/>
        <w:jc w:val="both"/>
        <w:rPr>
          <w:rFonts w:ascii="Book Antiqua" w:hAnsi="Book Antiqua" w:cs="Arial"/>
        </w:rPr>
      </w:pPr>
      <w:r w:rsidRPr="00E83EE3">
        <w:rPr>
          <w:rFonts w:ascii="Book Antiqua" w:hAnsi="Book Antiqua" w:cs="Arial"/>
        </w:rPr>
        <w:t>While the guideline mentions about the projects which has begun commercial operations</w:t>
      </w:r>
      <w:r>
        <w:rPr>
          <w:rFonts w:ascii="Book Antiqua" w:hAnsi="Book Antiqua" w:cs="Arial"/>
        </w:rPr>
        <w:t xml:space="preserve"> </w:t>
      </w:r>
      <w:r w:rsidRPr="00E83EE3">
        <w:rPr>
          <w:rFonts w:ascii="Book Antiqua" w:hAnsi="Book Antiqua" w:cs="Arial"/>
        </w:rPr>
        <w:t>banks may use the earlier umbrella for projects which has not commenced its operation for</w:t>
      </w:r>
      <w:r>
        <w:rPr>
          <w:rFonts w:ascii="Book Antiqua" w:hAnsi="Book Antiqua" w:cs="Arial"/>
        </w:rPr>
        <w:t xml:space="preserve"> </w:t>
      </w:r>
      <w:r w:rsidRPr="00E83EE3">
        <w:rPr>
          <w:rFonts w:ascii="Book Antiqua" w:hAnsi="Book Antiqua" w:cs="Arial"/>
        </w:rPr>
        <w:t>reducing stress. RBI earlier allowed infrastructure loans to be restructured repeatedly</w:t>
      </w:r>
      <w:r>
        <w:rPr>
          <w:rFonts w:ascii="Book Antiqua" w:hAnsi="Book Antiqua" w:cs="Arial"/>
        </w:rPr>
        <w:t xml:space="preserve"> </w:t>
      </w:r>
      <w:r w:rsidRPr="00E83EE3">
        <w:rPr>
          <w:rFonts w:ascii="Book Antiqua" w:hAnsi="Book Antiqua" w:cs="Arial"/>
        </w:rPr>
        <w:t>subject to certain conditions and retain standard assets status even if the asset has already</w:t>
      </w:r>
      <w:r>
        <w:rPr>
          <w:rFonts w:ascii="Book Antiqua" w:hAnsi="Book Antiqua" w:cs="Arial"/>
        </w:rPr>
        <w:t xml:space="preserve"> </w:t>
      </w:r>
      <w:r w:rsidRPr="00E83EE3">
        <w:rPr>
          <w:rFonts w:ascii="Book Antiqua" w:hAnsi="Book Antiqua" w:cs="Arial"/>
        </w:rPr>
        <w:t>been restructured once in line with its earlier guidelines declared on May 30, 2013. Banks</w:t>
      </w:r>
      <w:r>
        <w:rPr>
          <w:rFonts w:ascii="Book Antiqua" w:hAnsi="Book Antiqua" w:cs="Arial"/>
        </w:rPr>
        <w:t xml:space="preserve"> </w:t>
      </w:r>
      <w:r w:rsidRPr="00E83EE3">
        <w:rPr>
          <w:rFonts w:ascii="Book Antiqua" w:hAnsi="Book Antiqua" w:cs="Arial"/>
        </w:rPr>
        <w:t>may restructure such loans, subject to the extant prudential norms on restructuring of loans,</w:t>
      </w:r>
      <w:r>
        <w:rPr>
          <w:rFonts w:ascii="Book Antiqua" w:hAnsi="Book Antiqua" w:cs="Arial"/>
        </w:rPr>
        <w:t xml:space="preserve"> </w:t>
      </w:r>
      <w:r w:rsidRPr="00E83EE3">
        <w:rPr>
          <w:rFonts w:ascii="Book Antiqua" w:hAnsi="Book Antiqua" w:cs="Arial"/>
        </w:rPr>
        <w:t>by way of revision of DCCO beyond the time limits quoted as above and retain the</w:t>
      </w:r>
      <w:r>
        <w:rPr>
          <w:rFonts w:ascii="Book Antiqua" w:hAnsi="Book Antiqua" w:cs="Arial"/>
        </w:rPr>
        <w:t xml:space="preserve"> </w:t>
      </w:r>
      <w:r w:rsidRPr="00E83EE3">
        <w:rPr>
          <w:rFonts w:ascii="Book Antiqua" w:hAnsi="Book Antiqua" w:cs="Arial"/>
        </w:rPr>
        <w:t>‘standard’ asset classification, if the fresh DCCO is fixed within the following limits, and the</w:t>
      </w:r>
      <w:r>
        <w:rPr>
          <w:rFonts w:ascii="Book Antiqua" w:hAnsi="Book Antiqua" w:cs="Arial"/>
        </w:rPr>
        <w:t xml:space="preserve"> </w:t>
      </w:r>
      <w:r w:rsidRPr="00E83EE3">
        <w:rPr>
          <w:rFonts w:ascii="Book Antiqua" w:hAnsi="Book Antiqua" w:cs="Arial"/>
        </w:rPr>
        <w:t>account continues to be serviced as per the restructured terms:</w:t>
      </w:r>
      <w:r>
        <w:rPr>
          <w:rFonts w:ascii="Book Antiqua" w:hAnsi="Book Antiqua" w:cs="Arial"/>
        </w:rPr>
        <w:t xml:space="preserve"> </w:t>
      </w:r>
    </w:p>
    <w:p w:rsidR="00E83EE3" w:rsidRPr="00E83EE3" w:rsidRDefault="00E83EE3" w:rsidP="00E83EE3">
      <w:pPr>
        <w:pStyle w:val="ListParagraph"/>
        <w:numPr>
          <w:ilvl w:val="0"/>
          <w:numId w:val="3"/>
        </w:numPr>
        <w:spacing w:after="0"/>
        <w:jc w:val="both"/>
        <w:rPr>
          <w:rFonts w:ascii="Book Antiqua" w:hAnsi="Book Antiqua" w:cs="Arial"/>
        </w:rPr>
      </w:pPr>
      <w:r w:rsidRPr="00E83EE3">
        <w:rPr>
          <w:rFonts w:ascii="Book Antiqua" w:hAnsi="Book Antiqua" w:cs="Arial"/>
        </w:rPr>
        <w:t xml:space="preserve"> </w:t>
      </w:r>
      <w:r w:rsidRPr="00E83EE3">
        <w:rPr>
          <w:rFonts w:ascii="Book Antiqua" w:hAnsi="Book Antiqua" w:cs="Arial"/>
          <w:b/>
          <w:bCs/>
        </w:rPr>
        <w:t xml:space="preserve">Infrastructure Projects involving court cases: </w:t>
      </w:r>
      <w:r w:rsidRPr="00E83EE3">
        <w:rPr>
          <w:rFonts w:ascii="Book Antiqua" w:hAnsi="Book Antiqua" w:cs="Arial"/>
        </w:rPr>
        <w:t>Up to another two years (beyond the two year period given as blanket relief, i.e., total extension of four years), in case the</w:t>
      </w:r>
      <w:r>
        <w:rPr>
          <w:rFonts w:ascii="Book Antiqua" w:hAnsi="Book Antiqua" w:cs="Arial"/>
        </w:rPr>
        <w:t xml:space="preserve"> </w:t>
      </w:r>
      <w:r w:rsidRPr="00E83EE3">
        <w:rPr>
          <w:rFonts w:ascii="Book Antiqua" w:hAnsi="Book Antiqua" w:cs="Arial"/>
        </w:rPr>
        <w:t>reason for extension of DCCO is arbitration proceedings or a court case.</w:t>
      </w:r>
    </w:p>
    <w:p w:rsidR="00E83EE3" w:rsidRPr="00E83EE3" w:rsidRDefault="00E83EE3" w:rsidP="00E83EE3">
      <w:pPr>
        <w:pStyle w:val="ListParagraph"/>
        <w:numPr>
          <w:ilvl w:val="0"/>
          <w:numId w:val="3"/>
        </w:numPr>
        <w:spacing w:after="0"/>
        <w:jc w:val="both"/>
        <w:rPr>
          <w:rFonts w:ascii="Book Antiqua" w:hAnsi="Book Antiqua" w:cs="Arial"/>
        </w:rPr>
      </w:pPr>
      <w:r w:rsidRPr="00E83EE3">
        <w:rPr>
          <w:rFonts w:ascii="Book Antiqua" w:hAnsi="Book Antiqua" w:cs="Arial"/>
          <w:b/>
          <w:bCs/>
        </w:rPr>
        <w:t xml:space="preserve">Infrastructure Projects delayed for other reasons beyond the control of promoters: </w:t>
      </w:r>
      <w:r w:rsidRPr="00E83EE3">
        <w:rPr>
          <w:rFonts w:ascii="Book Antiqua" w:hAnsi="Book Antiqua" w:cs="Arial"/>
        </w:rPr>
        <w:t>Up to another one year (beyond the two year period given as a blanket relief, total extension of three years), in case the reason for extension of DCCO is beyond</w:t>
      </w:r>
      <w:r>
        <w:rPr>
          <w:rFonts w:ascii="Book Antiqua" w:hAnsi="Book Antiqua" w:cs="Arial"/>
        </w:rPr>
        <w:t xml:space="preserve"> </w:t>
      </w:r>
      <w:r w:rsidRPr="00E83EE3">
        <w:rPr>
          <w:rFonts w:ascii="Book Antiqua" w:hAnsi="Book Antiqua" w:cs="Arial"/>
        </w:rPr>
        <w:t>the control of promoters (other than court cases)</w:t>
      </w:r>
      <w:r>
        <w:rPr>
          <w:rFonts w:ascii="Book Antiqua" w:hAnsi="Book Antiqua" w:cs="Arial"/>
        </w:rPr>
        <w:t>.</w:t>
      </w:r>
    </w:p>
    <w:p w:rsidR="006F32D3" w:rsidRPr="00AF4E20" w:rsidRDefault="00E83EE3" w:rsidP="00E83EE3">
      <w:pPr>
        <w:pStyle w:val="ListParagraph"/>
        <w:numPr>
          <w:ilvl w:val="0"/>
          <w:numId w:val="3"/>
        </w:numPr>
        <w:spacing w:after="0"/>
        <w:jc w:val="both"/>
        <w:rPr>
          <w:rFonts w:ascii="Book Antiqua" w:hAnsi="Book Antiqua" w:cs="Arial"/>
          <w:color w:val="000000"/>
        </w:rPr>
      </w:pPr>
      <w:r w:rsidRPr="00E83EE3">
        <w:rPr>
          <w:rFonts w:ascii="Book Antiqua" w:hAnsi="Book Antiqua" w:cs="Arial"/>
        </w:rPr>
        <w:t xml:space="preserve"> </w:t>
      </w:r>
      <w:r w:rsidRPr="00E83EE3">
        <w:rPr>
          <w:rFonts w:ascii="Book Antiqua" w:hAnsi="Book Antiqua" w:cs="Arial"/>
          <w:b/>
          <w:bCs/>
        </w:rPr>
        <w:t xml:space="preserve">Project Loans for Non-Infrastructure Sector </w:t>
      </w:r>
      <w:r w:rsidRPr="00E83EE3">
        <w:rPr>
          <w:rFonts w:ascii="Book Antiqua" w:hAnsi="Book Antiqua" w:cs="Arial"/>
        </w:rPr>
        <w:t>(Other than Commercial Real Estate) Up</w:t>
      </w:r>
      <w:r>
        <w:rPr>
          <w:rFonts w:ascii="Book Antiqua" w:hAnsi="Book Antiqua" w:cs="Arial"/>
        </w:rPr>
        <w:t xml:space="preserve"> </w:t>
      </w:r>
      <w:r w:rsidRPr="00E83EE3">
        <w:rPr>
          <w:rFonts w:ascii="Book Antiqua" w:hAnsi="Book Antiqua" w:cs="Arial"/>
        </w:rPr>
        <w:t>to another one year (beyond the one year period as given as a blanket relief, i.e., total extension of two years)</w:t>
      </w:r>
    </w:p>
    <w:p w:rsidR="00AF4E20" w:rsidRPr="00E83EE3" w:rsidRDefault="00AF4E20" w:rsidP="00AF4E20">
      <w:pPr>
        <w:pStyle w:val="ListParagraph"/>
        <w:spacing w:after="0"/>
        <w:jc w:val="both"/>
        <w:rPr>
          <w:rFonts w:ascii="Book Antiqua" w:hAnsi="Book Antiqua" w:cs="Arial"/>
          <w:color w:val="000000"/>
        </w:rPr>
      </w:pPr>
    </w:p>
    <w:p w:rsidR="006F32D3" w:rsidRDefault="006F32D3" w:rsidP="00706BA7">
      <w:pPr>
        <w:autoSpaceDE w:val="0"/>
        <w:autoSpaceDN w:val="0"/>
        <w:adjustRightInd w:val="0"/>
        <w:spacing w:after="0" w:line="240" w:lineRule="auto"/>
        <w:jc w:val="both"/>
        <w:rPr>
          <w:rFonts w:ascii="Book Antiqua" w:hAnsi="Book Antiqua" w:cs="Arial"/>
          <w:color w:val="000000"/>
        </w:rPr>
      </w:pPr>
      <w:r w:rsidRPr="006F32D3">
        <w:rPr>
          <w:rFonts w:ascii="Book Antiqua" w:hAnsi="Book Antiqua" w:cs="Arial"/>
          <w:color w:val="000000"/>
        </w:rPr>
        <w:t xml:space="preserve">It is reiterated </w:t>
      </w:r>
      <w:r w:rsidRPr="00706BA7">
        <w:rPr>
          <w:rFonts w:ascii="Book Antiqua" w:hAnsi="Book Antiqua" w:cs="Arial"/>
          <w:color w:val="000000"/>
        </w:rPr>
        <w:t xml:space="preserve">in the </w:t>
      </w:r>
      <w:r w:rsidR="00AF4E20">
        <w:rPr>
          <w:rFonts w:ascii="Book Antiqua" w:hAnsi="Book Antiqua" w:cs="Arial"/>
          <w:color w:val="000000"/>
        </w:rPr>
        <w:t xml:space="preserve">RBI </w:t>
      </w:r>
      <w:r w:rsidRPr="00706BA7">
        <w:rPr>
          <w:rFonts w:ascii="Book Antiqua" w:hAnsi="Book Antiqua" w:cs="Arial"/>
          <w:color w:val="000000"/>
        </w:rPr>
        <w:t xml:space="preserve">Circular </w:t>
      </w:r>
      <w:r w:rsidRPr="006F32D3">
        <w:rPr>
          <w:rFonts w:ascii="Book Antiqua" w:hAnsi="Book Antiqua" w:cs="Arial"/>
          <w:color w:val="000000"/>
        </w:rPr>
        <w:t xml:space="preserve">that the exercise of flexible structuring and refinancing should be carried out only after DCCO. </w:t>
      </w:r>
      <w:r w:rsidRPr="00706BA7">
        <w:rPr>
          <w:rFonts w:ascii="Book Antiqua" w:hAnsi="Book Antiqua" w:cs="Arial"/>
          <w:color w:val="000000"/>
        </w:rPr>
        <w:t xml:space="preserve">Further </w:t>
      </w:r>
      <w:r w:rsidRPr="006F32D3">
        <w:rPr>
          <w:rFonts w:ascii="Book Antiqua" w:hAnsi="Book Antiqua" w:cs="Arial"/>
          <w:color w:val="000000"/>
        </w:rPr>
        <w:t xml:space="preserve">one of the conditions of Master Circular on Prudential norms on Income Recognition, Asset Classification and Provisioning pertaining to Advances dated July 1, 2014, viz., “The repayment period of the restructured advance including the moratorium, if any, does not exceed 15 years in the case of infrastructure advances and 10 years in the case of other advances”) for availing special asset class benefits under restructuring guidelines will cease to be applicable on any loan to infrastructure and core industries projects covered under the ambit of this circular. </w:t>
      </w:r>
    </w:p>
    <w:p w:rsidR="00FE2BCB" w:rsidRDefault="00FE2BCB" w:rsidP="00706BA7">
      <w:pPr>
        <w:autoSpaceDE w:val="0"/>
        <w:autoSpaceDN w:val="0"/>
        <w:adjustRightInd w:val="0"/>
        <w:spacing w:after="0" w:line="240" w:lineRule="auto"/>
        <w:jc w:val="both"/>
        <w:rPr>
          <w:rFonts w:ascii="Book Antiqua" w:hAnsi="Book Antiqua" w:cs="Arial"/>
          <w:color w:val="000000"/>
        </w:rPr>
      </w:pPr>
    </w:p>
    <w:p w:rsidR="00C85366" w:rsidRDefault="00C85366" w:rsidP="00706BA7">
      <w:pPr>
        <w:autoSpaceDE w:val="0"/>
        <w:autoSpaceDN w:val="0"/>
        <w:adjustRightInd w:val="0"/>
        <w:spacing w:after="0" w:line="240" w:lineRule="auto"/>
        <w:jc w:val="both"/>
        <w:rPr>
          <w:rFonts w:ascii="Book Antiqua" w:hAnsi="Book Antiqua" w:cs="Arial"/>
          <w:i/>
          <w:color w:val="000000"/>
          <w:sz w:val="20"/>
        </w:rPr>
      </w:pPr>
    </w:p>
    <w:p w:rsidR="00C85366" w:rsidRPr="00706BA7" w:rsidRDefault="00C85366" w:rsidP="00C85366">
      <w:pPr>
        <w:spacing w:after="0"/>
        <w:jc w:val="both"/>
        <w:rPr>
          <w:rFonts w:ascii="Book Antiqua" w:hAnsi="Book Antiqua"/>
          <w:sz w:val="20"/>
          <w:szCs w:val="20"/>
        </w:rPr>
      </w:pPr>
      <w:r>
        <w:rPr>
          <w:rFonts w:ascii="Book Antiqua" w:hAnsi="Book Antiqua"/>
          <w:sz w:val="20"/>
          <w:szCs w:val="20"/>
        </w:rPr>
        <w:t xml:space="preserve">CA. </w:t>
      </w:r>
      <w:proofErr w:type="spellStart"/>
      <w:r w:rsidRPr="00706BA7">
        <w:rPr>
          <w:rFonts w:ascii="Book Antiqua" w:hAnsi="Book Antiqua"/>
          <w:sz w:val="20"/>
          <w:szCs w:val="20"/>
        </w:rPr>
        <w:t>Sumat</w:t>
      </w:r>
      <w:proofErr w:type="spellEnd"/>
      <w:r w:rsidRPr="00706BA7">
        <w:rPr>
          <w:rFonts w:ascii="Book Antiqua" w:hAnsi="Book Antiqua"/>
          <w:sz w:val="20"/>
          <w:szCs w:val="20"/>
        </w:rPr>
        <w:t xml:space="preserve"> Singhal</w:t>
      </w:r>
    </w:p>
    <w:p w:rsidR="00C85366" w:rsidRPr="00706BA7" w:rsidRDefault="00C85366" w:rsidP="00C85366">
      <w:pPr>
        <w:spacing w:after="0"/>
        <w:jc w:val="both"/>
        <w:rPr>
          <w:rFonts w:ascii="Book Antiqua" w:hAnsi="Book Antiqua"/>
        </w:rPr>
      </w:pPr>
      <w:r w:rsidRPr="00706BA7">
        <w:rPr>
          <w:rFonts w:ascii="Book Antiqua" w:hAnsi="Book Antiqua"/>
          <w:sz w:val="18"/>
          <w:szCs w:val="18"/>
        </w:rPr>
        <w:t xml:space="preserve">(B.Com, CAIIB, DTIRM, ACA, ACS, </w:t>
      </w:r>
      <w:proofErr w:type="gramStart"/>
      <w:r w:rsidRPr="00706BA7">
        <w:rPr>
          <w:rFonts w:ascii="Book Antiqua" w:hAnsi="Book Antiqua"/>
          <w:sz w:val="18"/>
          <w:szCs w:val="18"/>
        </w:rPr>
        <w:t>CWA(</w:t>
      </w:r>
      <w:proofErr w:type="gramEnd"/>
      <w:r w:rsidRPr="00706BA7">
        <w:rPr>
          <w:rFonts w:ascii="Book Antiqua" w:hAnsi="Book Antiqua"/>
          <w:sz w:val="18"/>
          <w:szCs w:val="18"/>
        </w:rPr>
        <w:t>F)</w:t>
      </w:r>
    </w:p>
    <w:p w:rsidR="00C85366" w:rsidRDefault="00C85366" w:rsidP="00706BA7">
      <w:pPr>
        <w:autoSpaceDE w:val="0"/>
        <w:autoSpaceDN w:val="0"/>
        <w:adjustRightInd w:val="0"/>
        <w:spacing w:after="0" w:line="240" w:lineRule="auto"/>
        <w:jc w:val="both"/>
        <w:rPr>
          <w:rFonts w:ascii="Book Antiqua" w:hAnsi="Book Antiqua" w:cs="Arial"/>
          <w:i/>
          <w:color w:val="000000"/>
          <w:sz w:val="20"/>
        </w:rPr>
      </w:pPr>
      <w:bookmarkStart w:id="0" w:name="_GoBack"/>
      <w:bookmarkEnd w:id="0"/>
    </w:p>
    <w:p w:rsidR="00FE2BCB" w:rsidRPr="00FE2BCB" w:rsidRDefault="00FE2BCB" w:rsidP="00706BA7">
      <w:pPr>
        <w:autoSpaceDE w:val="0"/>
        <w:autoSpaceDN w:val="0"/>
        <w:adjustRightInd w:val="0"/>
        <w:spacing w:after="0" w:line="240" w:lineRule="auto"/>
        <w:jc w:val="both"/>
        <w:rPr>
          <w:rFonts w:ascii="Book Antiqua" w:hAnsi="Book Antiqua" w:cs="Arial"/>
          <w:i/>
          <w:color w:val="000000"/>
          <w:sz w:val="20"/>
        </w:rPr>
      </w:pPr>
      <w:r w:rsidRPr="00FE2BCB">
        <w:rPr>
          <w:rFonts w:ascii="Book Antiqua" w:hAnsi="Book Antiqua" w:cs="Arial"/>
          <w:i/>
          <w:color w:val="000000"/>
          <w:sz w:val="20"/>
        </w:rPr>
        <w:t>January 2016</w:t>
      </w:r>
    </w:p>
    <w:p w:rsidR="00FE2BCB" w:rsidRPr="006F32D3" w:rsidRDefault="00FE2BCB" w:rsidP="00706BA7">
      <w:pPr>
        <w:autoSpaceDE w:val="0"/>
        <w:autoSpaceDN w:val="0"/>
        <w:adjustRightInd w:val="0"/>
        <w:spacing w:after="0" w:line="240" w:lineRule="auto"/>
        <w:jc w:val="both"/>
        <w:rPr>
          <w:rFonts w:ascii="Book Antiqua" w:hAnsi="Book Antiqua" w:cs="Arial"/>
          <w:i/>
          <w:color w:val="000000"/>
          <w:sz w:val="20"/>
        </w:rPr>
      </w:pPr>
      <w:r w:rsidRPr="00FE2BCB">
        <w:rPr>
          <w:rFonts w:ascii="Book Antiqua" w:hAnsi="Book Antiqua" w:cs="Arial"/>
          <w:i/>
          <w:color w:val="000000"/>
          <w:sz w:val="20"/>
        </w:rPr>
        <w:t xml:space="preserve">Sources: Various Readings </w:t>
      </w:r>
    </w:p>
    <w:p w:rsidR="001B53B1" w:rsidRPr="00706BA7" w:rsidRDefault="001B53B1" w:rsidP="00706BA7">
      <w:pPr>
        <w:pStyle w:val="Default"/>
        <w:jc w:val="both"/>
        <w:rPr>
          <w:rFonts w:ascii="Book Antiqua" w:hAnsi="Book Antiqua"/>
          <w:sz w:val="22"/>
          <w:szCs w:val="22"/>
        </w:rPr>
      </w:pPr>
    </w:p>
    <w:sectPr w:rsidR="001B53B1" w:rsidRPr="00706BA7" w:rsidSect="000C142C">
      <w:pgSz w:w="12240" w:h="15840"/>
      <w:pgMar w:top="1440" w:right="1440" w:bottom="126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61792"/>
    <w:multiLevelType w:val="hybridMultilevel"/>
    <w:tmpl w:val="1272DDE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B61D41"/>
    <w:multiLevelType w:val="hybridMultilevel"/>
    <w:tmpl w:val="2C7CDE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A7626D"/>
    <w:multiLevelType w:val="hybridMultilevel"/>
    <w:tmpl w:val="E8A80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B94"/>
    <w:rsid w:val="00064553"/>
    <w:rsid w:val="000C142C"/>
    <w:rsid w:val="0015624D"/>
    <w:rsid w:val="00180C1C"/>
    <w:rsid w:val="001B53B1"/>
    <w:rsid w:val="00240123"/>
    <w:rsid w:val="0033166E"/>
    <w:rsid w:val="00351150"/>
    <w:rsid w:val="003D516B"/>
    <w:rsid w:val="004047E5"/>
    <w:rsid w:val="00426B94"/>
    <w:rsid w:val="0044131C"/>
    <w:rsid w:val="004F2D37"/>
    <w:rsid w:val="00610FB8"/>
    <w:rsid w:val="00614AA9"/>
    <w:rsid w:val="00676FFE"/>
    <w:rsid w:val="00691B82"/>
    <w:rsid w:val="006F32D3"/>
    <w:rsid w:val="00706BA7"/>
    <w:rsid w:val="007E1261"/>
    <w:rsid w:val="00881988"/>
    <w:rsid w:val="009E5385"/>
    <w:rsid w:val="00A47E94"/>
    <w:rsid w:val="00A77022"/>
    <w:rsid w:val="00AF4E20"/>
    <w:rsid w:val="00C45C65"/>
    <w:rsid w:val="00C85366"/>
    <w:rsid w:val="00CC1788"/>
    <w:rsid w:val="00CE1909"/>
    <w:rsid w:val="00DD6672"/>
    <w:rsid w:val="00E06061"/>
    <w:rsid w:val="00E83EE3"/>
    <w:rsid w:val="00FE2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53B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06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BA7"/>
    <w:rPr>
      <w:rFonts w:ascii="Tahoma" w:hAnsi="Tahoma" w:cs="Tahoma"/>
      <w:sz w:val="16"/>
      <w:szCs w:val="16"/>
    </w:rPr>
  </w:style>
  <w:style w:type="paragraph" w:styleId="NormalWeb">
    <w:name w:val="Normal (Web)"/>
    <w:basedOn w:val="Normal"/>
    <w:uiPriority w:val="99"/>
    <w:semiHidden/>
    <w:unhideWhenUsed/>
    <w:rsid w:val="00676FFE"/>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E83E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53B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06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BA7"/>
    <w:rPr>
      <w:rFonts w:ascii="Tahoma" w:hAnsi="Tahoma" w:cs="Tahoma"/>
      <w:sz w:val="16"/>
      <w:szCs w:val="16"/>
    </w:rPr>
  </w:style>
  <w:style w:type="paragraph" w:styleId="NormalWeb">
    <w:name w:val="Normal (Web)"/>
    <w:basedOn w:val="Normal"/>
    <w:uiPriority w:val="99"/>
    <w:semiHidden/>
    <w:unhideWhenUsed/>
    <w:rsid w:val="00676FFE"/>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E83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070092">
      <w:bodyDiv w:val="1"/>
      <w:marLeft w:val="0"/>
      <w:marRight w:val="0"/>
      <w:marTop w:val="0"/>
      <w:marBottom w:val="0"/>
      <w:divBdr>
        <w:top w:val="none" w:sz="0" w:space="0" w:color="auto"/>
        <w:left w:val="none" w:sz="0" w:space="0" w:color="auto"/>
        <w:bottom w:val="none" w:sz="0" w:space="0" w:color="auto"/>
        <w:right w:val="none" w:sz="0" w:space="0" w:color="auto"/>
      </w:divBdr>
    </w:div>
    <w:div w:id="691345283">
      <w:bodyDiv w:val="1"/>
      <w:marLeft w:val="0"/>
      <w:marRight w:val="0"/>
      <w:marTop w:val="0"/>
      <w:marBottom w:val="0"/>
      <w:divBdr>
        <w:top w:val="none" w:sz="0" w:space="0" w:color="auto"/>
        <w:left w:val="none" w:sz="0" w:space="0" w:color="auto"/>
        <w:bottom w:val="none" w:sz="0" w:space="0" w:color="auto"/>
        <w:right w:val="none" w:sz="0" w:space="0" w:color="auto"/>
      </w:divBdr>
    </w:div>
    <w:div w:id="1630621721">
      <w:bodyDiv w:val="1"/>
      <w:marLeft w:val="0"/>
      <w:marRight w:val="0"/>
      <w:marTop w:val="0"/>
      <w:marBottom w:val="0"/>
      <w:divBdr>
        <w:top w:val="none" w:sz="0" w:space="0" w:color="auto"/>
        <w:left w:val="none" w:sz="0" w:space="0" w:color="auto"/>
        <w:bottom w:val="none" w:sz="0" w:space="0" w:color="auto"/>
        <w:right w:val="none" w:sz="0" w:space="0" w:color="auto"/>
      </w:divBdr>
      <w:divsChild>
        <w:div w:id="860052726">
          <w:marLeft w:val="547"/>
          <w:marRight w:val="0"/>
          <w:marTop w:val="0"/>
          <w:marBottom w:val="0"/>
          <w:divBdr>
            <w:top w:val="none" w:sz="0" w:space="0" w:color="auto"/>
            <w:left w:val="none" w:sz="0" w:space="0" w:color="auto"/>
            <w:bottom w:val="none" w:sz="0" w:space="0" w:color="auto"/>
            <w:right w:val="none" w:sz="0" w:space="0" w:color="auto"/>
          </w:divBdr>
        </w:div>
        <w:div w:id="21214132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4AD31E-EF68-4473-BCF6-709B0AF1CAE8}"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US"/>
        </a:p>
      </dgm:t>
    </dgm:pt>
    <dgm:pt modelId="{759100AD-6EEA-48CD-92DB-E3118E86C080}">
      <dgm:prSet phldrT="[Text]" custT="1"/>
      <dgm:spPr/>
      <dgm:t>
        <a:bodyPr/>
        <a:lstStyle/>
        <a:p>
          <a:r>
            <a:rPr lang="en-US" sz="1400"/>
            <a:t>Gap between Internal Rate of Return (IRR) and Cost of Capital – </a:t>
          </a:r>
        </a:p>
      </dgm:t>
    </dgm:pt>
    <dgm:pt modelId="{049194F3-C030-464B-8EFB-5EFD48318CC1}" type="parTrans" cxnId="{4775823D-9951-4281-AD52-8B64EE920E4C}">
      <dgm:prSet/>
      <dgm:spPr/>
      <dgm:t>
        <a:bodyPr/>
        <a:lstStyle/>
        <a:p>
          <a:endParaRPr lang="en-US"/>
        </a:p>
      </dgm:t>
    </dgm:pt>
    <dgm:pt modelId="{C32C29FB-6C95-4FE3-87D9-0BD53CA87A23}" type="sibTrans" cxnId="{4775823D-9951-4281-AD52-8B64EE920E4C}">
      <dgm:prSet/>
      <dgm:spPr/>
      <dgm:t>
        <a:bodyPr/>
        <a:lstStyle/>
        <a:p>
          <a:endParaRPr lang="en-US"/>
        </a:p>
      </dgm:t>
    </dgm:pt>
    <dgm:pt modelId="{3252BDDC-3F61-4EF0-A1FF-2E04B1662283}">
      <dgm:prSet phldrT="[Text]"/>
      <dgm:spPr/>
      <dgm:t>
        <a:bodyPr/>
        <a:lstStyle/>
        <a:p>
          <a:r>
            <a:rPr lang="en-US"/>
            <a:t>The benchmark gap between IRR and Average Cost of Funds should be at least 1%.</a:t>
          </a:r>
        </a:p>
      </dgm:t>
    </dgm:pt>
    <dgm:pt modelId="{D9CAD71D-914E-46D7-9FC9-EF78DE283F97}" type="parTrans" cxnId="{0AFD429B-4A7C-4BFF-89A2-F69EC56518B1}">
      <dgm:prSet/>
      <dgm:spPr/>
      <dgm:t>
        <a:bodyPr/>
        <a:lstStyle/>
        <a:p>
          <a:endParaRPr lang="en-US"/>
        </a:p>
      </dgm:t>
    </dgm:pt>
    <dgm:pt modelId="{7136E2B0-4F37-463A-AB9A-38FD405076C4}" type="sibTrans" cxnId="{0AFD429B-4A7C-4BFF-89A2-F69EC56518B1}">
      <dgm:prSet/>
      <dgm:spPr/>
      <dgm:t>
        <a:bodyPr/>
        <a:lstStyle/>
        <a:p>
          <a:endParaRPr lang="en-US"/>
        </a:p>
      </dgm:t>
    </dgm:pt>
    <dgm:pt modelId="{3600EA14-807F-47F6-9BCF-0FEA32945DD5}">
      <dgm:prSet custT="1"/>
      <dgm:spPr/>
      <dgm:t>
        <a:bodyPr/>
        <a:lstStyle/>
        <a:p>
          <a:endParaRPr lang="en-US" sz="1400"/>
        </a:p>
        <a:p>
          <a:endParaRPr lang="en-US" sz="1400"/>
        </a:p>
        <a:p>
          <a:endParaRPr lang="en-US" sz="1400"/>
        </a:p>
        <a:p>
          <a:endParaRPr lang="en-US" sz="1400"/>
        </a:p>
        <a:p>
          <a:endParaRPr lang="en-US" sz="1400"/>
        </a:p>
        <a:p>
          <a:endParaRPr lang="en-US" sz="1400"/>
        </a:p>
        <a:p>
          <a:r>
            <a:rPr lang="en-US" sz="1400"/>
            <a:t>Return on Capital Employed (ROCE) –</a:t>
          </a:r>
        </a:p>
        <a:p>
          <a:r>
            <a:rPr lang="en-US" sz="1400"/>
            <a:t>Minimum ROCE equivalent to 5 year G-Sec plus 2% may be considered as adequate</a:t>
          </a:r>
        </a:p>
      </dgm:t>
    </dgm:pt>
    <dgm:pt modelId="{A226629C-317C-4A07-A006-7BC2ED7EE164}" type="parTrans" cxnId="{0EBFCFB3-0A2B-4B91-8D1D-9859B24F9737}">
      <dgm:prSet/>
      <dgm:spPr/>
      <dgm:t>
        <a:bodyPr/>
        <a:lstStyle/>
        <a:p>
          <a:endParaRPr lang="en-US"/>
        </a:p>
      </dgm:t>
    </dgm:pt>
    <dgm:pt modelId="{CA4E4FE0-3F2A-4B4A-BBEE-FDA0DA8A2BDB}" type="sibTrans" cxnId="{0EBFCFB3-0A2B-4B91-8D1D-9859B24F9737}">
      <dgm:prSet/>
      <dgm:spPr/>
      <dgm:t>
        <a:bodyPr/>
        <a:lstStyle/>
        <a:p>
          <a:endParaRPr lang="en-US"/>
        </a:p>
      </dgm:t>
    </dgm:pt>
    <dgm:pt modelId="{6724071D-FA5F-4850-B1A5-F127A72AF98F}">
      <dgm:prSet custT="1"/>
      <dgm:spPr/>
      <dgm:t>
        <a:bodyPr/>
        <a:lstStyle/>
        <a:p>
          <a:endParaRPr lang="en-US" sz="1400"/>
        </a:p>
        <a:p>
          <a:endParaRPr lang="en-US" sz="1400"/>
        </a:p>
        <a:p>
          <a:endParaRPr lang="en-US" sz="1400"/>
        </a:p>
        <a:p>
          <a:endParaRPr lang="en-US" sz="1400"/>
        </a:p>
        <a:p>
          <a:endParaRPr lang="en-US" sz="1400"/>
        </a:p>
        <a:p>
          <a:endParaRPr lang="en-US" sz="1400"/>
        </a:p>
        <a:p>
          <a:endParaRPr lang="en-US" sz="1400"/>
        </a:p>
        <a:p>
          <a:r>
            <a:rPr lang="en-US" sz="1400"/>
            <a:t>Debt Service Coverage Ratio (DSCR) – The adjusted DSCR should be &gt;1.25 within the 7 years period in which the unit should become viable and on year-to-year basis DSCR to be above 1. The normal DSCR for 10 years</a:t>
          </a:r>
        </a:p>
        <a:p>
          <a:r>
            <a:rPr lang="en-US" sz="1400"/>
            <a:t>repayment period should be around 1.33:1.</a:t>
          </a:r>
          <a:endParaRPr lang="en-US" sz="1400" dirty="0" smtClean="0">
            <a:solidFill>
              <a:sysClr val="windowText" lastClr="000000"/>
            </a:solidFill>
          </a:endParaRPr>
        </a:p>
      </dgm:t>
    </dgm:pt>
    <dgm:pt modelId="{D954183C-6620-40D5-B069-E267C13F6886}" type="sibTrans" cxnId="{BC373B36-05F3-4790-BB38-D84E865D131A}">
      <dgm:prSet/>
      <dgm:spPr/>
      <dgm:t>
        <a:bodyPr/>
        <a:lstStyle/>
        <a:p>
          <a:endParaRPr lang="en-US"/>
        </a:p>
      </dgm:t>
    </dgm:pt>
    <dgm:pt modelId="{70C0C0DD-6BEB-4DAA-AEBD-813B6215DBDC}" type="parTrans" cxnId="{BC373B36-05F3-4790-BB38-D84E865D131A}">
      <dgm:prSet/>
      <dgm:spPr/>
      <dgm:t>
        <a:bodyPr/>
        <a:lstStyle/>
        <a:p>
          <a:endParaRPr lang="en-US"/>
        </a:p>
      </dgm:t>
    </dgm:pt>
    <dgm:pt modelId="{0D0C04BE-FEC3-42D9-8434-3E8D00D79E45}" type="pres">
      <dgm:prSet presAssocID="{5C4AD31E-EF68-4473-BCF6-709B0AF1CAE8}" presName="theList" presStyleCnt="0">
        <dgm:presLayoutVars>
          <dgm:dir/>
          <dgm:animLvl val="lvl"/>
          <dgm:resizeHandles val="exact"/>
        </dgm:presLayoutVars>
      </dgm:prSet>
      <dgm:spPr/>
      <dgm:t>
        <a:bodyPr/>
        <a:lstStyle/>
        <a:p>
          <a:endParaRPr lang="en-US"/>
        </a:p>
      </dgm:t>
    </dgm:pt>
    <dgm:pt modelId="{965AE178-C6BC-4C7C-BD83-DF55923F9970}" type="pres">
      <dgm:prSet presAssocID="{3600EA14-807F-47F6-9BCF-0FEA32945DD5}" presName="compNode" presStyleCnt="0"/>
      <dgm:spPr/>
    </dgm:pt>
    <dgm:pt modelId="{0EBEE18B-23E4-487D-97FA-201CC8949400}" type="pres">
      <dgm:prSet presAssocID="{3600EA14-807F-47F6-9BCF-0FEA32945DD5}" presName="aNode" presStyleLbl="bgShp" presStyleIdx="0" presStyleCnt="3"/>
      <dgm:spPr/>
      <dgm:t>
        <a:bodyPr/>
        <a:lstStyle/>
        <a:p>
          <a:endParaRPr lang="en-US"/>
        </a:p>
      </dgm:t>
    </dgm:pt>
    <dgm:pt modelId="{1307E80A-6EED-4EDC-8633-144DB9A56DBE}" type="pres">
      <dgm:prSet presAssocID="{3600EA14-807F-47F6-9BCF-0FEA32945DD5}" presName="textNode" presStyleLbl="bgShp" presStyleIdx="0" presStyleCnt="3"/>
      <dgm:spPr/>
      <dgm:t>
        <a:bodyPr/>
        <a:lstStyle/>
        <a:p>
          <a:endParaRPr lang="en-US"/>
        </a:p>
      </dgm:t>
    </dgm:pt>
    <dgm:pt modelId="{04ECF57F-A20F-41D7-9CC3-5D00F5BEDDD2}" type="pres">
      <dgm:prSet presAssocID="{3600EA14-807F-47F6-9BCF-0FEA32945DD5}" presName="compChildNode" presStyleCnt="0"/>
      <dgm:spPr/>
    </dgm:pt>
    <dgm:pt modelId="{3A4946A9-8F6E-461B-A03F-0BFEC61FAEB3}" type="pres">
      <dgm:prSet presAssocID="{3600EA14-807F-47F6-9BCF-0FEA32945DD5}" presName="theInnerList" presStyleCnt="0"/>
      <dgm:spPr/>
    </dgm:pt>
    <dgm:pt modelId="{7100AD3B-E78B-4D18-8AD9-C34BF36985BD}" type="pres">
      <dgm:prSet presAssocID="{3600EA14-807F-47F6-9BCF-0FEA32945DD5}" presName="aSpace" presStyleCnt="0"/>
      <dgm:spPr/>
    </dgm:pt>
    <dgm:pt modelId="{D5A10514-5456-4898-A18F-635128C59AF3}" type="pres">
      <dgm:prSet presAssocID="{759100AD-6EEA-48CD-92DB-E3118E86C080}" presName="compNode" presStyleCnt="0"/>
      <dgm:spPr/>
    </dgm:pt>
    <dgm:pt modelId="{EA3E4EB6-6E17-425B-9663-5CEB28D291F4}" type="pres">
      <dgm:prSet presAssocID="{759100AD-6EEA-48CD-92DB-E3118E86C080}" presName="aNode" presStyleLbl="bgShp" presStyleIdx="1" presStyleCnt="3"/>
      <dgm:spPr/>
      <dgm:t>
        <a:bodyPr/>
        <a:lstStyle/>
        <a:p>
          <a:endParaRPr lang="en-US"/>
        </a:p>
      </dgm:t>
    </dgm:pt>
    <dgm:pt modelId="{1BA86977-31B9-4608-980A-2B336B5BAD55}" type="pres">
      <dgm:prSet presAssocID="{759100AD-6EEA-48CD-92DB-E3118E86C080}" presName="textNode" presStyleLbl="bgShp" presStyleIdx="1" presStyleCnt="3"/>
      <dgm:spPr/>
      <dgm:t>
        <a:bodyPr/>
        <a:lstStyle/>
        <a:p>
          <a:endParaRPr lang="en-US"/>
        </a:p>
      </dgm:t>
    </dgm:pt>
    <dgm:pt modelId="{1DADFCFB-F3AB-412C-AD2E-E6795D392697}" type="pres">
      <dgm:prSet presAssocID="{759100AD-6EEA-48CD-92DB-E3118E86C080}" presName="compChildNode" presStyleCnt="0"/>
      <dgm:spPr/>
    </dgm:pt>
    <dgm:pt modelId="{FBAFEEA1-C100-4124-9FB0-1FDF300DB572}" type="pres">
      <dgm:prSet presAssocID="{759100AD-6EEA-48CD-92DB-E3118E86C080}" presName="theInnerList" presStyleCnt="0"/>
      <dgm:spPr/>
    </dgm:pt>
    <dgm:pt modelId="{3BEE0D49-DAAA-413C-B3D2-A12BDF8ECF16}" type="pres">
      <dgm:prSet presAssocID="{3252BDDC-3F61-4EF0-A1FF-2E04B1662283}" presName="childNode" presStyleLbl="node1" presStyleIdx="0" presStyleCnt="1">
        <dgm:presLayoutVars>
          <dgm:bulletEnabled val="1"/>
        </dgm:presLayoutVars>
      </dgm:prSet>
      <dgm:spPr/>
      <dgm:t>
        <a:bodyPr/>
        <a:lstStyle/>
        <a:p>
          <a:endParaRPr lang="en-US"/>
        </a:p>
      </dgm:t>
    </dgm:pt>
    <dgm:pt modelId="{EE11730D-113D-4AF0-844F-89D46D45A57E}" type="pres">
      <dgm:prSet presAssocID="{759100AD-6EEA-48CD-92DB-E3118E86C080}" presName="aSpace" presStyleCnt="0"/>
      <dgm:spPr/>
    </dgm:pt>
    <dgm:pt modelId="{CF2AD9CA-0AAF-41F1-8DDB-30BAB48F282B}" type="pres">
      <dgm:prSet presAssocID="{6724071D-FA5F-4850-B1A5-F127A72AF98F}" presName="compNode" presStyleCnt="0"/>
      <dgm:spPr/>
    </dgm:pt>
    <dgm:pt modelId="{262FCD90-E46E-418B-905C-2A97722E3889}" type="pres">
      <dgm:prSet presAssocID="{6724071D-FA5F-4850-B1A5-F127A72AF98F}" presName="aNode" presStyleLbl="bgShp" presStyleIdx="2" presStyleCnt="3"/>
      <dgm:spPr/>
      <dgm:t>
        <a:bodyPr/>
        <a:lstStyle/>
        <a:p>
          <a:endParaRPr lang="en-US"/>
        </a:p>
      </dgm:t>
    </dgm:pt>
    <dgm:pt modelId="{1F1BEA9F-4AC4-40B2-9DF1-7DC87CA4BDDE}" type="pres">
      <dgm:prSet presAssocID="{6724071D-FA5F-4850-B1A5-F127A72AF98F}" presName="textNode" presStyleLbl="bgShp" presStyleIdx="2" presStyleCnt="3"/>
      <dgm:spPr/>
      <dgm:t>
        <a:bodyPr/>
        <a:lstStyle/>
        <a:p>
          <a:endParaRPr lang="en-US"/>
        </a:p>
      </dgm:t>
    </dgm:pt>
    <dgm:pt modelId="{923DFA7A-D144-4491-99D4-3BD057D6E024}" type="pres">
      <dgm:prSet presAssocID="{6724071D-FA5F-4850-B1A5-F127A72AF98F}" presName="compChildNode" presStyleCnt="0"/>
      <dgm:spPr/>
    </dgm:pt>
    <dgm:pt modelId="{2086A517-18CA-429F-A36F-94C9FF855C01}" type="pres">
      <dgm:prSet presAssocID="{6724071D-FA5F-4850-B1A5-F127A72AF98F}" presName="theInnerList" presStyleCnt="0"/>
      <dgm:spPr/>
    </dgm:pt>
  </dgm:ptLst>
  <dgm:cxnLst>
    <dgm:cxn modelId="{4D66C353-5F39-4C70-AC98-D1E4A960F07C}" type="presOf" srcId="{759100AD-6EEA-48CD-92DB-E3118E86C080}" destId="{1BA86977-31B9-4608-980A-2B336B5BAD55}" srcOrd="1" destOrd="0" presId="urn:microsoft.com/office/officeart/2005/8/layout/lProcess2"/>
    <dgm:cxn modelId="{4775823D-9951-4281-AD52-8B64EE920E4C}" srcId="{5C4AD31E-EF68-4473-BCF6-709B0AF1CAE8}" destId="{759100AD-6EEA-48CD-92DB-E3118E86C080}" srcOrd="1" destOrd="0" parTransId="{049194F3-C030-464B-8EFB-5EFD48318CC1}" sibTransId="{C32C29FB-6C95-4FE3-87D9-0BD53CA87A23}"/>
    <dgm:cxn modelId="{0AFD429B-4A7C-4BFF-89A2-F69EC56518B1}" srcId="{759100AD-6EEA-48CD-92DB-E3118E86C080}" destId="{3252BDDC-3F61-4EF0-A1FF-2E04B1662283}" srcOrd="0" destOrd="0" parTransId="{D9CAD71D-914E-46D7-9FC9-EF78DE283F97}" sibTransId="{7136E2B0-4F37-463A-AB9A-38FD405076C4}"/>
    <dgm:cxn modelId="{B91F9E06-8B33-4437-A407-DC465050A6AF}" type="presOf" srcId="{6724071D-FA5F-4850-B1A5-F127A72AF98F}" destId="{1F1BEA9F-4AC4-40B2-9DF1-7DC87CA4BDDE}" srcOrd="1" destOrd="0" presId="urn:microsoft.com/office/officeart/2005/8/layout/lProcess2"/>
    <dgm:cxn modelId="{C2D3A8C6-E639-4B91-8071-FDFA61133D1C}" type="presOf" srcId="{3252BDDC-3F61-4EF0-A1FF-2E04B1662283}" destId="{3BEE0D49-DAAA-413C-B3D2-A12BDF8ECF16}" srcOrd="0" destOrd="0" presId="urn:microsoft.com/office/officeart/2005/8/layout/lProcess2"/>
    <dgm:cxn modelId="{DCA33CD3-F0FC-415A-B4DE-3640268CC570}" type="presOf" srcId="{3600EA14-807F-47F6-9BCF-0FEA32945DD5}" destId="{0EBEE18B-23E4-487D-97FA-201CC8949400}" srcOrd="0" destOrd="0" presId="urn:microsoft.com/office/officeart/2005/8/layout/lProcess2"/>
    <dgm:cxn modelId="{AA49C209-A9C2-489F-B1A5-922BDD47733A}" type="presOf" srcId="{759100AD-6EEA-48CD-92DB-E3118E86C080}" destId="{EA3E4EB6-6E17-425B-9663-5CEB28D291F4}" srcOrd="0" destOrd="0" presId="urn:microsoft.com/office/officeart/2005/8/layout/lProcess2"/>
    <dgm:cxn modelId="{63AF5E85-18F6-4E98-B067-BB17E533E436}" type="presOf" srcId="{3600EA14-807F-47F6-9BCF-0FEA32945DD5}" destId="{1307E80A-6EED-4EDC-8633-144DB9A56DBE}" srcOrd="1" destOrd="0" presId="urn:microsoft.com/office/officeart/2005/8/layout/lProcess2"/>
    <dgm:cxn modelId="{96048E4D-AEA5-447F-9688-1A6F12F06561}" type="presOf" srcId="{6724071D-FA5F-4850-B1A5-F127A72AF98F}" destId="{262FCD90-E46E-418B-905C-2A97722E3889}" srcOrd="0" destOrd="0" presId="urn:microsoft.com/office/officeart/2005/8/layout/lProcess2"/>
    <dgm:cxn modelId="{BC373B36-05F3-4790-BB38-D84E865D131A}" srcId="{5C4AD31E-EF68-4473-BCF6-709B0AF1CAE8}" destId="{6724071D-FA5F-4850-B1A5-F127A72AF98F}" srcOrd="2" destOrd="0" parTransId="{70C0C0DD-6BEB-4DAA-AEBD-813B6215DBDC}" sibTransId="{D954183C-6620-40D5-B069-E267C13F6886}"/>
    <dgm:cxn modelId="{0EBFCFB3-0A2B-4B91-8D1D-9859B24F9737}" srcId="{5C4AD31E-EF68-4473-BCF6-709B0AF1CAE8}" destId="{3600EA14-807F-47F6-9BCF-0FEA32945DD5}" srcOrd="0" destOrd="0" parTransId="{A226629C-317C-4A07-A006-7BC2ED7EE164}" sibTransId="{CA4E4FE0-3F2A-4B4A-BBEE-FDA0DA8A2BDB}"/>
    <dgm:cxn modelId="{A20A8EC6-6D42-49F0-B455-B9774EBBED1E}" type="presOf" srcId="{5C4AD31E-EF68-4473-BCF6-709B0AF1CAE8}" destId="{0D0C04BE-FEC3-42D9-8434-3E8D00D79E45}" srcOrd="0" destOrd="0" presId="urn:microsoft.com/office/officeart/2005/8/layout/lProcess2"/>
    <dgm:cxn modelId="{AA4E8B68-BF61-4173-A738-C5C56950DE65}" type="presParOf" srcId="{0D0C04BE-FEC3-42D9-8434-3E8D00D79E45}" destId="{965AE178-C6BC-4C7C-BD83-DF55923F9970}" srcOrd="0" destOrd="0" presId="urn:microsoft.com/office/officeart/2005/8/layout/lProcess2"/>
    <dgm:cxn modelId="{3EB1BA0A-71F1-41E9-8264-C851D1E9FCB0}" type="presParOf" srcId="{965AE178-C6BC-4C7C-BD83-DF55923F9970}" destId="{0EBEE18B-23E4-487D-97FA-201CC8949400}" srcOrd="0" destOrd="0" presId="urn:microsoft.com/office/officeart/2005/8/layout/lProcess2"/>
    <dgm:cxn modelId="{1DDE5C73-55D5-4043-9193-E44934F86806}" type="presParOf" srcId="{965AE178-C6BC-4C7C-BD83-DF55923F9970}" destId="{1307E80A-6EED-4EDC-8633-144DB9A56DBE}" srcOrd="1" destOrd="0" presId="urn:microsoft.com/office/officeart/2005/8/layout/lProcess2"/>
    <dgm:cxn modelId="{1535C498-9D36-46A9-AA1F-975295C036F3}" type="presParOf" srcId="{965AE178-C6BC-4C7C-BD83-DF55923F9970}" destId="{04ECF57F-A20F-41D7-9CC3-5D00F5BEDDD2}" srcOrd="2" destOrd="0" presId="urn:microsoft.com/office/officeart/2005/8/layout/lProcess2"/>
    <dgm:cxn modelId="{0FA1D64A-5995-4293-A09A-33A653539667}" type="presParOf" srcId="{04ECF57F-A20F-41D7-9CC3-5D00F5BEDDD2}" destId="{3A4946A9-8F6E-461B-A03F-0BFEC61FAEB3}" srcOrd="0" destOrd="0" presId="urn:microsoft.com/office/officeart/2005/8/layout/lProcess2"/>
    <dgm:cxn modelId="{AD15A719-12C9-40A3-8BE7-4DFC2E35395F}" type="presParOf" srcId="{0D0C04BE-FEC3-42D9-8434-3E8D00D79E45}" destId="{7100AD3B-E78B-4D18-8AD9-C34BF36985BD}" srcOrd="1" destOrd="0" presId="urn:microsoft.com/office/officeart/2005/8/layout/lProcess2"/>
    <dgm:cxn modelId="{2925120A-6B53-42DA-BCEC-2A75BB24DAC1}" type="presParOf" srcId="{0D0C04BE-FEC3-42D9-8434-3E8D00D79E45}" destId="{D5A10514-5456-4898-A18F-635128C59AF3}" srcOrd="2" destOrd="0" presId="urn:microsoft.com/office/officeart/2005/8/layout/lProcess2"/>
    <dgm:cxn modelId="{CD744DFC-5756-4DD2-B348-059FD0F6E473}" type="presParOf" srcId="{D5A10514-5456-4898-A18F-635128C59AF3}" destId="{EA3E4EB6-6E17-425B-9663-5CEB28D291F4}" srcOrd="0" destOrd="0" presId="urn:microsoft.com/office/officeart/2005/8/layout/lProcess2"/>
    <dgm:cxn modelId="{913153B8-2D0A-4022-91D0-C424D39318A4}" type="presParOf" srcId="{D5A10514-5456-4898-A18F-635128C59AF3}" destId="{1BA86977-31B9-4608-980A-2B336B5BAD55}" srcOrd="1" destOrd="0" presId="urn:microsoft.com/office/officeart/2005/8/layout/lProcess2"/>
    <dgm:cxn modelId="{5592DA01-BC66-4C9C-85C4-5D29049C6CC4}" type="presParOf" srcId="{D5A10514-5456-4898-A18F-635128C59AF3}" destId="{1DADFCFB-F3AB-412C-AD2E-E6795D392697}" srcOrd="2" destOrd="0" presId="urn:microsoft.com/office/officeart/2005/8/layout/lProcess2"/>
    <dgm:cxn modelId="{6D62D651-4913-4818-8CCF-300DE5977FDD}" type="presParOf" srcId="{1DADFCFB-F3AB-412C-AD2E-E6795D392697}" destId="{FBAFEEA1-C100-4124-9FB0-1FDF300DB572}" srcOrd="0" destOrd="0" presId="urn:microsoft.com/office/officeart/2005/8/layout/lProcess2"/>
    <dgm:cxn modelId="{8758DEA3-32AE-4D7D-8D33-3F47F7713BEE}" type="presParOf" srcId="{FBAFEEA1-C100-4124-9FB0-1FDF300DB572}" destId="{3BEE0D49-DAAA-413C-B3D2-A12BDF8ECF16}" srcOrd="0" destOrd="0" presId="urn:microsoft.com/office/officeart/2005/8/layout/lProcess2"/>
    <dgm:cxn modelId="{3AD88124-B52B-422E-81F6-5945332284D7}" type="presParOf" srcId="{0D0C04BE-FEC3-42D9-8434-3E8D00D79E45}" destId="{EE11730D-113D-4AF0-844F-89D46D45A57E}" srcOrd="3" destOrd="0" presId="urn:microsoft.com/office/officeart/2005/8/layout/lProcess2"/>
    <dgm:cxn modelId="{9053889F-D0F1-4B0A-ACE0-306E253A3BA5}" type="presParOf" srcId="{0D0C04BE-FEC3-42D9-8434-3E8D00D79E45}" destId="{CF2AD9CA-0AAF-41F1-8DDB-30BAB48F282B}" srcOrd="4" destOrd="0" presId="urn:microsoft.com/office/officeart/2005/8/layout/lProcess2"/>
    <dgm:cxn modelId="{22CD760F-FE81-4EBA-BA58-E648B4CEA96C}" type="presParOf" srcId="{CF2AD9CA-0AAF-41F1-8DDB-30BAB48F282B}" destId="{262FCD90-E46E-418B-905C-2A97722E3889}" srcOrd="0" destOrd="0" presId="urn:microsoft.com/office/officeart/2005/8/layout/lProcess2"/>
    <dgm:cxn modelId="{6571454D-3AB4-4A02-92FE-40274947F4F0}" type="presParOf" srcId="{CF2AD9CA-0AAF-41F1-8DDB-30BAB48F282B}" destId="{1F1BEA9F-4AC4-40B2-9DF1-7DC87CA4BDDE}" srcOrd="1" destOrd="0" presId="urn:microsoft.com/office/officeart/2005/8/layout/lProcess2"/>
    <dgm:cxn modelId="{0FA90A84-AA3D-4408-A637-EA44DEFA5B46}" type="presParOf" srcId="{CF2AD9CA-0AAF-41F1-8DDB-30BAB48F282B}" destId="{923DFA7A-D144-4491-99D4-3BD057D6E024}" srcOrd="2" destOrd="0" presId="urn:microsoft.com/office/officeart/2005/8/layout/lProcess2"/>
    <dgm:cxn modelId="{B7F9F732-D6D4-4F6F-A5A5-E3A823F552B0}" type="presParOf" srcId="{923DFA7A-D144-4491-99D4-3BD057D6E024}" destId="{2086A517-18CA-429F-A36F-94C9FF855C01}" srcOrd="0" destOrd="0" presId="urn:microsoft.com/office/officeart/2005/8/layout/l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C4AD31E-EF68-4473-BCF6-709B0AF1CAE8}"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US"/>
        </a:p>
      </dgm:t>
    </dgm:pt>
    <dgm:pt modelId="{759100AD-6EEA-48CD-92DB-E3118E86C080}">
      <dgm:prSet phldrT="[Text]" custT="1"/>
      <dgm:spPr/>
      <dgm:t>
        <a:bodyPr/>
        <a:lstStyle/>
        <a:p>
          <a:r>
            <a:rPr lang="en-US" sz="1400" dirty="0" smtClean="0">
              <a:solidFill>
                <a:schemeClr val="tx1"/>
              </a:solidFill>
            </a:rPr>
            <a:t>Break-Even Analysis </a:t>
          </a:r>
          <a:r>
            <a:rPr lang="en-US" sz="1400" dirty="0" smtClean="0">
              <a:solidFill>
                <a:schemeClr val="tx2"/>
              </a:solidFill>
            </a:rPr>
            <a:t>–</a:t>
          </a:r>
          <a:r>
            <a:rPr lang="en-US" sz="1400" dirty="0" smtClean="0"/>
            <a:t> </a:t>
          </a:r>
          <a:endParaRPr lang="en-US" sz="1400"/>
        </a:p>
      </dgm:t>
    </dgm:pt>
    <dgm:pt modelId="{049194F3-C030-464B-8EFB-5EFD48318CC1}" type="parTrans" cxnId="{4775823D-9951-4281-AD52-8B64EE920E4C}">
      <dgm:prSet/>
      <dgm:spPr/>
      <dgm:t>
        <a:bodyPr/>
        <a:lstStyle/>
        <a:p>
          <a:endParaRPr lang="en-US"/>
        </a:p>
      </dgm:t>
    </dgm:pt>
    <dgm:pt modelId="{C32C29FB-6C95-4FE3-87D9-0BD53CA87A23}" type="sibTrans" cxnId="{4775823D-9951-4281-AD52-8B64EE920E4C}">
      <dgm:prSet/>
      <dgm:spPr/>
      <dgm:t>
        <a:bodyPr/>
        <a:lstStyle/>
        <a:p>
          <a:endParaRPr lang="en-US"/>
        </a:p>
      </dgm:t>
    </dgm:pt>
    <dgm:pt modelId="{3252BDDC-3F61-4EF0-A1FF-2E04B1662283}">
      <dgm:prSet phldrT="[Text]"/>
      <dgm:spPr/>
      <dgm:t>
        <a:bodyPr/>
        <a:lstStyle/>
        <a:p>
          <a:r>
            <a:rPr lang="en-US" dirty="0" smtClean="0">
              <a:solidFill>
                <a:schemeClr val="bg1"/>
              </a:solidFill>
            </a:rPr>
            <a:t>Operating and cash break-even points should be worked out and they should be comparable with the industry</a:t>
          </a:r>
        </a:p>
        <a:p>
          <a:r>
            <a:rPr lang="en-US" dirty="0" smtClean="0">
              <a:solidFill>
                <a:schemeClr val="bg1"/>
              </a:solidFill>
            </a:rPr>
            <a:t>norms.</a:t>
          </a:r>
          <a:endParaRPr lang="en-US"/>
        </a:p>
      </dgm:t>
    </dgm:pt>
    <dgm:pt modelId="{D9CAD71D-914E-46D7-9FC9-EF78DE283F97}" type="parTrans" cxnId="{0AFD429B-4A7C-4BFF-89A2-F69EC56518B1}">
      <dgm:prSet/>
      <dgm:spPr/>
      <dgm:t>
        <a:bodyPr/>
        <a:lstStyle/>
        <a:p>
          <a:endParaRPr lang="en-US"/>
        </a:p>
      </dgm:t>
    </dgm:pt>
    <dgm:pt modelId="{7136E2B0-4F37-463A-AB9A-38FD405076C4}" type="sibTrans" cxnId="{0AFD429B-4A7C-4BFF-89A2-F69EC56518B1}">
      <dgm:prSet/>
      <dgm:spPr/>
      <dgm:t>
        <a:bodyPr/>
        <a:lstStyle/>
        <a:p>
          <a:endParaRPr lang="en-US"/>
        </a:p>
      </dgm:t>
    </dgm:pt>
    <dgm:pt modelId="{3600EA14-807F-47F6-9BCF-0FEA32945DD5}">
      <dgm:prSet custT="1"/>
      <dgm:spPr/>
      <dgm:t>
        <a:bodyPr/>
        <a:lstStyle/>
        <a:p>
          <a:endParaRPr lang="en-US" sz="1200"/>
        </a:p>
        <a:p>
          <a:endParaRPr lang="en-US" sz="1200"/>
        </a:p>
        <a:p>
          <a:endParaRPr lang="en-US" sz="1200"/>
        </a:p>
        <a:p>
          <a:endParaRPr lang="en-US" sz="1200"/>
        </a:p>
        <a:p>
          <a:endParaRPr lang="en-US" sz="1200"/>
        </a:p>
        <a:p>
          <a:endParaRPr lang="en-US" sz="1200"/>
        </a:p>
        <a:p>
          <a:endParaRPr lang="en-US" sz="1200"/>
        </a:p>
        <a:p>
          <a:endParaRPr lang="en-US" sz="1200"/>
        </a:p>
        <a:p>
          <a:r>
            <a:rPr lang="en-US" sz="1200"/>
            <a:t>Gross Profit Margin (GPM) - GPM is considered as a good indicator of the reasonableness of the assumptions underlying the profitability projections, it is necessary that various</a:t>
          </a:r>
        </a:p>
        <a:p>
          <a:r>
            <a:rPr lang="en-US" sz="1200"/>
            <a:t>elements of profitability estimates such as capacity utilization, price trend and price realization per unit, cost structure, etc. should be comparable to those of the operating units in the same industry</a:t>
          </a:r>
        </a:p>
      </dgm:t>
    </dgm:pt>
    <dgm:pt modelId="{A226629C-317C-4A07-A006-7BC2ED7EE164}" type="parTrans" cxnId="{0EBFCFB3-0A2B-4B91-8D1D-9859B24F9737}">
      <dgm:prSet/>
      <dgm:spPr/>
      <dgm:t>
        <a:bodyPr/>
        <a:lstStyle/>
        <a:p>
          <a:endParaRPr lang="en-US"/>
        </a:p>
      </dgm:t>
    </dgm:pt>
    <dgm:pt modelId="{CA4E4FE0-3F2A-4B4A-BBEE-FDA0DA8A2BDB}" type="sibTrans" cxnId="{0EBFCFB3-0A2B-4B91-8D1D-9859B24F9737}">
      <dgm:prSet/>
      <dgm:spPr/>
      <dgm:t>
        <a:bodyPr/>
        <a:lstStyle/>
        <a:p>
          <a:endParaRPr lang="en-US"/>
        </a:p>
      </dgm:t>
    </dgm:pt>
    <dgm:pt modelId="{6724071D-FA5F-4850-B1A5-F127A72AF98F}">
      <dgm:prSet custT="1"/>
      <dgm:spPr/>
      <dgm:t>
        <a:bodyPr/>
        <a:lstStyle/>
        <a:p>
          <a:endParaRPr lang="en-US" sz="1200"/>
        </a:p>
        <a:p>
          <a:endParaRPr lang="en-US" sz="1200"/>
        </a:p>
        <a:p>
          <a:endParaRPr lang="en-US" sz="1200"/>
        </a:p>
        <a:p>
          <a:endParaRPr lang="en-US" sz="1200"/>
        </a:p>
        <a:p>
          <a:endParaRPr lang="en-US" sz="1200"/>
        </a:p>
        <a:p>
          <a:endParaRPr lang="en-US" sz="1200"/>
        </a:p>
        <a:p>
          <a:endParaRPr lang="en-US" sz="1200"/>
        </a:p>
        <a:p>
          <a:endParaRPr lang="en-US" sz="1200"/>
        </a:p>
        <a:p>
          <a:r>
            <a:rPr lang="en-US" sz="1200"/>
            <a:t>Extent of Sacrifice – The sacrifice on the part of lenders would be waiver of liquidated damages and in some cases compound interest. Waiver of simple interest and principal should be resorted to in deserving cases only. </a:t>
          </a:r>
          <a:endParaRPr lang="en-US" sz="1200" dirty="0" smtClean="0">
            <a:solidFill>
              <a:sysClr val="windowText" lastClr="000000"/>
            </a:solidFill>
          </a:endParaRPr>
        </a:p>
      </dgm:t>
    </dgm:pt>
    <dgm:pt modelId="{D954183C-6620-40D5-B069-E267C13F6886}" type="sibTrans" cxnId="{BC373B36-05F3-4790-BB38-D84E865D131A}">
      <dgm:prSet/>
      <dgm:spPr/>
      <dgm:t>
        <a:bodyPr/>
        <a:lstStyle/>
        <a:p>
          <a:endParaRPr lang="en-US"/>
        </a:p>
      </dgm:t>
    </dgm:pt>
    <dgm:pt modelId="{70C0C0DD-6BEB-4DAA-AEBD-813B6215DBDC}" type="parTrans" cxnId="{BC373B36-05F3-4790-BB38-D84E865D131A}">
      <dgm:prSet/>
      <dgm:spPr/>
      <dgm:t>
        <a:bodyPr/>
        <a:lstStyle/>
        <a:p>
          <a:endParaRPr lang="en-US"/>
        </a:p>
      </dgm:t>
    </dgm:pt>
    <dgm:pt modelId="{0D0C04BE-FEC3-42D9-8434-3E8D00D79E45}" type="pres">
      <dgm:prSet presAssocID="{5C4AD31E-EF68-4473-BCF6-709B0AF1CAE8}" presName="theList" presStyleCnt="0">
        <dgm:presLayoutVars>
          <dgm:dir/>
          <dgm:animLvl val="lvl"/>
          <dgm:resizeHandles val="exact"/>
        </dgm:presLayoutVars>
      </dgm:prSet>
      <dgm:spPr/>
      <dgm:t>
        <a:bodyPr/>
        <a:lstStyle/>
        <a:p>
          <a:endParaRPr lang="en-US"/>
        </a:p>
      </dgm:t>
    </dgm:pt>
    <dgm:pt modelId="{965AE178-C6BC-4C7C-BD83-DF55923F9970}" type="pres">
      <dgm:prSet presAssocID="{3600EA14-807F-47F6-9BCF-0FEA32945DD5}" presName="compNode" presStyleCnt="0"/>
      <dgm:spPr/>
    </dgm:pt>
    <dgm:pt modelId="{0EBEE18B-23E4-487D-97FA-201CC8949400}" type="pres">
      <dgm:prSet presAssocID="{3600EA14-807F-47F6-9BCF-0FEA32945DD5}" presName="aNode" presStyleLbl="bgShp" presStyleIdx="0" presStyleCnt="3"/>
      <dgm:spPr/>
      <dgm:t>
        <a:bodyPr/>
        <a:lstStyle/>
        <a:p>
          <a:endParaRPr lang="en-US"/>
        </a:p>
      </dgm:t>
    </dgm:pt>
    <dgm:pt modelId="{1307E80A-6EED-4EDC-8633-144DB9A56DBE}" type="pres">
      <dgm:prSet presAssocID="{3600EA14-807F-47F6-9BCF-0FEA32945DD5}" presName="textNode" presStyleLbl="bgShp" presStyleIdx="0" presStyleCnt="3"/>
      <dgm:spPr/>
      <dgm:t>
        <a:bodyPr/>
        <a:lstStyle/>
        <a:p>
          <a:endParaRPr lang="en-US"/>
        </a:p>
      </dgm:t>
    </dgm:pt>
    <dgm:pt modelId="{04ECF57F-A20F-41D7-9CC3-5D00F5BEDDD2}" type="pres">
      <dgm:prSet presAssocID="{3600EA14-807F-47F6-9BCF-0FEA32945DD5}" presName="compChildNode" presStyleCnt="0"/>
      <dgm:spPr/>
    </dgm:pt>
    <dgm:pt modelId="{3A4946A9-8F6E-461B-A03F-0BFEC61FAEB3}" type="pres">
      <dgm:prSet presAssocID="{3600EA14-807F-47F6-9BCF-0FEA32945DD5}" presName="theInnerList" presStyleCnt="0"/>
      <dgm:spPr/>
    </dgm:pt>
    <dgm:pt modelId="{7100AD3B-E78B-4D18-8AD9-C34BF36985BD}" type="pres">
      <dgm:prSet presAssocID="{3600EA14-807F-47F6-9BCF-0FEA32945DD5}" presName="aSpace" presStyleCnt="0"/>
      <dgm:spPr/>
    </dgm:pt>
    <dgm:pt modelId="{D5A10514-5456-4898-A18F-635128C59AF3}" type="pres">
      <dgm:prSet presAssocID="{759100AD-6EEA-48CD-92DB-E3118E86C080}" presName="compNode" presStyleCnt="0"/>
      <dgm:spPr/>
    </dgm:pt>
    <dgm:pt modelId="{EA3E4EB6-6E17-425B-9663-5CEB28D291F4}" type="pres">
      <dgm:prSet presAssocID="{759100AD-6EEA-48CD-92DB-E3118E86C080}" presName="aNode" presStyleLbl="bgShp" presStyleIdx="1" presStyleCnt="3"/>
      <dgm:spPr/>
      <dgm:t>
        <a:bodyPr/>
        <a:lstStyle/>
        <a:p>
          <a:endParaRPr lang="en-US"/>
        </a:p>
      </dgm:t>
    </dgm:pt>
    <dgm:pt modelId="{1BA86977-31B9-4608-980A-2B336B5BAD55}" type="pres">
      <dgm:prSet presAssocID="{759100AD-6EEA-48CD-92DB-E3118E86C080}" presName="textNode" presStyleLbl="bgShp" presStyleIdx="1" presStyleCnt="3"/>
      <dgm:spPr/>
      <dgm:t>
        <a:bodyPr/>
        <a:lstStyle/>
        <a:p>
          <a:endParaRPr lang="en-US"/>
        </a:p>
      </dgm:t>
    </dgm:pt>
    <dgm:pt modelId="{1DADFCFB-F3AB-412C-AD2E-E6795D392697}" type="pres">
      <dgm:prSet presAssocID="{759100AD-6EEA-48CD-92DB-E3118E86C080}" presName="compChildNode" presStyleCnt="0"/>
      <dgm:spPr/>
    </dgm:pt>
    <dgm:pt modelId="{FBAFEEA1-C100-4124-9FB0-1FDF300DB572}" type="pres">
      <dgm:prSet presAssocID="{759100AD-6EEA-48CD-92DB-E3118E86C080}" presName="theInnerList" presStyleCnt="0"/>
      <dgm:spPr/>
    </dgm:pt>
    <dgm:pt modelId="{3BEE0D49-DAAA-413C-B3D2-A12BDF8ECF16}" type="pres">
      <dgm:prSet presAssocID="{3252BDDC-3F61-4EF0-A1FF-2E04B1662283}" presName="childNode" presStyleLbl="node1" presStyleIdx="0" presStyleCnt="1">
        <dgm:presLayoutVars>
          <dgm:bulletEnabled val="1"/>
        </dgm:presLayoutVars>
      </dgm:prSet>
      <dgm:spPr/>
      <dgm:t>
        <a:bodyPr/>
        <a:lstStyle/>
        <a:p>
          <a:endParaRPr lang="en-US"/>
        </a:p>
      </dgm:t>
    </dgm:pt>
    <dgm:pt modelId="{EE11730D-113D-4AF0-844F-89D46D45A57E}" type="pres">
      <dgm:prSet presAssocID="{759100AD-6EEA-48CD-92DB-E3118E86C080}" presName="aSpace" presStyleCnt="0"/>
      <dgm:spPr/>
    </dgm:pt>
    <dgm:pt modelId="{CF2AD9CA-0AAF-41F1-8DDB-30BAB48F282B}" type="pres">
      <dgm:prSet presAssocID="{6724071D-FA5F-4850-B1A5-F127A72AF98F}" presName="compNode" presStyleCnt="0"/>
      <dgm:spPr/>
    </dgm:pt>
    <dgm:pt modelId="{262FCD90-E46E-418B-905C-2A97722E3889}" type="pres">
      <dgm:prSet presAssocID="{6724071D-FA5F-4850-B1A5-F127A72AF98F}" presName="aNode" presStyleLbl="bgShp" presStyleIdx="2" presStyleCnt="3"/>
      <dgm:spPr/>
      <dgm:t>
        <a:bodyPr/>
        <a:lstStyle/>
        <a:p>
          <a:endParaRPr lang="en-US"/>
        </a:p>
      </dgm:t>
    </dgm:pt>
    <dgm:pt modelId="{1F1BEA9F-4AC4-40B2-9DF1-7DC87CA4BDDE}" type="pres">
      <dgm:prSet presAssocID="{6724071D-FA5F-4850-B1A5-F127A72AF98F}" presName="textNode" presStyleLbl="bgShp" presStyleIdx="2" presStyleCnt="3"/>
      <dgm:spPr/>
      <dgm:t>
        <a:bodyPr/>
        <a:lstStyle/>
        <a:p>
          <a:endParaRPr lang="en-US"/>
        </a:p>
      </dgm:t>
    </dgm:pt>
    <dgm:pt modelId="{923DFA7A-D144-4491-99D4-3BD057D6E024}" type="pres">
      <dgm:prSet presAssocID="{6724071D-FA5F-4850-B1A5-F127A72AF98F}" presName="compChildNode" presStyleCnt="0"/>
      <dgm:spPr/>
    </dgm:pt>
    <dgm:pt modelId="{2086A517-18CA-429F-A36F-94C9FF855C01}" type="pres">
      <dgm:prSet presAssocID="{6724071D-FA5F-4850-B1A5-F127A72AF98F}" presName="theInnerList" presStyleCnt="0"/>
      <dgm:spPr/>
    </dgm:pt>
  </dgm:ptLst>
  <dgm:cxnLst>
    <dgm:cxn modelId="{4775823D-9951-4281-AD52-8B64EE920E4C}" srcId="{5C4AD31E-EF68-4473-BCF6-709B0AF1CAE8}" destId="{759100AD-6EEA-48CD-92DB-E3118E86C080}" srcOrd="1" destOrd="0" parTransId="{049194F3-C030-464B-8EFB-5EFD48318CC1}" sibTransId="{C32C29FB-6C95-4FE3-87D9-0BD53CA87A23}"/>
    <dgm:cxn modelId="{E08DBA10-13B9-487F-994C-88FEA8A28C4F}" type="presOf" srcId="{759100AD-6EEA-48CD-92DB-E3118E86C080}" destId="{EA3E4EB6-6E17-425B-9663-5CEB28D291F4}" srcOrd="0" destOrd="0" presId="urn:microsoft.com/office/officeart/2005/8/layout/lProcess2"/>
    <dgm:cxn modelId="{B17A06D9-BEF3-4370-90E6-304CFE901769}" type="presOf" srcId="{6724071D-FA5F-4850-B1A5-F127A72AF98F}" destId="{1F1BEA9F-4AC4-40B2-9DF1-7DC87CA4BDDE}" srcOrd="1" destOrd="0" presId="urn:microsoft.com/office/officeart/2005/8/layout/lProcess2"/>
    <dgm:cxn modelId="{0AFD429B-4A7C-4BFF-89A2-F69EC56518B1}" srcId="{759100AD-6EEA-48CD-92DB-E3118E86C080}" destId="{3252BDDC-3F61-4EF0-A1FF-2E04B1662283}" srcOrd="0" destOrd="0" parTransId="{D9CAD71D-914E-46D7-9FC9-EF78DE283F97}" sibTransId="{7136E2B0-4F37-463A-AB9A-38FD405076C4}"/>
    <dgm:cxn modelId="{2BE1EA5E-84D6-4852-83E6-09B4C54F9E9B}" type="presOf" srcId="{3600EA14-807F-47F6-9BCF-0FEA32945DD5}" destId="{1307E80A-6EED-4EDC-8633-144DB9A56DBE}" srcOrd="1" destOrd="0" presId="urn:microsoft.com/office/officeart/2005/8/layout/lProcess2"/>
    <dgm:cxn modelId="{8E69A212-9423-4748-B11D-19E840FED6B6}" type="presOf" srcId="{759100AD-6EEA-48CD-92DB-E3118E86C080}" destId="{1BA86977-31B9-4608-980A-2B336B5BAD55}" srcOrd="1" destOrd="0" presId="urn:microsoft.com/office/officeart/2005/8/layout/lProcess2"/>
    <dgm:cxn modelId="{78ACB45E-EE1F-4A37-AA40-A20C0FA2BAE3}" type="presOf" srcId="{3252BDDC-3F61-4EF0-A1FF-2E04B1662283}" destId="{3BEE0D49-DAAA-413C-B3D2-A12BDF8ECF16}" srcOrd="0" destOrd="0" presId="urn:microsoft.com/office/officeart/2005/8/layout/lProcess2"/>
    <dgm:cxn modelId="{BC373B36-05F3-4790-BB38-D84E865D131A}" srcId="{5C4AD31E-EF68-4473-BCF6-709B0AF1CAE8}" destId="{6724071D-FA5F-4850-B1A5-F127A72AF98F}" srcOrd="2" destOrd="0" parTransId="{70C0C0DD-6BEB-4DAA-AEBD-813B6215DBDC}" sibTransId="{D954183C-6620-40D5-B069-E267C13F6886}"/>
    <dgm:cxn modelId="{0EBFCFB3-0A2B-4B91-8D1D-9859B24F9737}" srcId="{5C4AD31E-EF68-4473-BCF6-709B0AF1CAE8}" destId="{3600EA14-807F-47F6-9BCF-0FEA32945DD5}" srcOrd="0" destOrd="0" parTransId="{A226629C-317C-4A07-A006-7BC2ED7EE164}" sibTransId="{CA4E4FE0-3F2A-4B4A-BBEE-FDA0DA8A2BDB}"/>
    <dgm:cxn modelId="{79AA6F72-CD9D-47A7-91EB-882A2BA88B98}" type="presOf" srcId="{5C4AD31E-EF68-4473-BCF6-709B0AF1CAE8}" destId="{0D0C04BE-FEC3-42D9-8434-3E8D00D79E45}" srcOrd="0" destOrd="0" presId="urn:microsoft.com/office/officeart/2005/8/layout/lProcess2"/>
    <dgm:cxn modelId="{D84566E6-C3A6-46D6-A4A4-DC0BAA298173}" type="presOf" srcId="{6724071D-FA5F-4850-B1A5-F127A72AF98F}" destId="{262FCD90-E46E-418B-905C-2A97722E3889}" srcOrd="0" destOrd="0" presId="urn:microsoft.com/office/officeart/2005/8/layout/lProcess2"/>
    <dgm:cxn modelId="{63AB260B-6DF9-4215-B476-0BF36538A2E7}" type="presOf" srcId="{3600EA14-807F-47F6-9BCF-0FEA32945DD5}" destId="{0EBEE18B-23E4-487D-97FA-201CC8949400}" srcOrd="0" destOrd="0" presId="urn:microsoft.com/office/officeart/2005/8/layout/lProcess2"/>
    <dgm:cxn modelId="{74C495B4-5ECA-4DD7-B811-3B2240E667A0}" type="presParOf" srcId="{0D0C04BE-FEC3-42D9-8434-3E8D00D79E45}" destId="{965AE178-C6BC-4C7C-BD83-DF55923F9970}" srcOrd="0" destOrd="0" presId="urn:microsoft.com/office/officeart/2005/8/layout/lProcess2"/>
    <dgm:cxn modelId="{CE79FD22-4D2A-4453-8605-A1B49D40D43F}" type="presParOf" srcId="{965AE178-C6BC-4C7C-BD83-DF55923F9970}" destId="{0EBEE18B-23E4-487D-97FA-201CC8949400}" srcOrd="0" destOrd="0" presId="urn:microsoft.com/office/officeart/2005/8/layout/lProcess2"/>
    <dgm:cxn modelId="{5DF32C5E-815C-4F3E-827F-1D97EB8851BA}" type="presParOf" srcId="{965AE178-C6BC-4C7C-BD83-DF55923F9970}" destId="{1307E80A-6EED-4EDC-8633-144DB9A56DBE}" srcOrd="1" destOrd="0" presId="urn:microsoft.com/office/officeart/2005/8/layout/lProcess2"/>
    <dgm:cxn modelId="{C80E2185-31DC-473F-ACDA-B9C43C3066BE}" type="presParOf" srcId="{965AE178-C6BC-4C7C-BD83-DF55923F9970}" destId="{04ECF57F-A20F-41D7-9CC3-5D00F5BEDDD2}" srcOrd="2" destOrd="0" presId="urn:microsoft.com/office/officeart/2005/8/layout/lProcess2"/>
    <dgm:cxn modelId="{6DD5F7E0-9378-488B-818D-7D8E9CE99CD8}" type="presParOf" srcId="{04ECF57F-A20F-41D7-9CC3-5D00F5BEDDD2}" destId="{3A4946A9-8F6E-461B-A03F-0BFEC61FAEB3}" srcOrd="0" destOrd="0" presId="urn:microsoft.com/office/officeart/2005/8/layout/lProcess2"/>
    <dgm:cxn modelId="{517A8AB7-64A2-4177-8AB5-37017BB16C4D}" type="presParOf" srcId="{0D0C04BE-FEC3-42D9-8434-3E8D00D79E45}" destId="{7100AD3B-E78B-4D18-8AD9-C34BF36985BD}" srcOrd="1" destOrd="0" presId="urn:microsoft.com/office/officeart/2005/8/layout/lProcess2"/>
    <dgm:cxn modelId="{102BD531-5770-4261-9B0E-D9E15F63668E}" type="presParOf" srcId="{0D0C04BE-FEC3-42D9-8434-3E8D00D79E45}" destId="{D5A10514-5456-4898-A18F-635128C59AF3}" srcOrd="2" destOrd="0" presId="urn:microsoft.com/office/officeart/2005/8/layout/lProcess2"/>
    <dgm:cxn modelId="{EB6F1378-F52E-459D-BC03-77D92F915B01}" type="presParOf" srcId="{D5A10514-5456-4898-A18F-635128C59AF3}" destId="{EA3E4EB6-6E17-425B-9663-5CEB28D291F4}" srcOrd="0" destOrd="0" presId="urn:microsoft.com/office/officeart/2005/8/layout/lProcess2"/>
    <dgm:cxn modelId="{77D57CBC-1E67-43A8-ADAD-54B2BF7EEA59}" type="presParOf" srcId="{D5A10514-5456-4898-A18F-635128C59AF3}" destId="{1BA86977-31B9-4608-980A-2B336B5BAD55}" srcOrd="1" destOrd="0" presId="urn:microsoft.com/office/officeart/2005/8/layout/lProcess2"/>
    <dgm:cxn modelId="{884D38A8-300D-45CE-9E57-689B59A25BC6}" type="presParOf" srcId="{D5A10514-5456-4898-A18F-635128C59AF3}" destId="{1DADFCFB-F3AB-412C-AD2E-E6795D392697}" srcOrd="2" destOrd="0" presId="urn:microsoft.com/office/officeart/2005/8/layout/lProcess2"/>
    <dgm:cxn modelId="{B15A822D-BAB0-4879-AF16-D0384BC4E6A0}" type="presParOf" srcId="{1DADFCFB-F3AB-412C-AD2E-E6795D392697}" destId="{FBAFEEA1-C100-4124-9FB0-1FDF300DB572}" srcOrd="0" destOrd="0" presId="urn:microsoft.com/office/officeart/2005/8/layout/lProcess2"/>
    <dgm:cxn modelId="{A3499211-71B3-4C5E-9D9A-58A4F930FA7D}" type="presParOf" srcId="{FBAFEEA1-C100-4124-9FB0-1FDF300DB572}" destId="{3BEE0D49-DAAA-413C-B3D2-A12BDF8ECF16}" srcOrd="0" destOrd="0" presId="urn:microsoft.com/office/officeart/2005/8/layout/lProcess2"/>
    <dgm:cxn modelId="{CE3AE48F-1768-4C17-877B-3FA5347915F3}" type="presParOf" srcId="{0D0C04BE-FEC3-42D9-8434-3E8D00D79E45}" destId="{EE11730D-113D-4AF0-844F-89D46D45A57E}" srcOrd="3" destOrd="0" presId="urn:microsoft.com/office/officeart/2005/8/layout/lProcess2"/>
    <dgm:cxn modelId="{000C67A8-9D66-4BFD-B5E2-9CA77AAECFC8}" type="presParOf" srcId="{0D0C04BE-FEC3-42D9-8434-3E8D00D79E45}" destId="{CF2AD9CA-0AAF-41F1-8DDB-30BAB48F282B}" srcOrd="4" destOrd="0" presId="urn:microsoft.com/office/officeart/2005/8/layout/lProcess2"/>
    <dgm:cxn modelId="{11123030-F4C7-445C-B6F7-855F6A4F69C3}" type="presParOf" srcId="{CF2AD9CA-0AAF-41F1-8DDB-30BAB48F282B}" destId="{262FCD90-E46E-418B-905C-2A97722E3889}" srcOrd="0" destOrd="0" presId="urn:microsoft.com/office/officeart/2005/8/layout/lProcess2"/>
    <dgm:cxn modelId="{DD9A2B26-AE69-4800-B568-3D0458C5B68C}" type="presParOf" srcId="{CF2AD9CA-0AAF-41F1-8DDB-30BAB48F282B}" destId="{1F1BEA9F-4AC4-40B2-9DF1-7DC87CA4BDDE}" srcOrd="1" destOrd="0" presId="urn:microsoft.com/office/officeart/2005/8/layout/lProcess2"/>
    <dgm:cxn modelId="{726C861D-1F89-4F5B-8704-C26CEE97D3CB}" type="presParOf" srcId="{CF2AD9CA-0AAF-41F1-8DDB-30BAB48F282B}" destId="{923DFA7A-D144-4491-99D4-3BD057D6E024}" srcOrd="2" destOrd="0" presId="urn:microsoft.com/office/officeart/2005/8/layout/lProcess2"/>
    <dgm:cxn modelId="{6421747B-3BEB-4FA8-9BAC-EE9203D57E77}" type="presParOf" srcId="{923DFA7A-D144-4491-99D4-3BD057D6E024}" destId="{2086A517-18CA-429F-A36F-94C9FF855C01}" srcOrd="0" destOrd="0" presId="urn:microsoft.com/office/officeart/2005/8/layout/l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BEE18B-23E4-487D-97FA-201CC8949400}">
      <dsp:nvSpPr>
        <dsp:cNvPr id="0" name=""/>
        <dsp:cNvSpPr/>
      </dsp:nvSpPr>
      <dsp:spPr>
        <a:xfrm>
          <a:off x="725" y="0"/>
          <a:ext cx="1886396" cy="2949878"/>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r>
            <a:rPr lang="en-US" sz="1400" kern="1200"/>
            <a:t>Return on Capital Employed (ROCE) –</a:t>
          </a:r>
        </a:p>
        <a:p>
          <a:pPr lvl="0" algn="ctr" defTabSz="622300">
            <a:lnSpc>
              <a:spcPct val="90000"/>
            </a:lnSpc>
            <a:spcBef>
              <a:spcPct val="0"/>
            </a:spcBef>
            <a:spcAft>
              <a:spcPct val="35000"/>
            </a:spcAft>
          </a:pPr>
          <a:r>
            <a:rPr lang="en-US" sz="1400" kern="1200"/>
            <a:t>Minimum ROCE equivalent to 5 year G-Sec plus 2% may be considered as adequate</a:t>
          </a:r>
        </a:p>
      </dsp:txBody>
      <dsp:txXfrm>
        <a:off x="725" y="0"/>
        <a:ext cx="1886396" cy="884963"/>
      </dsp:txXfrm>
    </dsp:sp>
    <dsp:sp modelId="{EA3E4EB6-6E17-425B-9663-5CEB28D291F4}">
      <dsp:nvSpPr>
        <dsp:cNvPr id="0" name=""/>
        <dsp:cNvSpPr/>
      </dsp:nvSpPr>
      <dsp:spPr>
        <a:xfrm>
          <a:off x="2028601" y="0"/>
          <a:ext cx="1886396" cy="2949878"/>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Gap between Internal Rate of Return (IRR) and Cost of Capital – </a:t>
          </a:r>
        </a:p>
      </dsp:txBody>
      <dsp:txXfrm>
        <a:off x="2028601" y="0"/>
        <a:ext cx="1886396" cy="884963"/>
      </dsp:txXfrm>
    </dsp:sp>
    <dsp:sp modelId="{3BEE0D49-DAAA-413C-B3D2-A12BDF8ECF16}">
      <dsp:nvSpPr>
        <dsp:cNvPr id="0" name=""/>
        <dsp:cNvSpPr/>
      </dsp:nvSpPr>
      <dsp:spPr>
        <a:xfrm>
          <a:off x="2217241" y="884963"/>
          <a:ext cx="1509117" cy="19174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a:lnSpc>
              <a:spcPct val="90000"/>
            </a:lnSpc>
            <a:spcBef>
              <a:spcPct val="0"/>
            </a:spcBef>
            <a:spcAft>
              <a:spcPct val="35000"/>
            </a:spcAft>
          </a:pPr>
          <a:r>
            <a:rPr lang="en-US" sz="1600" kern="1200"/>
            <a:t>The benchmark gap between IRR and Average Cost of Funds should be at least 1%.</a:t>
          </a:r>
        </a:p>
      </dsp:txBody>
      <dsp:txXfrm>
        <a:off x="2261442" y="929164"/>
        <a:ext cx="1420715" cy="1829018"/>
      </dsp:txXfrm>
    </dsp:sp>
    <dsp:sp modelId="{262FCD90-E46E-418B-905C-2A97722E3889}">
      <dsp:nvSpPr>
        <dsp:cNvPr id="0" name=""/>
        <dsp:cNvSpPr/>
      </dsp:nvSpPr>
      <dsp:spPr>
        <a:xfrm>
          <a:off x="4056477" y="0"/>
          <a:ext cx="1886396" cy="2949878"/>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r>
            <a:rPr lang="en-US" sz="1400" kern="1200"/>
            <a:t>Debt Service Coverage Ratio (DSCR) – The adjusted DSCR should be &gt;1.25 within the 7 years period in which the unit should become viable and on year-to-year basis DSCR to be above 1. The normal DSCR for 10 years</a:t>
          </a:r>
        </a:p>
        <a:p>
          <a:pPr lvl="0" algn="ctr" defTabSz="622300">
            <a:lnSpc>
              <a:spcPct val="90000"/>
            </a:lnSpc>
            <a:spcBef>
              <a:spcPct val="0"/>
            </a:spcBef>
            <a:spcAft>
              <a:spcPct val="35000"/>
            </a:spcAft>
          </a:pPr>
          <a:r>
            <a:rPr lang="en-US" sz="1400" kern="1200"/>
            <a:t>repayment period should be around 1.33:1.</a:t>
          </a:r>
          <a:endParaRPr lang="en-US" sz="1400" kern="1200" dirty="0" smtClean="0">
            <a:solidFill>
              <a:sysClr val="windowText" lastClr="000000"/>
            </a:solidFill>
          </a:endParaRPr>
        </a:p>
      </dsp:txBody>
      <dsp:txXfrm>
        <a:off x="4056477" y="0"/>
        <a:ext cx="1886396" cy="8849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BEE18B-23E4-487D-97FA-201CC8949400}">
      <dsp:nvSpPr>
        <dsp:cNvPr id="0" name=""/>
        <dsp:cNvSpPr/>
      </dsp:nvSpPr>
      <dsp:spPr>
        <a:xfrm>
          <a:off x="725" y="0"/>
          <a:ext cx="1886396" cy="294957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r>
            <a:rPr lang="en-US" sz="1200" kern="1200"/>
            <a:t>Gross Profit Margin (GPM) - GPM is considered as a good indicator of the reasonableness of the assumptions underlying the profitability projections, it is necessary that various</a:t>
          </a:r>
        </a:p>
        <a:p>
          <a:pPr lvl="0" algn="ctr" defTabSz="533400">
            <a:lnSpc>
              <a:spcPct val="90000"/>
            </a:lnSpc>
            <a:spcBef>
              <a:spcPct val="0"/>
            </a:spcBef>
            <a:spcAft>
              <a:spcPct val="35000"/>
            </a:spcAft>
          </a:pPr>
          <a:r>
            <a:rPr lang="en-US" sz="1200" kern="1200"/>
            <a:t>elements of profitability estimates such as capacity utilization, price trend and price realization per unit, cost structure, etc. should be comparable to those of the operating units in the same industry</a:t>
          </a:r>
        </a:p>
      </dsp:txBody>
      <dsp:txXfrm>
        <a:off x="725" y="0"/>
        <a:ext cx="1886396" cy="884872"/>
      </dsp:txXfrm>
    </dsp:sp>
    <dsp:sp modelId="{EA3E4EB6-6E17-425B-9663-5CEB28D291F4}">
      <dsp:nvSpPr>
        <dsp:cNvPr id="0" name=""/>
        <dsp:cNvSpPr/>
      </dsp:nvSpPr>
      <dsp:spPr>
        <a:xfrm>
          <a:off x="2028601" y="0"/>
          <a:ext cx="1886396" cy="294957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dirty="0" smtClean="0">
              <a:solidFill>
                <a:schemeClr val="tx1"/>
              </a:solidFill>
            </a:rPr>
            <a:t>Break-Even Analysis </a:t>
          </a:r>
          <a:r>
            <a:rPr lang="en-US" sz="1400" kern="1200" dirty="0" smtClean="0">
              <a:solidFill>
                <a:schemeClr val="tx2"/>
              </a:solidFill>
            </a:rPr>
            <a:t>–</a:t>
          </a:r>
          <a:r>
            <a:rPr lang="en-US" sz="1400" kern="1200" dirty="0" smtClean="0"/>
            <a:t> </a:t>
          </a:r>
          <a:endParaRPr lang="en-US" sz="1400" kern="1200"/>
        </a:p>
      </dsp:txBody>
      <dsp:txXfrm>
        <a:off x="2028601" y="0"/>
        <a:ext cx="1886396" cy="884872"/>
      </dsp:txXfrm>
    </dsp:sp>
    <dsp:sp modelId="{3BEE0D49-DAAA-413C-B3D2-A12BDF8ECF16}">
      <dsp:nvSpPr>
        <dsp:cNvPr id="0" name=""/>
        <dsp:cNvSpPr/>
      </dsp:nvSpPr>
      <dsp:spPr>
        <a:xfrm>
          <a:off x="2217241" y="884872"/>
          <a:ext cx="1509117" cy="19172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28575" rIns="38100" bIns="28575" numCol="1" spcCol="1270" anchor="ctr" anchorCtr="0">
          <a:noAutofit/>
        </a:bodyPr>
        <a:lstStyle/>
        <a:p>
          <a:pPr lvl="0" algn="ctr" defTabSz="666750">
            <a:lnSpc>
              <a:spcPct val="90000"/>
            </a:lnSpc>
            <a:spcBef>
              <a:spcPct val="0"/>
            </a:spcBef>
            <a:spcAft>
              <a:spcPct val="35000"/>
            </a:spcAft>
          </a:pPr>
          <a:r>
            <a:rPr lang="en-US" sz="1500" kern="1200" dirty="0" smtClean="0">
              <a:solidFill>
                <a:schemeClr val="bg1"/>
              </a:solidFill>
            </a:rPr>
            <a:t>Operating and cash break-even points should be worked out and they should be comparable with the industry</a:t>
          </a:r>
        </a:p>
        <a:p>
          <a:pPr lvl="0" algn="ctr" defTabSz="666750">
            <a:lnSpc>
              <a:spcPct val="90000"/>
            </a:lnSpc>
            <a:spcBef>
              <a:spcPct val="0"/>
            </a:spcBef>
            <a:spcAft>
              <a:spcPct val="35000"/>
            </a:spcAft>
          </a:pPr>
          <a:r>
            <a:rPr lang="en-US" sz="1500" kern="1200" dirty="0" smtClean="0">
              <a:solidFill>
                <a:schemeClr val="bg1"/>
              </a:solidFill>
            </a:rPr>
            <a:t>norms.</a:t>
          </a:r>
          <a:endParaRPr lang="en-US" sz="1500" kern="1200"/>
        </a:p>
      </dsp:txBody>
      <dsp:txXfrm>
        <a:off x="2261442" y="929073"/>
        <a:ext cx="1420715" cy="1828821"/>
      </dsp:txXfrm>
    </dsp:sp>
    <dsp:sp modelId="{262FCD90-E46E-418B-905C-2A97722E3889}">
      <dsp:nvSpPr>
        <dsp:cNvPr id="0" name=""/>
        <dsp:cNvSpPr/>
      </dsp:nvSpPr>
      <dsp:spPr>
        <a:xfrm>
          <a:off x="4056477" y="0"/>
          <a:ext cx="1886396" cy="294957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r>
            <a:rPr lang="en-US" sz="1200" kern="1200"/>
            <a:t>Extent of Sacrifice – The sacrifice on the part of lenders would be waiver of liquidated damages and in some cases compound interest. Waiver of simple interest and principal should be resorted to in deserving cases only. </a:t>
          </a:r>
          <a:endParaRPr lang="en-US" sz="1200" kern="1200" dirty="0" smtClean="0">
            <a:solidFill>
              <a:sysClr val="windowText" lastClr="000000"/>
            </a:solidFill>
          </a:endParaRPr>
        </a:p>
      </dsp:txBody>
      <dsp:txXfrm>
        <a:off x="4056477" y="0"/>
        <a:ext cx="1886396" cy="884872"/>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Rakesh khanna</dc:creator>
  <cp:keywords/>
  <dc:description/>
  <cp:lastModifiedBy>Rakesh khanna</cp:lastModifiedBy>
  <cp:revision>30</cp:revision>
  <dcterms:created xsi:type="dcterms:W3CDTF">2016-01-06T05:05:00Z</dcterms:created>
  <dcterms:modified xsi:type="dcterms:W3CDTF">2016-01-06T07:00:00Z</dcterms:modified>
</cp:coreProperties>
</file>