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EC9" w:rsidRPr="003C4EC9" w:rsidRDefault="003C4EC9" w:rsidP="003C4EC9">
      <w:pPr>
        <w:jc w:val="both"/>
        <w:rPr>
          <w:rFonts w:ascii="Arial" w:hAnsi="Arial" w:cs="Arial"/>
          <w:b/>
          <w:sz w:val="24"/>
          <w:szCs w:val="24"/>
        </w:rPr>
      </w:pPr>
      <w:r w:rsidRPr="003C4EC9">
        <w:rPr>
          <w:rFonts w:ascii="Arial" w:hAnsi="Arial" w:cs="Arial"/>
          <w:b/>
          <w:sz w:val="24"/>
          <w:szCs w:val="24"/>
        </w:rPr>
        <w:t>Compilation of some of the important circulars / notification issued by MCA recently</w:t>
      </w:r>
    </w:p>
    <w:p w:rsidR="003C4EC9" w:rsidRPr="003C4EC9" w:rsidRDefault="003C4EC9" w:rsidP="003C4EC9">
      <w:pPr>
        <w:numPr>
          <w:ilvl w:val="0"/>
          <w:numId w:val="1"/>
        </w:numPr>
        <w:jc w:val="both"/>
        <w:rPr>
          <w:rFonts w:ascii="Arial" w:hAnsi="Arial" w:cs="Arial"/>
          <w:b/>
          <w:sz w:val="20"/>
          <w:szCs w:val="20"/>
        </w:rPr>
      </w:pPr>
      <w:r w:rsidRPr="003C4EC9">
        <w:rPr>
          <w:rFonts w:ascii="Arial" w:hAnsi="Arial" w:cs="Arial"/>
          <w:b/>
          <w:sz w:val="20"/>
          <w:szCs w:val="20"/>
        </w:rPr>
        <w:t>General Circular No.12/2015 dated 1</w:t>
      </w:r>
      <w:r w:rsidRPr="003C4EC9">
        <w:rPr>
          <w:rFonts w:ascii="Arial" w:hAnsi="Arial" w:cs="Arial"/>
          <w:b/>
          <w:sz w:val="20"/>
          <w:szCs w:val="20"/>
          <w:vertAlign w:val="superscript"/>
        </w:rPr>
        <w:t>st</w:t>
      </w:r>
      <w:r w:rsidRPr="003C4EC9">
        <w:rPr>
          <w:rFonts w:ascii="Arial" w:hAnsi="Arial" w:cs="Arial"/>
          <w:b/>
          <w:sz w:val="20"/>
          <w:szCs w:val="20"/>
        </w:rPr>
        <w:t xml:space="preserve"> September, 2015</w:t>
      </w:r>
    </w:p>
    <w:p w:rsidR="003C4EC9" w:rsidRPr="003C4EC9" w:rsidRDefault="003C4EC9" w:rsidP="003C4EC9">
      <w:pPr>
        <w:ind w:left="720"/>
        <w:jc w:val="both"/>
        <w:rPr>
          <w:rFonts w:ascii="Arial" w:hAnsi="Arial" w:cs="Arial"/>
          <w:sz w:val="20"/>
          <w:szCs w:val="20"/>
        </w:rPr>
      </w:pPr>
      <w:r w:rsidRPr="003C4EC9">
        <w:rPr>
          <w:rFonts w:ascii="Arial" w:hAnsi="Arial" w:cs="Arial"/>
          <w:b/>
          <w:sz w:val="20"/>
          <w:szCs w:val="20"/>
        </w:rPr>
        <w:t xml:space="preserve">Extension of time for filing Cost Audit Report - </w:t>
      </w:r>
      <w:r w:rsidRPr="003C4EC9">
        <w:rPr>
          <w:rFonts w:ascii="Arial" w:hAnsi="Arial" w:cs="Arial"/>
          <w:sz w:val="20"/>
          <w:szCs w:val="20"/>
        </w:rPr>
        <w:t>Rule 6(6) of Companies (Cost Records and Audit) Rules, 2014 requires every Company covered under the rules to furnish the cost audit report along with full information and explanation on reservation or qualification contained therein in Form CRA-4 within 30 days from the date of receipt of a copy of the Cost Audit Report.</w:t>
      </w:r>
    </w:p>
    <w:p w:rsidR="003C4EC9" w:rsidRPr="003C4EC9" w:rsidRDefault="003C4EC9" w:rsidP="003C4EC9">
      <w:pPr>
        <w:ind w:left="720"/>
        <w:jc w:val="both"/>
        <w:rPr>
          <w:rFonts w:ascii="Arial" w:hAnsi="Arial" w:cs="Arial"/>
          <w:sz w:val="20"/>
          <w:szCs w:val="20"/>
        </w:rPr>
      </w:pPr>
      <w:r w:rsidRPr="003C4EC9">
        <w:rPr>
          <w:rFonts w:ascii="Arial" w:hAnsi="Arial" w:cs="Arial"/>
          <w:sz w:val="20"/>
          <w:szCs w:val="20"/>
        </w:rPr>
        <w:t xml:space="preserve">As per </w:t>
      </w:r>
      <w:r>
        <w:rPr>
          <w:rFonts w:ascii="Arial" w:hAnsi="Arial" w:cs="Arial"/>
          <w:sz w:val="20"/>
          <w:szCs w:val="20"/>
        </w:rPr>
        <w:t xml:space="preserve">this </w:t>
      </w:r>
      <w:r w:rsidRPr="003C4EC9">
        <w:rPr>
          <w:rFonts w:ascii="Arial" w:hAnsi="Arial" w:cs="Arial"/>
          <w:sz w:val="20"/>
          <w:szCs w:val="20"/>
        </w:rPr>
        <w:t xml:space="preserve">circular, last date of filing the report for Financial Year 2014-15 in Form CRA-4 without fine/penalty is extended </w:t>
      </w:r>
      <w:proofErr w:type="spellStart"/>
      <w:r w:rsidRPr="003C4EC9">
        <w:rPr>
          <w:rFonts w:ascii="Arial" w:hAnsi="Arial" w:cs="Arial"/>
          <w:sz w:val="20"/>
          <w:szCs w:val="20"/>
        </w:rPr>
        <w:t>upto</w:t>
      </w:r>
      <w:proofErr w:type="spellEnd"/>
      <w:r w:rsidRPr="003C4EC9">
        <w:rPr>
          <w:rFonts w:ascii="Arial" w:hAnsi="Arial" w:cs="Arial"/>
          <w:sz w:val="20"/>
          <w:szCs w:val="20"/>
        </w:rPr>
        <w:t xml:space="preserve"> 30</w:t>
      </w:r>
      <w:r w:rsidRPr="003C4EC9">
        <w:rPr>
          <w:rFonts w:ascii="Arial" w:hAnsi="Arial" w:cs="Arial"/>
          <w:sz w:val="20"/>
          <w:szCs w:val="20"/>
          <w:vertAlign w:val="superscript"/>
        </w:rPr>
        <w:t>th</w:t>
      </w:r>
      <w:r w:rsidRPr="003C4EC9">
        <w:rPr>
          <w:rFonts w:ascii="Arial" w:hAnsi="Arial" w:cs="Arial"/>
          <w:sz w:val="20"/>
          <w:szCs w:val="20"/>
        </w:rPr>
        <w:t xml:space="preserve"> September, 2015.</w:t>
      </w:r>
    </w:p>
    <w:p w:rsidR="003C4EC9" w:rsidRPr="003C4EC9" w:rsidRDefault="003C4EC9" w:rsidP="003C4EC9">
      <w:pPr>
        <w:numPr>
          <w:ilvl w:val="0"/>
          <w:numId w:val="1"/>
        </w:numPr>
        <w:jc w:val="both"/>
        <w:rPr>
          <w:rFonts w:ascii="Arial" w:hAnsi="Arial" w:cs="Arial"/>
          <w:b/>
          <w:sz w:val="20"/>
          <w:szCs w:val="20"/>
        </w:rPr>
      </w:pPr>
      <w:r w:rsidRPr="003C4EC9">
        <w:rPr>
          <w:rFonts w:ascii="Arial" w:hAnsi="Arial" w:cs="Arial"/>
          <w:b/>
          <w:sz w:val="20"/>
          <w:szCs w:val="20"/>
        </w:rPr>
        <w:t>Notification No. F.No.1/19/2013/CL.V dated 4</w:t>
      </w:r>
      <w:r w:rsidRPr="003C4EC9">
        <w:rPr>
          <w:rFonts w:ascii="Arial" w:hAnsi="Arial" w:cs="Arial"/>
          <w:b/>
          <w:sz w:val="20"/>
          <w:szCs w:val="20"/>
          <w:vertAlign w:val="superscript"/>
        </w:rPr>
        <w:t>th</w:t>
      </w:r>
      <w:r w:rsidRPr="003C4EC9">
        <w:rPr>
          <w:rFonts w:ascii="Arial" w:hAnsi="Arial" w:cs="Arial"/>
          <w:b/>
          <w:sz w:val="20"/>
          <w:szCs w:val="20"/>
        </w:rPr>
        <w:t xml:space="preserve"> September 2015</w:t>
      </w:r>
    </w:p>
    <w:p w:rsidR="003C4EC9" w:rsidRPr="003C4EC9" w:rsidRDefault="003C4EC9" w:rsidP="003C4EC9">
      <w:pPr>
        <w:ind w:left="720"/>
        <w:jc w:val="both"/>
        <w:rPr>
          <w:rFonts w:ascii="Arial" w:hAnsi="Arial" w:cs="Arial"/>
          <w:sz w:val="20"/>
          <w:szCs w:val="20"/>
        </w:rPr>
      </w:pPr>
      <w:r w:rsidRPr="003C4EC9">
        <w:rPr>
          <w:rFonts w:ascii="Arial" w:hAnsi="Arial" w:cs="Arial"/>
          <w:b/>
          <w:sz w:val="20"/>
          <w:szCs w:val="20"/>
        </w:rPr>
        <w:t>Changes in Schedule III to Act -</w:t>
      </w:r>
      <w:r>
        <w:rPr>
          <w:rFonts w:ascii="Arial" w:hAnsi="Arial" w:cs="Arial"/>
          <w:b/>
          <w:sz w:val="20"/>
          <w:szCs w:val="20"/>
        </w:rPr>
        <w:t xml:space="preserve"> </w:t>
      </w:r>
      <w:r w:rsidRPr="003C4EC9">
        <w:rPr>
          <w:rFonts w:ascii="Arial" w:hAnsi="Arial" w:cs="Arial"/>
          <w:sz w:val="20"/>
          <w:szCs w:val="20"/>
        </w:rPr>
        <w:t xml:space="preserve">The notification necessitates additional disclosure for ‘Trade Payables’ in the Balance Sheet and Notes forming part of Financial Statements. </w:t>
      </w:r>
    </w:p>
    <w:p w:rsidR="003C4EC9" w:rsidRPr="003C4EC9" w:rsidRDefault="003C4EC9" w:rsidP="003C4EC9">
      <w:pPr>
        <w:numPr>
          <w:ilvl w:val="0"/>
          <w:numId w:val="3"/>
        </w:numPr>
        <w:ind w:hanging="270"/>
        <w:jc w:val="both"/>
        <w:rPr>
          <w:rFonts w:ascii="Arial" w:hAnsi="Arial" w:cs="Arial"/>
          <w:sz w:val="20"/>
          <w:szCs w:val="20"/>
          <w:u w:val="single"/>
        </w:rPr>
      </w:pPr>
      <w:r w:rsidRPr="003C4EC9">
        <w:rPr>
          <w:rFonts w:ascii="Arial" w:hAnsi="Arial" w:cs="Arial"/>
          <w:sz w:val="20"/>
          <w:szCs w:val="20"/>
          <w:u w:val="single"/>
        </w:rPr>
        <w:t>Disclosure in the Balance Sheet under ‘Trade Payables’:</w:t>
      </w:r>
    </w:p>
    <w:p w:rsidR="003C4EC9" w:rsidRPr="003C4EC9" w:rsidRDefault="003C4EC9" w:rsidP="003C4EC9">
      <w:pPr>
        <w:numPr>
          <w:ilvl w:val="0"/>
          <w:numId w:val="2"/>
        </w:numPr>
        <w:ind w:left="1080"/>
        <w:jc w:val="both"/>
        <w:rPr>
          <w:rFonts w:ascii="Arial" w:hAnsi="Arial" w:cs="Arial"/>
          <w:sz w:val="20"/>
          <w:szCs w:val="20"/>
        </w:rPr>
      </w:pPr>
      <w:r w:rsidRPr="003C4EC9">
        <w:rPr>
          <w:rFonts w:ascii="Arial" w:hAnsi="Arial" w:cs="Arial"/>
          <w:sz w:val="20"/>
          <w:szCs w:val="20"/>
        </w:rPr>
        <w:t>total outstanding dues of micro enterprises and small enterprises; and</w:t>
      </w:r>
    </w:p>
    <w:p w:rsidR="003C4EC9" w:rsidRPr="003C4EC9" w:rsidRDefault="003C4EC9" w:rsidP="003C4EC9">
      <w:pPr>
        <w:numPr>
          <w:ilvl w:val="0"/>
          <w:numId w:val="2"/>
        </w:numPr>
        <w:ind w:left="1080"/>
        <w:jc w:val="both"/>
        <w:rPr>
          <w:rFonts w:ascii="Arial" w:hAnsi="Arial" w:cs="Arial"/>
          <w:sz w:val="20"/>
          <w:szCs w:val="20"/>
        </w:rPr>
      </w:pPr>
      <w:proofErr w:type="gramStart"/>
      <w:r w:rsidRPr="003C4EC9">
        <w:rPr>
          <w:rFonts w:ascii="Arial" w:hAnsi="Arial" w:cs="Arial"/>
          <w:sz w:val="20"/>
          <w:szCs w:val="20"/>
        </w:rPr>
        <w:t>total</w:t>
      </w:r>
      <w:proofErr w:type="gramEnd"/>
      <w:r w:rsidRPr="003C4EC9">
        <w:rPr>
          <w:rFonts w:ascii="Arial" w:hAnsi="Arial" w:cs="Arial"/>
          <w:sz w:val="20"/>
          <w:szCs w:val="20"/>
        </w:rPr>
        <w:t xml:space="preserve"> outstanding dues of creditors other than micro enterprises and small enterprises.</w:t>
      </w:r>
    </w:p>
    <w:p w:rsidR="003C4EC9" w:rsidRPr="003C4EC9" w:rsidRDefault="003C4EC9" w:rsidP="003C4EC9">
      <w:pPr>
        <w:numPr>
          <w:ilvl w:val="0"/>
          <w:numId w:val="3"/>
        </w:numPr>
        <w:ind w:hanging="270"/>
        <w:jc w:val="both"/>
        <w:rPr>
          <w:rFonts w:ascii="Arial" w:hAnsi="Arial" w:cs="Arial"/>
          <w:sz w:val="20"/>
          <w:szCs w:val="20"/>
          <w:u w:val="single"/>
        </w:rPr>
      </w:pPr>
      <w:r w:rsidRPr="003C4EC9">
        <w:rPr>
          <w:rFonts w:ascii="Arial" w:hAnsi="Arial" w:cs="Arial"/>
          <w:sz w:val="20"/>
          <w:szCs w:val="20"/>
          <w:u w:val="single"/>
        </w:rPr>
        <w:t>Disclosure in Notes forming part of Financial Statements:</w:t>
      </w:r>
    </w:p>
    <w:p w:rsidR="003C4EC9" w:rsidRPr="003C4EC9" w:rsidRDefault="003C4EC9" w:rsidP="003C4EC9">
      <w:pPr>
        <w:numPr>
          <w:ilvl w:val="0"/>
          <w:numId w:val="4"/>
        </w:numPr>
        <w:autoSpaceDE w:val="0"/>
        <w:autoSpaceDN w:val="0"/>
        <w:adjustRightInd w:val="0"/>
        <w:spacing w:after="0" w:line="240" w:lineRule="auto"/>
        <w:ind w:hanging="90"/>
        <w:jc w:val="both"/>
        <w:rPr>
          <w:rFonts w:ascii="Arial" w:hAnsi="Arial" w:cs="Arial"/>
          <w:sz w:val="20"/>
          <w:szCs w:val="20"/>
          <w:lang w:val="en-US"/>
        </w:rPr>
      </w:pPr>
      <w:r w:rsidRPr="003C4EC9">
        <w:rPr>
          <w:rFonts w:ascii="Arial" w:hAnsi="Arial" w:cs="Arial"/>
          <w:sz w:val="20"/>
          <w:szCs w:val="20"/>
          <w:lang w:val="en-US"/>
        </w:rPr>
        <w:t>the principal amount and the interest due thereon (to be shown separately) remaining unpaid to any supplier at the end of each accounting  year</w:t>
      </w:r>
    </w:p>
    <w:p w:rsidR="003C4EC9" w:rsidRPr="003C4EC9" w:rsidRDefault="003C4EC9" w:rsidP="003C4EC9">
      <w:pPr>
        <w:autoSpaceDE w:val="0"/>
        <w:autoSpaceDN w:val="0"/>
        <w:adjustRightInd w:val="0"/>
        <w:spacing w:after="0" w:line="240" w:lineRule="auto"/>
        <w:ind w:left="1080"/>
        <w:jc w:val="both"/>
        <w:rPr>
          <w:rFonts w:ascii="Arial" w:hAnsi="Arial" w:cs="Arial"/>
          <w:sz w:val="20"/>
          <w:szCs w:val="20"/>
          <w:lang w:val="en-US"/>
        </w:rPr>
      </w:pPr>
    </w:p>
    <w:p w:rsidR="003C4EC9" w:rsidRPr="003C4EC9" w:rsidRDefault="003C4EC9" w:rsidP="003C4EC9">
      <w:pPr>
        <w:numPr>
          <w:ilvl w:val="0"/>
          <w:numId w:val="4"/>
        </w:numPr>
        <w:autoSpaceDE w:val="0"/>
        <w:autoSpaceDN w:val="0"/>
        <w:adjustRightInd w:val="0"/>
        <w:spacing w:after="0" w:line="240" w:lineRule="auto"/>
        <w:ind w:hanging="90"/>
        <w:jc w:val="both"/>
        <w:rPr>
          <w:rFonts w:ascii="Arial" w:hAnsi="Arial" w:cs="Arial"/>
          <w:sz w:val="20"/>
          <w:szCs w:val="20"/>
          <w:lang w:val="en-US"/>
        </w:rPr>
      </w:pPr>
      <w:r w:rsidRPr="003C4EC9">
        <w:rPr>
          <w:rFonts w:ascii="Arial" w:hAnsi="Arial" w:cs="Arial"/>
          <w:sz w:val="20"/>
          <w:szCs w:val="20"/>
          <w:lang w:val="en-US"/>
        </w:rPr>
        <w:t>the amount of interest paid by the buyer in terms of section 16 of the Micro, Small and Medium Enterprises Development Act, 2006, along with the amount of the payment made to the supplier beyond the appointed day during each accounting year</w:t>
      </w:r>
    </w:p>
    <w:p w:rsidR="003C4EC9" w:rsidRPr="003C4EC9" w:rsidRDefault="003C4EC9" w:rsidP="003C4EC9">
      <w:pPr>
        <w:autoSpaceDE w:val="0"/>
        <w:autoSpaceDN w:val="0"/>
        <w:adjustRightInd w:val="0"/>
        <w:spacing w:after="0" w:line="240" w:lineRule="auto"/>
        <w:ind w:left="1080"/>
        <w:jc w:val="both"/>
        <w:rPr>
          <w:rFonts w:ascii="Arial" w:hAnsi="Arial" w:cs="Arial"/>
          <w:sz w:val="20"/>
          <w:szCs w:val="20"/>
          <w:lang w:val="en-US"/>
        </w:rPr>
      </w:pPr>
    </w:p>
    <w:p w:rsidR="003C4EC9" w:rsidRPr="003C4EC9" w:rsidRDefault="003C4EC9" w:rsidP="003C4EC9">
      <w:pPr>
        <w:numPr>
          <w:ilvl w:val="0"/>
          <w:numId w:val="4"/>
        </w:numPr>
        <w:autoSpaceDE w:val="0"/>
        <w:autoSpaceDN w:val="0"/>
        <w:adjustRightInd w:val="0"/>
        <w:spacing w:after="0" w:line="240" w:lineRule="auto"/>
        <w:ind w:hanging="90"/>
        <w:jc w:val="both"/>
        <w:rPr>
          <w:rFonts w:ascii="Arial" w:hAnsi="Arial" w:cs="Arial"/>
          <w:sz w:val="20"/>
          <w:szCs w:val="20"/>
          <w:lang w:val="en-US"/>
        </w:rPr>
      </w:pPr>
      <w:r w:rsidRPr="003C4EC9">
        <w:rPr>
          <w:rFonts w:ascii="Arial" w:hAnsi="Arial" w:cs="Arial"/>
          <w:sz w:val="20"/>
          <w:szCs w:val="20"/>
          <w:lang w:val="en-US"/>
        </w:rPr>
        <w:t>the amount of interest due and payable for the period of delay in making payment (which have been paid but beyond the appointed day during the year) but without adding the interest specified under the Micro, Small and Medium Enterprises Development Act, 2006</w:t>
      </w:r>
    </w:p>
    <w:p w:rsidR="003C4EC9" w:rsidRPr="003C4EC9" w:rsidRDefault="003C4EC9" w:rsidP="003C4EC9">
      <w:pPr>
        <w:autoSpaceDE w:val="0"/>
        <w:autoSpaceDN w:val="0"/>
        <w:adjustRightInd w:val="0"/>
        <w:spacing w:after="0" w:line="240" w:lineRule="auto"/>
        <w:ind w:left="1080"/>
        <w:jc w:val="both"/>
        <w:rPr>
          <w:rFonts w:ascii="Arial" w:hAnsi="Arial" w:cs="Arial"/>
          <w:sz w:val="20"/>
          <w:szCs w:val="20"/>
          <w:lang w:val="en-US"/>
        </w:rPr>
      </w:pPr>
    </w:p>
    <w:p w:rsidR="003C4EC9" w:rsidRPr="003C4EC9" w:rsidRDefault="003C4EC9" w:rsidP="003C4EC9">
      <w:pPr>
        <w:numPr>
          <w:ilvl w:val="0"/>
          <w:numId w:val="4"/>
        </w:numPr>
        <w:autoSpaceDE w:val="0"/>
        <w:autoSpaceDN w:val="0"/>
        <w:adjustRightInd w:val="0"/>
        <w:spacing w:after="0" w:line="240" w:lineRule="auto"/>
        <w:ind w:hanging="90"/>
        <w:jc w:val="both"/>
        <w:rPr>
          <w:rFonts w:ascii="Arial" w:hAnsi="Arial" w:cs="Arial"/>
          <w:sz w:val="20"/>
          <w:szCs w:val="20"/>
          <w:lang w:val="en-US"/>
        </w:rPr>
      </w:pPr>
      <w:r w:rsidRPr="003C4EC9">
        <w:rPr>
          <w:rFonts w:ascii="Arial" w:hAnsi="Arial" w:cs="Arial"/>
          <w:sz w:val="20"/>
          <w:szCs w:val="20"/>
          <w:lang w:val="en-US"/>
        </w:rPr>
        <w:t>the amount of interest accrued and remaining unpaid at the end of each accounting year and</w:t>
      </w:r>
    </w:p>
    <w:p w:rsidR="003C4EC9" w:rsidRPr="003C4EC9" w:rsidRDefault="003C4EC9" w:rsidP="003C4EC9">
      <w:pPr>
        <w:pStyle w:val="ListParagraph"/>
        <w:spacing w:after="0" w:line="240" w:lineRule="auto"/>
        <w:jc w:val="both"/>
        <w:rPr>
          <w:rFonts w:ascii="Arial" w:hAnsi="Arial" w:cs="Arial"/>
          <w:sz w:val="20"/>
          <w:szCs w:val="20"/>
          <w:lang w:val="en-US"/>
        </w:rPr>
      </w:pPr>
    </w:p>
    <w:p w:rsidR="003C4EC9" w:rsidRPr="003C4EC9" w:rsidRDefault="003C4EC9" w:rsidP="003C4EC9">
      <w:pPr>
        <w:numPr>
          <w:ilvl w:val="0"/>
          <w:numId w:val="4"/>
        </w:numPr>
        <w:autoSpaceDE w:val="0"/>
        <w:autoSpaceDN w:val="0"/>
        <w:adjustRightInd w:val="0"/>
        <w:spacing w:after="0" w:line="240" w:lineRule="auto"/>
        <w:ind w:hanging="90"/>
        <w:jc w:val="both"/>
        <w:rPr>
          <w:rFonts w:ascii="Arial" w:hAnsi="Arial" w:cs="Arial"/>
          <w:sz w:val="20"/>
          <w:szCs w:val="20"/>
          <w:lang w:val="en-US"/>
        </w:rPr>
      </w:pPr>
      <w:r w:rsidRPr="003C4EC9">
        <w:rPr>
          <w:rFonts w:ascii="Arial" w:hAnsi="Arial" w:cs="Arial"/>
          <w:sz w:val="20"/>
          <w:szCs w:val="20"/>
          <w:lang w:val="en-US"/>
        </w:rPr>
        <w:t>the amount of further interest remaining due and payable even in the succeeding years, until such date when the interest dues above are actually paid to the small enterprise, for the purpose of disallowance of a deductible expenditure under section 23 of the Micro, Small and Medium Enterprises Development Act, 2006.</w:t>
      </w:r>
    </w:p>
    <w:p w:rsidR="003C4EC9" w:rsidRPr="003C4EC9" w:rsidRDefault="003C4EC9" w:rsidP="003C4EC9">
      <w:pPr>
        <w:autoSpaceDE w:val="0"/>
        <w:autoSpaceDN w:val="0"/>
        <w:adjustRightInd w:val="0"/>
        <w:spacing w:after="0" w:line="240" w:lineRule="auto"/>
        <w:ind w:left="1080"/>
        <w:jc w:val="both"/>
        <w:rPr>
          <w:rFonts w:ascii="Arial" w:hAnsi="Arial" w:cs="Arial"/>
          <w:sz w:val="20"/>
          <w:szCs w:val="20"/>
          <w:lang w:val="en-US"/>
        </w:rPr>
      </w:pPr>
    </w:p>
    <w:p w:rsidR="003C4EC9" w:rsidRPr="003C4EC9" w:rsidRDefault="003C4EC9" w:rsidP="003C4EC9">
      <w:pPr>
        <w:numPr>
          <w:ilvl w:val="0"/>
          <w:numId w:val="1"/>
        </w:numPr>
        <w:jc w:val="both"/>
        <w:rPr>
          <w:rFonts w:ascii="Arial" w:hAnsi="Arial" w:cs="Arial"/>
          <w:b/>
          <w:sz w:val="20"/>
          <w:szCs w:val="20"/>
        </w:rPr>
      </w:pPr>
      <w:r w:rsidRPr="003C4EC9">
        <w:rPr>
          <w:rFonts w:ascii="Arial" w:hAnsi="Arial" w:cs="Arial"/>
          <w:b/>
          <w:sz w:val="20"/>
          <w:szCs w:val="20"/>
        </w:rPr>
        <w:t>Notification No. F.No.01/34/2013-CL-V-Part-I</w:t>
      </w:r>
    </w:p>
    <w:p w:rsidR="003C4EC9" w:rsidRPr="003C4EC9" w:rsidRDefault="003C4EC9" w:rsidP="003C4EC9">
      <w:pPr>
        <w:pStyle w:val="ListParagraph"/>
        <w:numPr>
          <w:ilvl w:val="0"/>
          <w:numId w:val="3"/>
        </w:numPr>
        <w:jc w:val="both"/>
        <w:rPr>
          <w:rFonts w:ascii="Arial" w:hAnsi="Arial" w:cs="Arial"/>
          <w:sz w:val="20"/>
          <w:szCs w:val="20"/>
        </w:rPr>
      </w:pPr>
      <w:r w:rsidRPr="003C4EC9">
        <w:rPr>
          <w:rFonts w:ascii="Arial" w:hAnsi="Arial" w:cs="Arial"/>
          <w:sz w:val="20"/>
          <w:szCs w:val="20"/>
        </w:rPr>
        <w:t>Companies (Management and Administration) Amendment Rules, 2015</w:t>
      </w:r>
    </w:p>
    <w:p w:rsidR="003C4EC9" w:rsidRPr="003C4EC9" w:rsidRDefault="003C4EC9" w:rsidP="003C4EC9">
      <w:pPr>
        <w:ind w:left="1080"/>
        <w:jc w:val="both"/>
        <w:rPr>
          <w:rFonts w:ascii="Arial" w:hAnsi="Arial" w:cs="Arial"/>
          <w:sz w:val="20"/>
          <w:szCs w:val="20"/>
        </w:rPr>
      </w:pPr>
      <w:r w:rsidRPr="003C4EC9">
        <w:rPr>
          <w:rFonts w:ascii="Arial" w:hAnsi="Arial" w:cs="Arial"/>
          <w:sz w:val="20"/>
          <w:szCs w:val="20"/>
        </w:rPr>
        <w:t>As per the provisions of section</w:t>
      </w:r>
      <w:r>
        <w:rPr>
          <w:rFonts w:ascii="Arial" w:hAnsi="Arial" w:cs="Arial"/>
          <w:sz w:val="20"/>
          <w:szCs w:val="20"/>
        </w:rPr>
        <w:t xml:space="preserve"> 115 of the Companies Act, 2103</w:t>
      </w:r>
      <w:r w:rsidRPr="003C4EC9">
        <w:rPr>
          <w:rFonts w:ascii="Arial" w:hAnsi="Arial" w:cs="Arial"/>
          <w:sz w:val="20"/>
          <w:szCs w:val="20"/>
        </w:rPr>
        <w:t>, in case a special notice is required of any resolution, notice of the intention to move such resolution shall be given to the Company by such number of members-</w:t>
      </w:r>
      <w:r>
        <w:rPr>
          <w:rFonts w:ascii="Arial" w:hAnsi="Arial" w:cs="Arial"/>
          <w:sz w:val="20"/>
          <w:szCs w:val="20"/>
        </w:rPr>
        <w:t xml:space="preserve"> </w:t>
      </w:r>
      <w:r w:rsidRPr="003C4EC9">
        <w:rPr>
          <w:rFonts w:ascii="Arial" w:hAnsi="Arial" w:cs="Arial"/>
          <w:sz w:val="20"/>
          <w:szCs w:val="20"/>
        </w:rPr>
        <w:t xml:space="preserve">holding not less than 1% of total voting power </w:t>
      </w:r>
      <w:proofErr w:type="gramStart"/>
      <w:r w:rsidRPr="003C4EC9">
        <w:rPr>
          <w:rFonts w:ascii="Arial" w:hAnsi="Arial" w:cs="Arial"/>
          <w:sz w:val="20"/>
          <w:szCs w:val="20"/>
        </w:rPr>
        <w:t xml:space="preserve">or </w:t>
      </w:r>
      <w:r>
        <w:rPr>
          <w:rFonts w:ascii="Arial" w:hAnsi="Arial" w:cs="Arial"/>
          <w:sz w:val="20"/>
          <w:szCs w:val="20"/>
        </w:rPr>
        <w:t xml:space="preserve"> </w:t>
      </w:r>
      <w:r w:rsidRPr="003C4EC9">
        <w:rPr>
          <w:rFonts w:ascii="Arial" w:hAnsi="Arial" w:cs="Arial"/>
          <w:sz w:val="20"/>
          <w:szCs w:val="20"/>
        </w:rPr>
        <w:t>holding</w:t>
      </w:r>
      <w:proofErr w:type="gramEnd"/>
      <w:r w:rsidRPr="003C4EC9">
        <w:rPr>
          <w:rFonts w:ascii="Arial" w:hAnsi="Arial" w:cs="Arial"/>
          <w:sz w:val="20"/>
          <w:szCs w:val="20"/>
        </w:rPr>
        <w:t xml:space="preserve"> shares on which such aggregate sum not exceeding </w:t>
      </w:r>
      <w:r>
        <w:rPr>
          <w:rFonts w:ascii="Arial" w:hAnsi="Arial" w:cs="Arial"/>
          <w:sz w:val="20"/>
          <w:szCs w:val="20"/>
        </w:rPr>
        <w:t xml:space="preserve">5 </w:t>
      </w:r>
      <w:proofErr w:type="spellStart"/>
      <w:r w:rsidRPr="003C4EC9">
        <w:rPr>
          <w:rFonts w:ascii="Arial" w:hAnsi="Arial" w:cs="Arial"/>
          <w:sz w:val="20"/>
          <w:szCs w:val="20"/>
        </w:rPr>
        <w:t>lakh</w:t>
      </w:r>
      <w:proofErr w:type="spellEnd"/>
      <w:r w:rsidRPr="003C4EC9">
        <w:rPr>
          <w:rFonts w:ascii="Arial" w:hAnsi="Arial" w:cs="Arial"/>
          <w:sz w:val="20"/>
          <w:szCs w:val="20"/>
        </w:rPr>
        <w:t xml:space="preserve"> rupees </w:t>
      </w:r>
    </w:p>
    <w:p w:rsidR="003C4EC9" w:rsidRPr="003C4EC9" w:rsidRDefault="003C4EC9" w:rsidP="003C4EC9">
      <w:pPr>
        <w:ind w:left="1080"/>
        <w:jc w:val="both"/>
        <w:rPr>
          <w:rFonts w:ascii="Arial" w:hAnsi="Arial" w:cs="Arial"/>
          <w:sz w:val="20"/>
          <w:szCs w:val="20"/>
        </w:rPr>
      </w:pPr>
      <w:proofErr w:type="gramStart"/>
      <w:r w:rsidRPr="003C4EC9">
        <w:rPr>
          <w:rFonts w:ascii="Arial" w:hAnsi="Arial" w:cs="Arial"/>
          <w:sz w:val="20"/>
          <w:szCs w:val="20"/>
        </w:rPr>
        <w:lastRenderedPageBreak/>
        <w:t>has</w:t>
      </w:r>
      <w:proofErr w:type="gramEnd"/>
      <w:r w:rsidRPr="003C4EC9">
        <w:rPr>
          <w:rFonts w:ascii="Arial" w:hAnsi="Arial" w:cs="Arial"/>
          <w:sz w:val="20"/>
          <w:szCs w:val="20"/>
        </w:rPr>
        <w:t xml:space="preserve"> been paid-up and the Company shall give its members notice of the resolution in the prescribed manner.</w:t>
      </w:r>
      <w:r>
        <w:rPr>
          <w:rFonts w:ascii="Arial" w:hAnsi="Arial" w:cs="Arial"/>
          <w:sz w:val="20"/>
          <w:szCs w:val="20"/>
        </w:rPr>
        <w:t xml:space="preserve"> This </w:t>
      </w:r>
      <w:r w:rsidRPr="003C4EC9">
        <w:rPr>
          <w:rFonts w:ascii="Arial" w:hAnsi="Arial" w:cs="Arial"/>
          <w:sz w:val="20"/>
          <w:szCs w:val="20"/>
        </w:rPr>
        <w:t xml:space="preserve">rule </w:t>
      </w:r>
      <w:r>
        <w:rPr>
          <w:rFonts w:ascii="Arial" w:hAnsi="Arial" w:cs="Arial"/>
          <w:sz w:val="20"/>
          <w:szCs w:val="20"/>
        </w:rPr>
        <w:t xml:space="preserve">reiterates </w:t>
      </w:r>
      <w:r w:rsidRPr="003C4EC9">
        <w:rPr>
          <w:rFonts w:ascii="Arial" w:hAnsi="Arial" w:cs="Arial"/>
          <w:sz w:val="20"/>
          <w:szCs w:val="20"/>
        </w:rPr>
        <w:t xml:space="preserve">the provision stated above which was earlier inconsistent with the section. </w:t>
      </w:r>
    </w:p>
    <w:p w:rsidR="003C4EC9" w:rsidRPr="003C4EC9" w:rsidRDefault="003C4EC9" w:rsidP="003C4EC9">
      <w:pPr>
        <w:numPr>
          <w:ilvl w:val="0"/>
          <w:numId w:val="5"/>
        </w:numPr>
        <w:ind w:left="1080" w:hanging="360"/>
        <w:jc w:val="both"/>
        <w:rPr>
          <w:rFonts w:ascii="Arial" w:hAnsi="Arial" w:cs="Arial"/>
          <w:b/>
          <w:sz w:val="20"/>
          <w:szCs w:val="20"/>
        </w:rPr>
      </w:pPr>
      <w:r w:rsidRPr="003C4EC9">
        <w:rPr>
          <w:rFonts w:ascii="Arial" w:hAnsi="Arial" w:cs="Arial"/>
          <w:b/>
          <w:sz w:val="20"/>
          <w:szCs w:val="20"/>
        </w:rPr>
        <w:t xml:space="preserve">Revised Form MGT-7 </w:t>
      </w:r>
    </w:p>
    <w:p w:rsidR="003C4EC9" w:rsidRPr="003C4EC9" w:rsidRDefault="003C4EC9" w:rsidP="003C4EC9">
      <w:pPr>
        <w:ind w:left="1080"/>
        <w:jc w:val="both"/>
        <w:rPr>
          <w:rFonts w:ascii="Arial" w:hAnsi="Arial" w:cs="Arial"/>
          <w:sz w:val="20"/>
          <w:szCs w:val="20"/>
        </w:rPr>
      </w:pPr>
      <w:r w:rsidRPr="003C4EC9">
        <w:rPr>
          <w:rFonts w:ascii="Arial" w:hAnsi="Arial" w:cs="Arial"/>
          <w:sz w:val="20"/>
          <w:szCs w:val="20"/>
        </w:rPr>
        <w:t>Pursuant to Section 92(1) and Rule 11(1) of the Companies (Management and Administration) Rules, 2014, the Form MGT 7 has been substituted</w:t>
      </w:r>
      <w:r>
        <w:rPr>
          <w:rFonts w:ascii="Arial" w:hAnsi="Arial" w:cs="Arial"/>
          <w:sz w:val="20"/>
          <w:szCs w:val="20"/>
        </w:rPr>
        <w:t xml:space="preserve"> for submission of Annual Return</w:t>
      </w:r>
      <w:r w:rsidRPr="003C4EC9">
        <w:rPr>
          <w:rFonts w:ascii="Arial" w:hAnsi="Arial" w:cs="Arial"/>
          <w:sz w:val="20"/>
          <w:szCs w:val="20"/>
        </w:rPr>
        <w:t>.</w:t>
      </w:r>
      <w:r>
        <w:rPr>
          <w:rFonts w:ascii="Arial" w:hAnsi="Arial" w:cs="Arial"/>
          <w:sz w:val="20"/>
          <w:szCs w:val="20"/>
        </w:rPr>
        <w:t xml:space="preserve"> Some of the changes </w:t>
      </w:r>
      <w:r w:rsidRPr="003C4EC9">
        <w:rPr>
          <w:rFonts w:ascii="Arial" w:hAnsi="Arial" w:cs="Arial"/>
          <w:sz w:val="20"/>
          <w:szCs w:val="20"/>
        </w:rPr>
        <w:t xml:space="preserve">Form MGT 7 </w:t>
      </w:r>
      <w:proofErr w:type="gramStart"/>
      <w:r w:rsidRPr="003C4EC9">
        <w:rPr>
          <w:rFonts w:ascii="Arial" w:hAnsi="Arial" w:cs="Arial"/>
          <w:sz w:val="20"/>
          <w:szCs w:val="20"/>
        </w:rPr>
        <w:t>is</w:t>
      </w:r>
      <w:proofErr w:type="gramEnd"/>
      <w:r w:rsidRPr="003C4EC9">
        <w:rPr>
          <w:rFonts w:ascii="Arial" w:hAnsi="Arial" w:cs="Arial"/>
          <w:sz w:val="20"/>
          <w:szCs w:val="20"/>
        </w:rPr>
        <w:t xml:space="preserve"> as follows:</w:t>
      </w:r>
    </w:p>
    <w:p w:rsidR="003C4EC9" w:rsidRPr="003C4EC9" w:rsidRDefault="003C4EC9" w:rsidP="003C4EC9">
      <w:pPr>
        <w:numPr>
          <w:ilvl w:val="0"/>
          <w:numId w:val="10"/>
        </w:numPr>
        <w:jc w:val="both"/>
        <w:rPr>
          <w:rFonts w:ascii="Arial" w:hAnsi="Arial" w:cs="Arial"/>
          <w:sz w:val="20"/>
          <w:szCs w:val="20"/>
        </w:rPr>
      </w:pPr>
      <w:r w:rsidRPr="003C4EC9">
        <w:rPr>
          <w:rFonts w:ascii="Arial" w:hAnsi="Arial" w:cs="Arial"/>
          <w:sz w:val="20"/>
          <w:szCs w:val="20"/>
        </w:rPr>
        <w:t xml:space="preserve">The details of Authorized Share Capital, Issued Share Capital, Subscribed Share capital and Paid up share capital are now included under the single section - Share capital, Debentures and other securities of the Company. </w:t>
      </w:r>
    </w:p>
    <w:p w:rsidR="003C4EC9" w:rsidRPr="003C4EC9" w:rsidRDefault="003C4EC9" w:rsidP="003C4EC9">
      <w:pPr>
        <w:numPr>
          <w:ilvl w:val="0"/>
          <w:numId w:val="10"/>
        </w:numPr>
        <w:jc w:val="both"/>
        <w:rPr>
          <w:rFonts w:ascii="Arial" w:hAnsi="Arial" w:cs="Arial"/>
          <w:sz w:val="20"/>
          <w:szCs w:val="20"/>
        </w:rPr>
      </w:pPr>
      <w:r w:rsidRPr="003C4EC9">
        <w:rPr>
          <w:rFonts w:ascii="Arial" w:hAnsi="Arial" w:cs="Arial"/>
          <w:sz w:val="20"/>
          <w:szCs w:val="20"/>
        </w:rPr>
        <w:t>Compliance with Section 92(2) of the Act</w:t>
      </w:r>
      <w:r>
        <w:rPr>
          <w:rFonts w:ascii="Arial" w:hAnsi="Arial" w:cs="Arial"/>
          <w:sz w:val="20"/>
          <w:szCs w:val="20"/>
        </w:rPr>
        <w:t xml:space="preserve">- </w:t>
      </w:r>
      <w:r w:rsidRPr="003C4EC9">
        <w:rPr>
          <w:rFonts w:ascii="Arial" w:hAnsi="Arial" w:cs="Arial"/>
          <w:sz w:val="20"/>
          <w:szCs w:val="20"/>
        </w:rPr>
        <w:t>In case of a listed Company or a Company having</w:t>
      </w:r>
    </w:p>
    <w:p w:rsidR="003C4EC9" w:rsidRPr="003C4EC9" w:rsidRDefault="003C4EC9" w:rsidP="003C4EC9">
      <w:pPr>
        <w:numPr>
          <w:ilvl w:val="0"/>
          <w:numId w:val="3"/>
        </w:numPr>
        <w:tabs>
          <w:tab w:val="left" w:pos="1710"/>
        </w:tabs>
        <w:spacing w:after="0"/>
        <w:ind w:left="1440" w:firstLine="0"/>
        <w:jc w:val="both"/>
        <w:rPr>
          <w:rFonts w:ascii="Arial" w:hAnsi="Arial" w:cs="Arial"/>
          <w:sz w:val="20"/>
          <w:szCs w:val="20"/>
        </w:rPr>
      </w:pPr>
      <w:r w:rsidRPr="003C4EC9">
        <w:rPr>
          <w:rFonts w:ascii="Arial" w:hAnsi="Arial" w:cs="Arial"/>
          <w:sz w:val="20"/>
          <w:szCs w:val="20"/>
        </w:rPr>
        <w:t xml:space="preserve">paid up share capital of 10 </w:t>
      </w:r>
      <w:proofErr w:type="spellStart"/>
      <w:r w:rsidRPr="003C4EC9">
        <w:rPr>
          <w:rFonts w:ascii="Arial" w:hAnsi="Arial" w:cs="Arial"/>
          <w:sz w:val="20"/>
          <w:szCs w:val="20"/>
        </w:rPr>
        <w:t>crore</w:t>
      </w:r>
      <w:proofErr w:type="spellEnd"/>
      <w:r w:rsidRPr="003C4EC9">
        <w:rPr>
          <w:rFonts w:ascii="Arial" w:hAnsi="Arial" w:cs="Arial"/>
          <w:sz w:val="20"/>
          <w:szCs w:val="20"/>
        </w:rPr>
        <w:t xml:space="preserve"> rupees or more or </w:t>
      </w:r>
    </w:p>
    <w:p w:rsidR="003C4EC9" w:rsidRPr="003C4EC9" w:rsidRDefault="003C4EC9" w:rsidP="003C4EC9">
      <w:pPr>
        <w:numPr>
          <w:ilvl w:val="0"/>
          <w:numId w:val="3"/>
        </w:numPr>
        <w:tabs>
          <w:tab w:val="left" w:pos="1710"/>
        </w:tabs>
        <w:spacing w:after="0"/>
        <w:ind w:left="1440" w:firstLine="0"/>
        <w:jc w:val="both"/>
        <w:rPr>
          <w:rFonts w:ascii="Arial" w:hAnsi="Arial" w:cs="Arial"/>
          <w:sz w:val="20"/>
          <w:szCs w:val="20"/>
        </w:rPr>
      </w:pPr>
      <w:r w:rsidRPr="003C4EC9">
        <w:rPr>
          <w:rFonts w:ascii="Arial" w:hAnsi="Arial" w:cs="Arial"/>
          <w:sz w:val="20"/>
          <w:szCs w:val="20"/>
        </w:rPr>
        <w:t xml:space="preserve">turnover of 50 </w:t>
      </w:r>
      <w:proofErr w:type="spellStart"/>
      <w:r w:rsidRPr="003C4EC9">
        <w:rPr>
          <w:rFonts w:ascii="Arial" w:hAnsi="Arial" w:cs="Arial"/>
          <w:sz w:val="20"/>
          <w:szCs w:val="20"/>
        </w:rPr>
        <w:t>crore</w:t>
      </w:r>
      <w:proofErr w:type="spellEnd"/>
      <w:r w:rsidRPr="003C4EC9">
        <w:rPr>
          <w:rFonts w:ascii="Arial" w:hAnsi="Arial" w:cs="Arial"/>
          <w:sz w:val="20"/>
          <w:szCs w:val="20"/>
        </w:rPr>
        <w:t xml:space="preserve"> rupees or more</w:t>
      </w:r>
    </w:p>
    <w:p w:rsidR="003C4EC9" w:rsidRPr="003C4EC9" w:rsidRDefault="003C4EC9" w:rsidP="003C4EC9">
      <w:pPr>
        <w:tabs>
          <w:tab w:val="left" w:pos="1710"/>
        </w:tabs>
        <w:spacing w:after="0"/>
        <w:ind w:left="1440"/>
        <w:jc w:val="both"/>
        <w:rPr>
          <w:rFonts w:ascii="Arial" w:hAnsi="Arial" w:cs="Arial"/>
          <w:sz w:val="20"/>
          <w:szCs w:val="20"/>
        </w:rPr>
      </w:pPr>
    </w:p>
    <w:p w:rsidR="003C4EC9" w:rsidRPr="003C4EC9" w:rsidRDefault="003C4EC9" w:rsidP="003C4EC9">
      <w:pPr>
        <w:spacing w:after="0"/>
        <w:ind w:left="1440"/>
        <w:jc w:val="both"/>
        <w:rPr>
          <w:rFonts w:ascii="Arial" w:hAnsi="Arial" w:cs="Arial"/>
          <w:sz w:val="20"/>
          <w:szCs w:val="20"/>
        </w:rPr>
      </w:pPr>
      <w:proofErr w:type="gramStart"/>
      <w:r w:rsidRPr="003C4EC9">
        <w:rPr>
          <w:rFonts w:ascii="Arial" w:hAnsi="Arial" w:cs="Arial"/>
          <w:sz w:val="20"/>
          <w:szCs w:val="20"/>
        </w:rPr>
        <w:t>the</w:t>
      </w:r>
      <w:proofErr w:type="gramEnd"/>
      <w:r w:rsidRPr="003C4EC9">
        <w:rPr>
          <w:rFonts w:ascii="Arial" w:hAnsi="Arial" w:cs="Arial"/>
          <w:sz w:val="20"/>
          <w:szCs w:val="20"/>
        </w:rPr>
        <w:t xml:space="preserve"> Company Secretary in whole time practice shall certify the annual return in Form MGT – 8.</w:t>
      </w:r>
    </w:p>
    <w:p w:rsidR="003C4EC9" w:rsidRPr="003C4EC9" w:rsidRDefault="003C4EC9" w:rsidP="003C4EC9">
      <w:pPr>
        <w:spacing w:after="0"/>
        <w:ind w:left="1440"/>
        <w:jc w:val="both"/>
        <w:rPr>
          <w:rFonts w:ascii="Arial" w:hAnsi="Arial" w:cs="Arial"/>
          <w:sz w:val="20"/>
          <w:szCs w:val="20"/>
        </w:rPr>
      </w:pPr>
      <w:r w:rsidRPr="003C4EC9">
        <w:rPr>
          <w:rFonts w:ascii="Arial" w:hAnsi="Arial" w:cs="Arial"/>
          <w:sz w:val="20"/>
          <w:szCs w:val="20"/>
        </w:rPr>
        <w:t xml:space="preserve"> </w:t>
      </w:r>
    </w:p>
    <w:p w:rsidR="003C4EC9" w:rsidRPr="003C4EC9" w:rsidRDefault="003C4EC9" w:rsidP="003C4EC9">
      <w:pPr>
        <w:numPr>
          <w:ilvl w:val="0"/>
          <w:numId w:val="10"/>
        </w:numPr>
        <w:jc w:val="both"/>
        <w:rPr>
          <w:rFonts w:ascii="Arial" w:hAnsi="Arial" w:cs="Arial"/>
          <w:sz w:val="20"/>
          <w:szCs w:val="20"/>
        </w:rPr>
      </w:pPr>
      <w:r w:rsidRPr="003C4EC9">
        <w:rPr>
          <w:rFonts w:ascii="Arial" w:hAnsi="Arial" w:cs="Arial"/>
          <w:sz w:val="20"/>
          <w:szCs w:val="20"/>
        </w:rPr>
        <w:t xml:space="preserve">The presentation of the following details are revised: </w:t>
      </w:r>
    </w:p>
    <w:p w:rsidR="003C4EC9" w:rsidRPr="003C4EC9" w:rsidRDefault="003C4EC9" w:rsidP="003C4EC9">
      <w:pPr>
        <w:numPr>
          <w:ilvl w:val="0"/>
          <w:numId w:val="3"/>
        </w:numPr>
        <w:tabs>
          <w:tab w:val="left" w:pos="1710"/>
        </w:tabs>
        <w:spacing w:after="0"/>
        <w:ind w:firstLine="360"/>
        <w:jc w:val="both"/>
        <w:rPr>
          <w:rFonts w:ascii="Arial" w:hAnsi="Arial" w:cs="Arial"/>
          <w:sz w:val="20"/>
          <w:szCs w:val="20"/>
        </w:rPr>
      </w:pPr>
      <w:r w:rsidRPr="003C4EC9">
        <w:rPr>
          <w:rFonts w:ascii="Arial" w:hAnsi="Arial" w:cs="Arial"/>
          <w:sz w:val="20"/>
          <w:szCs w:val="20"/>
        </w:rPr>
        <w:t>Details of shares transferred during the year</w:t>
      </w:r>
    </w:p>
    <w:p w:rsidR="003C4EC9" w:rsidRPr="003C4EC9" w:rsidRDefault="003C4EC9" w:rsidP="003C4EC9">
      <w:pPr>
        <w:numPr>
          <w:ilvl w:val="0"/>
          <w:numId w:val="3"/>
        </w:numPr>
        <w:tabs>
          <w:tab w:val="left" w:pos="1710"/>
        </w:tabs>
        <w:spacing w:after="0"/>
        <w:ind w:firstLine="360"/>
        <w:jc w:val="both"/>
        <w:rPr>
          <w:rFonts w:ascii="Arial" w:hAnsi="Arial" w:cs="Arial"/>
          <w:sz w:val="20"/>
          <w:szCs w:val="20"/>
        </w:rPr>
      </w:pPr>
      <w:r w:rsidRPr="003C4EC9">
        <w:rPr>
          <w:rFonts w:ascii="Arial" w:hAnsi="Arial" w:cs="Arial"/>
          <w:sz w:val="20"/>
          <w:szCs w:val="20"/>
        </w:rPr>
        <w:t>Share holding pattern – Promoters and Public</w:t>
      </w:r>
    </w:p>
    <w:p w:rsidR="003C4EC9" w:rsidRPr="003C4EC9" w:rsidRDefault="003C4EC9" w:rsidP="003C4EC9">
      <w:pPr>
        <w:numPr>
          <w:ilvl w:val="0"/>
          <w:numId w:val="3"/>
        </w:numPr>
        <w:tabs>
          <w:tab w:val="left" w:pos="1710"/>
        </w:tabs>
        <w:spacing w:after="0"/>
        <w:ind w:firstLine="360"/>
        <w:jc w:val="both"/>
        <w:rPr>
          <w:rFonts w:ascii="Arial" w:hAnsi="Arial" w:cs="Arial"/>
          <w:sz w:val="20"/>
          <w:szCs w:val="20"/>
        </w:rPr>
      </w:pPr>
      <w:r w:rsidRPr="003C4EC9">
        <w:rPr>
          <w:rFonts w:ascii="Arial" w:hAnsi="Arial" w:cs="Arial"/>
          <w:sz w:val="20"/>
          <w:szCs w:val="20"/>
        </w:rPr>
        <w:t>Number of Promoters, Members, Debentures holders</w:t>
      </w:r>
    </w:p>
    <w:p w:rsidR="003C4EC9" w:rsidRPr="003C4EC9" w:rsidRDefault="003C4EC9" w:rsidP="003C4EC9">
      <w:pPr>
        <w:numPr>
          <w:ilvl w:val="0"/>
          <w:numId w:val="3"/>
        </w:numPr>
        <w:tabs>
          <w:tab w:val="left" w:pos="1710"/>
        </w:tabs>
        <w:spacing w:after="0"/>
        <w:ind w:firstLine="360"/>
        <w:jc w:val="both"/>
        <w:rPr>
          <w:rFonts w:ascii="Arial" w:hAnsi="Arial" w:cs="Arial"/>
          <w:sz w:val="20"/>
          <w:szCs w:val="20"/>
        </w:rPr>
      </w:pPr>
      <w:r w:rsidRPr="003C4EC9">
        <w:rPr>
          <w:rFonts w:ascii="Arial" w:hAnsi="Arial" w:cs="Arial"/>
          <w:sz w:val="20"/>
          <w:szCs w:val="20"/>
        </w:rPr>
        <w:t>Composition of Board of Directors</w:t>
      </w:r>
    </w:p>
    <w:p w:rsidR="003C4EC9" w:rsidRPr="003C4EC9" w:rsidRDefault="003C4EC9" w:rsidP="003C4EC9">
      <w:pPr>
        <w:numPr>
          <w:ilvl w:val="0"/>
          <w:numId w:val="3"/>
        </w:numPr>
        <w:tabs>
          <w:tab w:val="left" w:pos="1710"/>
        </w:tabs>
        <w:spacing w:after="0"/>
        <w:ind w:left="1710" w:hanging="270"/>
        <w:jc w:val="both"/>
        <w:rPr>
          <w:rFonts w:ascii="Arial" w:hAnsi="Arial" w:cs="Arial"/>
          <w:sz w:val="20"/>
          <w:szCs w:val="20"/>
        </w:rPr>
      </w:pPr>
      <w:r w:rsidRPr="003C4EC9">
        <w:rPr>
          <w:rFonts w:ascii="Arial" w:hAnsi="Arial" w:cs="Arial"/>
          <w:sz w:val="20"/>
          <w:szCs w:val="20"/>
        </w:rPr>
        <w:t xml:space="preserve">Number of Directors and Key Managerial Personnel (who is not a director) as on the date of financial year </w:t>
      </w:r>
    </w:p>
    <w:p w:rsidR="003C4EC9" w:rsidRPr="003C4EC9" w:rsidRDefault="003C4EC9" w:rsidP="003C4EC9">
      <w:pPr>
        <w:numPr>
          <w:ilvl w:val="0"/>
          <w:numId w:val="3"/>
        </w:numPr>
        <w:tabs>
          <w:tab w:val="left" w:pos="1710"/>
        </w:tabs>
        <w:spacing w:after="0"/>
        <w:ind w:firstLine="360"/>
        <w:jc w:val="both"/>
        <w:rPr>
          <w:rFonts w:ascii="Arial" w:hAnsi="Arial" w:cs="Arial"/>
          <w:sz w:val="20"/>
          <w:szCs w:val="20"/>
        </w:rPr>
      </w:pPr>
      <w:r w:rsidRPr="003C4EC9">
        <w:rPr>
          <w:rFonts w:ascii="Arial" w:hAnsi="Arial" w:cs="Arial"/>
          <w:sz w:val="20"/>
          <w:szCs w:val="20"/>
        </w:rPr>
        <w:t>Remuneration of Directors and Key Managerial Personnel</w:t>
      </w:r>
    </w:p>
    <w:p w:rsidR="003C4EC9" w:rsidRPr="003C4EC9" w:rsidRDefault="003C4EC9" w:rsidP="003C4EC9">
      <w:pPr>
        <w:spacing w:after="0"/>
        <w:ind w:left="1080"/>
        <w:jc w:val="both"/>
        <w:rPr>
          <w:rFonts w:ascii="Arial" w:hAnsi="Arial" w:cs="Arial"/>
          <w:sz w:val="20"/>
          <w:szCs w:val="20"/>
        </w:rPr>
      </w:pPr>
    </w:p>
    <w:p w:rsidR="003C4EC9" w:rsidRPr="003C4EC9" w:rsidRDefault="003C4EC9" w:rsidP="003C4EC9">
      <w:pPr>
        <w:numPr>
          <w:ilvl w:val="0"/>
          <w:numId w:val="1"/>
        </w:numPr>
        <w:jc w:val="both"/>
        <w:rPr>
          <w:rFonts w:ascii="Arial" w:hAnsi="Arial" w:cs="Arial"/>
          <w:b/>
          <w:sz w:val="20"/>
          <w:szCs w:val="20"/>
        </w:rPr>
      </w:pPr>
      <w:r w:rsidRPr="003C4EC9">
        <w:rPr>
          <w:rFonts w:ascii="Arial" w:hAnsi="Arial" w:cs="Arial"/>
          <w:b/>
          <w:sz w:val="20"/>
          <w:szCs w:val="20"/>
        </w:rPr>
        <w:t>Notification No. F.No.01/34/2013-CL-V-Part-I</w:t>
      </w:r>
    </w:p>
    <w:p w:rsidR="003C4EC9" w:rsidRPr="003C4EC9" w:rsidRDefault="003C4EC9" w:rsidP="003C4EC9">
      <w:pPr>
        <w:numPr>
          <w:ilvl w:val="0"/>
          <w:numId w:val="6"/>
        </w:numPr>
        <w:jc w:val="both"/>
        <w:rPr>
          <w:rFonts w:ascii="Arial" w:hAnsi="Arial" w:cs="Arial"/>
          <w:sz w:val="20"/>
          <w:szCs w:val="20"/>
        </w:rPr>
      </w:pPr>
      <w:r w:rsidRPr="003C4EC9">
        <w:rPr>
          <w:rFonts w:ascii="Arial" w:hAnsi="Arial" w:cs="Arial"/>
          <w:sz w:val="20"/>
          <w:szCs w:val="20"/>
        </w:rPr>
        <w:t>The notification inserts the definition of Indian Accounting Standard in the rule</w:t>
      </w:r>
      <w:r>
        <w:rPr>
          <w:rFonts w:ascii="Arial" w:hAnsi="Arial" w:cs="Arial"/>
          <w:sz w:val="20"/>
          <w:szCs w:val="20"/>
        </w:rPr>
        <w:t>.</w:t>
      </w:r>
    </w:p>
    <w:p w:rsidR="003C4EC9" w:rsidRPr="003C4EC9" w:rsidRDefault="003C4EC9" w:rsidP="003C4EC9">
      <w:pPr>
        <w:numPr>
          <w:ilvl w:val="0"/>
          <w:numId w:val="6"/>
        </w:numPr>
        <w:jc w:val="both"/>
        <w:rPr>
          <w:rFonts w:ascii="Arial" w:hAnsi="Arial" w:cs="Arial"/>
          <w:sz w:val="20"/>
          <w:szCs w:val="20"/>
        </w:rPr>
      </w:pPr>
      <w:r w:rsidRPr="003C4EC9">
        <w:rPr>
          <w:rFonts w:ascii="Arial" w:hAnsi="Arial" w:cs="Arial"/>
          <w:sz w:val="20"/>
          <w:szCs w:val="20"/>
        </w:rPr>
        <w:t>Forms and items contained in Financial Statements.</w:t>
      </w:r>
    </w:p>
    <w:p w:rsidR="003C4EC9" w:rsidRPr="003C4EC9" w:rsidRDefault="003C4EC9" w:rsidP="003C4EC9">
      <w:pPr>
        <w:ind w:left="1440"/>
        <w:jc w:val="both"/>
        <w:rPr>
          <w:rFonts w:ascii="Arial" w:hAnsi="Arial" w:cs="Arial"/>
          <w:sz w:val="20"/>
          <w:szCs w:val="20"/>
        </w:rPr>
      </w:pPr>
      <w:r w:rsidRPr="003C4EC9">
        <w:rPr>
          <w:rFonts w:ascii="Arial" w:hAnsi="Arial" w:cs="Arial"/>
          <w:sz w:val="20"/>
          <w:szCs w:val="20"/>
        </w:rPr>
        <w:t>The notification specifies that the financial statements shall be prepared in accordance with Schedule III to the Act and comply with Accounting Standards or Indian Accounting Standards as applicable.</w:t>
      </w:r>
    </w:p>
    <w:p w:rsidR="003C4EC9" w:rsidRPr="003C4EC9" w:rsidRDefault="003C4EC9" w:rsidP="003C4EC9">
      <w:pPr>
        <w:numPr>
          <w:ilvl w:val="0"/>
          <w:numId w:val="6"/>
        </w:numPr>
        <w:jc w:val="both"/>
        <w:rPr>
          <w:rFonts w:ascii="Arial" w:hAnsi="Arial" w:cs="Arial"/>
          <w:sz w:val="20"/>
          <w:szCs w:val="20"/>
        </w:rPr>
      </w:pPr>
      <w:r w:rsidRPr="003C4EC9">
        <w:rPr>
          <w:rFonts w:ascii="Arial" w:hAnsi="Arial" w:cs="Arial"/>
          <w:sz w:val="20"/>
          <w:szCs w:val="20"/>
        </w:rPr>
        <w:t xml:space="preserve">Company to file financial statements with Registrar </w:t>
      </w:r>
    </w:p>
    <w:p w:rsidR="003C4EC9" w:rsidRPr="003C4EC9" w:rsidRDefault="003C4EC9" w:rsidP="003C4EC9">
      <w:pPr>
        <w:ind w:left="1440"/>
        <w:jc w:val="both"/>
        <w:rPr>
          <w:rFonts w:ascii="Arial" w:hAnsi="Arial" w:cs="Arial"/>
          <w:sz w:val="20"/>
          <w:szCs w:val="20"/>
        </w:rPr>
      </w:pPr>
      <w:r w:rsidRPr="003C4EC9">
        <w:rPr>
          <w:rFonts w:ascii="Arial" w:hAnsi="Arial" w:cs="Arial"/>
          <w:sz w:val="20"/>
          <w:szCs w:val="20"/>
        </w:rPr>
        <w:t xml:space="preserve">As per the notification, every Company shall file the financial statements with Registrar together with Form AOC- 4. In case the Company is required to prepare Consolidated Financial Statements, submission of Form AOC-4 CFS is mandatory. These forms have been </w:t>
      </w:r>
      <w:r>
        <w:rPr>
          <w:rFonts w:ascii="Arial" w:hAnsi="Arial" w:cs="Arial"/>
          <w:sz w:val="20"/>
          <w:szCs w:val="20"/>
        </w:rPr>
        <w:t xml:space="preserve">now </w:t>
      </w:r>
      <w:r w:rsidRPr="003C4EC9">
        <w:rPr>
          <w:rFonts w:ascii="Arial" w:hAnsi="Arial" w:cs="Arial"/>
          <w:sz w:val="20"/>
          <w:szCs w:val="20"/>
        </w:rPr>
        <w:t>revised.</w:t>
      </w:r>
    </w:p>
    <w:p w:rsidR="003C4EC9" w:rsidRPr="003C4EC9" w:rsidRDefault="003C4EC9" w:rsidP="003C4EC9">
      <w:pPr>
        <w:ind w:left="1440"/>
        <w:jc w:val="both"/>
        <w:rPr>
          <w:rFonts w:ascii="Arial" w:hAnsi="Arial" w:cs="Arial"/>
          <w:sz w:val="20"/>
          <w:szCs w:val="20"/>
        </w:rPr>
      </w:pPr>
      <w:r w:rsidRPr="003C4EC9">
        <w:rPr>
          <w:rFonts w:ascii="Arial" w:hAnsi="Arial" w:cs="Arial"/>
          <w:sz w:val="20"/>
          <w:szCs w:val="20"/>
        </w:rPr>
        <w:t>Some of the changes in Form AOC – 4 are as follows:</w:t>
      </w:r>
    </w:p>
    <w:p w:rsidR="003C4EC9" w:rsidRPr="003C4EC9" w:rsidRDefault="003C4EC9" w:rsidP="003C4EC9">
      <w:pPr>
        <w:numPr>
          <w:ilvl w:val="0"/>
          <w:numId w:val="3"/>
        </w:numPr>
        <w:tabs>
          <w:tab w:val="left" w:pos="1710"/>
        </w:tabs>
        <w:spacing w:after="0"/>
        <w:ind w:firstLine="360"/>
        <w:jc w:val="both"/>
        <w:rPr>
          <w:rFonts w:ascii="Arial" w:hAnsi="Arial" w:cs="Arial"/>
          <w:sz w:val="20"/>
          <w:szCs w:val="20"/>
        </w:rPr>
      </w:pPr>
      <w:r w:rsidRPr="003C4EC9">
        <w:rPr>
          <w:rFonts w:ascii="Arial" w:hAnsi="Arial" w:cs="Arial"/>
          <w:sz w:val="20"/>
          <w:szCs w:val="20"/>
        </w:rPr>
        <w:lastRenderedPageBreak/>
        <w:t xml:space="preserve">It requires the details regarding </w:t>
      </w:r>
      <w:proofErr w:type="spellStart"/>
      <w:r w:rsidRPr="003C4EC9">
        <w:rPr>
          <w:rFonts w:ascii="Arial" w:hAnsi="Arial" w:cs="Arial"/>
          <w:sz w:val="20"/>
          <w:szCs w:val="20"/>
        </w:rPr>
        <w:t>applicabality</w:t>
      </w:r>
      <w:proofErr w:type="spellEnd"/>
      <w:r w:rsidRPr="003C4EC9">
        <w:rPr>
          <w:rFonts w:ascii="Arial" w:hAnsi="Arial" w:cs="Arial"/>
          <w:sz w:val="20"/>
          <w:szCs w:val="20"/>
        </w:rPr>
        <w:t xml:space="preserve"> of Schedule III to the Act </w:t>
      </w:r>
    </w:p>
    <w:p w:rsidR="003C4EC9" w:rsidRPr="003C4EC9" w:rsidRDefault="003C4EC9" w:rsidP="003C4EC9">
      <w:pPr>
        <w:numPr>
          <w:ilvl w:val="0"/>
          <w:numId w:val="3"/>
        </w:numPr>
        <w:tabs>
          <w:tab w:val="left" w:pos="1710"/>
        </w:tabs>
        <w:spacing w:after="0"/>
        <w:ind w:firstLine="360"/>
        <w:jc w:val="both"/>
        <w:rPr>
          <w:rFonts w:ascii="Arial" w:hAnsi="Arial" w:cs="Arial"/>
          <w:sz w:val="20"/>
          <w:szCs w:val="20"/>
        </w:rPr>
      </w:pPr>
      <w:r w:rsidRPr="003C4EC9">
        <w:rPr>
          <w:rFonts w:ascii="Arial" w:hAnsi="Arial" w:cs="Arial"/>
          <w:sz w:val="20"/>
          <w:szCs w:val="20"/>
        </w:rPr>
        <w:t>Type of Industry in which the Company operates</w:t>
      </w:r>
    </w:p>
    <w:p w:rsidR="003C4EC9" w:rsidRPr="003C4EC9" w:rsidRDefault="003C4EC9" w:rsidP="003C4EC9">
      <w:pPr>
        <w:numPr>
          <w:ilvl w:val="0"/>
          <w:numId w:val="3"/>
        </w:numPr>
        <w:tabs>
          <w:tab w:val="left" w:pos="1710"/>
        </w:tabs>
        <w:spacing w:after="0"/>
        <w:ind w:firstLine="360"/>
        <w:jc w:val="both"/>
        <w:rPr>
          <w:rFonts w:ascii="Arial" w:hAnsi="Arial" w:cs="Arial"/>
          <w:sz w:val="20"/>
          <w:szCs w:val="20"/>
        </w:rPr>
      </w:pPr>
      <w:r w:rsidRPr="003C4EC9">
        <w:rPr>
          <w:rFonts w:ascii="Arial" w:hAnsi="Arial" w:cs="Arial"/>
          <w:sz w:val="20"/>
          <w:szCs w:val="20"/>
        </w:rPr>
        <w:t>Applicability of Consolidated Financial Statements</w:t>
      </w:r>
    </w:p>
    <w:p w:rsidR="003C4EC9" w:rsidRPr="003C4EC9" w:rsidRDefault="003C4EC9" w:rsidP="003C4EC9">
      <w:pPr>
        <w:numPr>
          <w:ilvl w:val="0"/>
          <w:numId w:val="3"/>
        </w:numPr>
        <w:tabs>
          <w:tab w:val="left" w:pos="1710"/>
        </w:tabs>
        <w:spacing w:after="0"/>
        <w:ind w:left="1710" w:hanging="270"/>
        <w:jc w:val="both"/>
        <w:rPr>
          <w:rFonts w:ascii="Arial" w:hAnsi="Arial" w:cs="Arial"/>
          <w:sz w:val="20"/>
          <w:szCs w:val="20"/>
        </w:rPr>
      </w:pPr>
      <w:r w:rsidRPr="003C4EC9">
        <w:rPr>
          <w:rFonts w:ascii="Arial" w:hAnsi="Arial" w:cs="Arial"/>
          <w:sz w:val="20"/>
          <w:szCs w:val="20"/>
        </w:rPr>
        <w:t>Details of Share application money received pending for refund as on the date of financial year end</w:t>
      </w:r>
    </w:p>
    <w:p w:rsidR="003C4EC9" w:rsidRPr="003C4EC9" w:rsidRDefault="003C4EC9" w:rsidP="003C4EC9">
      <w:pPr>
        <w:numPr>
          <w:ilvl w:val="0"/>
          <w:numId w:val="3"/>
        </w:numPr>
        <w:tabs>
          <w:tab w:val="left" w:pos="1710"/>
        </w:tabs>
        <w:spacing w:after="0"/>
        <w:ind w:firstLine="360"/>
        <w:jc w:val="both"/>
        <w:rPr>
          <w:rFonts w:ascii="Arial" w:hAnsi="Arial" w:cs="Arial"/>
          <w:sz w:val="20"/>
          <w:szCs w:val="20"/>
        </w:rPr>
      </w:pPr>
      <w:r w:rsidRPr="003C4EC9">
        <w:rPr>
          <w:rFonts w:ascii="Arial" w:hAnsi="Arial" w:cs="Arial"/>
          <w:sz w:val="20"/>
          <w:szCs w:val="20"/>
        </w:rPr>
        <w:t xml:space="preserve">Applicability of  Secretarial audit </w:t>
      </w:r>
    </w:p>
    <w:p w:rsidR="003C4EC9" w:rsidRPr="003C4EC9" w:rsidRDefault="003C4EC9" w:rsidP="003C4EC9">
      <w:pPr>
        <w:numPr>
          <w:ilvl w:val="0"/>
          <w:numId w:val="3"/>
        </w:numPr>
        <w:tabs>
          <w:tab w:val="left" w:pos="1710"/>
        </w:tabs>
        <w:spacing w:after="0"/>
        <w:ind w:left="1710" w:hanging="270"/>
        <w:jc w:val="both"/>
        <w:rPr>
          <w:rFonts w:ascii="Arial" w:hAnsi="Arial" w:cs="Arial"/>
          <w:sz w:val="20"/>
          <w:szCs w:val="20"/>
        </w:rPr>
      </w:pPr>
      <w:r w:rsidRPr="003C4EC9">
        <w:rPr>
          <w:rFonts w:ascii="Arial" w:hAnsi="Arial" w:cs="Arial"/>
          <w:sz w:val="20"/>
          <w:szCs w:val="20"/>
        </w:rPr>
        <w:t xml:space="preserve">Detailed disclosure with respect to Directors report under section 134(3) </w:t>
      </w:r>
    </w:p>
    <w:p w:rsidR="003C4EC9" w:rsidRPr="003C4EC9" w:rsidRDefault="003C4EC9" w:rsidP="003C4EC9">
      <w:pPr>
        <w:tabs>
          <w:tab w:val="left" w:pos="1710"/>
        </w:tabs>
        <w:spacing w:after="0"/>
        <w:ind w:left="1440"/>
        <w:jc w:val="both"/>
        <w:rPr>
          <w:rFonts w:ascii="Arial" w:hAnsi="Arial" w:cs="Arial"/>
          <w:sz w:val="20"/>
          <w:szCs w:val="20"/>
        </w:rPr>
      </w:pPr>
    </w:p>
    <w:p w:rsidR="003C4EC9" w:rsidRPr="003C4EC9" w:rsidRDefault="003C4EC9" w:rsidP="003C4EC9">
      <w:pPr>
        <w:numPr>
          <w:ilvl w:val="0"/>
          <w:numId w:val="1"/>
        </w:numPr>
        <w:spacing w:after="0"/>
        <w:jc w:val="both"/>
        <w:rPr>
          <w:rFonts w:ascii="Arial" w:hAnsi="Arial" w:cs="Arial"/>
          <w:b/>
          <w:sz w:val="20"/>
          <w:szCs w:val="20"/>
        </w:rPr>
      </w:pPr>
      <w:r w:rsidRPr="003C4EC9">
        <w:rPr>
          <w:rFonts w:ascii="Arial" w:hAnsi="Arial" w:cs="Arial"/>
          <w:b/>
          <w:sz w:val="20"/>
          <w:szCs w:val="20"/>
        </w:rPr>
        <w:t xml:space="preserve">Companies (Filing of Documents and Forms in Extensible Business Reporting Language [XBRL] ) Rules, 2015 </w:t>
      </w:r>
    </w:p>
    <w:p w:rsidR="003C4EC9" w:rsidRPr="003C4EC9" w:rsidRDefault="003C4EC9" w:rsidP="003C4EC9">
      <w:pPr>
        <w:spacing w:after="0"/>
        <w:ind w:left="720"/>
        <w:jc w:val="both"/>
        <w:rPr>
          <w:rFonts w:ascii="Arial" w:hAnsi="Arial" w:cs="Arial"/>
          <w:b/>
          <w:sz w:val="20"/>
          <w:szCs w:val="20"/>
        </w:rPr>
      </w:pPr>
    </w:p>
    <w:p w:rsidR="003C4EC9" w:rsidRPr="003C4EC9" w:rsidRDefault="003C4EC9" w:rsidP="003C4EC9">
      <w:pPr>
        <w:autoSpaceDE w:val="0"/>
        <w:autoSpaceDN w:val="0"/>
        <w:adjustRightInd w:val="0"/>
        <w:spacing w:after="0" w:line="240" w:lineRule="auto"/>
        <w:ind w:left="1080"/>
        <w:jc w:val="both"/>
        <w:rPr>
          <w:rFonts w:ascii="Arial" w:hAnsi="Arial" w:cs="Arial"/>
          <w:sz w:val="20"/>
          <w:szCs w:val="20"/>
          <w:lang w:val="en-US"/>
        </w:rPr>
      </w:pPr>
      <w:r w:rsidRPr="003C4EC9">
        <w:rPr>
          <w:rFonts w:ascii="Arial" w:hAnsi="Arial" w:cs="Arial"/>
          <w:sz w:val="20"/>
          <w:szCs w:val="20"/>
          <w:lang w:val="en-US"/>
        </w:rPr>
        <w:t>The following classes of Companies are required to file their financial statements and other documents under section 137 of the Act, with the Registrar in e-form AOC-4 XBRL for the financial years commencing on or after 1</w:t>
      </w:r>
      <w:r w:rsidRPr="003C4EC9">
        <w:rPr>
          <w:rFonts w:ascii="Arial" w:hAnsi="Arial" w:cs="Arial"/>
          <w:sz w:val="20"/>
          <w:szCs w:val="20"/>
          <w:vertAlign w:val="superscript"/>
          <w:lang w:val="en-US"/>
        </w:rPr>
        <w:t>st</w:t>
      </w:r>
      <w:r w:rsidRPr="003C4EC9">
        <w:rPr>
          <w:rFonts w:ascii="Arial" w:hAnsi="Arial" w:cs="Arial"/>
          <w:sz w:val="20"/>
          <w:szCs w:val="20"/>
          <w:lang w:val="en-US"/>
        </w:rPr>
        <w:t xml:space="preserve"> April, 2014 using the XBRL taxonomy:</w:t>
      </w:r>
    </w:p>
    <w:p w:rsidR="003C4EC9" w:rsidRPr="003C4EC9" w:rsidRDefault="003C4EC9" w:rsidP="003C4EC9">
      <w:pPr>
        <w:autoSpaceDE w:val="0"/>
        <w:autoSpaceDN w:val="0"/>
        <w:adjustRightInd w:val="0"/>
        <w:spacing w:after="0" w:line="240" w:lineRule="auto"/>
        <w:ind w:left="1080"/>
        <w:jc w:val="both"/>
        <w:rPr>
          <w:rFonts w:ascii="Arial" w:hAnsi="Arial" w:cs="Arial"/>
          <w:sz w:val="20"/>
          <w:szCs w:val="20"/>
          <w:lang w:val="en-US"/>
        </w:rPr>
      </w:pPr>
    </w:p>
    <w:p w:rsidR="003C4EC9" w:rsidRPr="003C4EC9" w:rsidRDefault="003C4EC9" w:rsidP="003C4EC9">
      <w:pPr>
        <w:numPr>
          <w:ilvl w:val="0"/>
          <w:numId w:val="7"/>
        </w:numPr>
        <w:tabs>
          <w:tab w:val="left" w:pos="1080"/>
        </w:tabs>
        <w:autoSpaceDE w:val="0"/>
        <w:autoSpaceDN w:val="0"/>
        <w:adjustRightInd w:val="0"/>
        <w:spacing w:after="0" w:line="240" w:lineRule="auto"/>
        <w:ind w:left="1080" w:firstLine="180"/>
        <w:jc w:val="both"/>
        <w:rPr>
          <w:rFonts w:ascii="Arial" w:hAnsi="Arial" w:cs="Arial"/>
          <w:sz w:val="20"/>
          <w:szCs w:val="20"/>
          <w:lang w:val="en-US"/>
        </w:rPr>
      </w:pPr>
      <w:r w:rsidRPr="003C4EC9">
        <w:rPr>
          <w:rFonts w:ascii="Arial" w:hAnsi="Arial" w:cs="Arial"/>
          <w:sz w:val="20"/>
          <w:szCs w:val="20"/>
          <w:lang w:val="en-US"/>
        </w:rPr>
        <w:t>all Companies listed with any Stock Exchange(s) in India and their Indian subsidiaries; or</w:t>
      </w:r>
    </w:p>
    <w:p w:rsidR="003C4EC9" w:rsidRPr="003C4EC9" w:rsidRDefault="003C4EC9" w:rsidP="003C4EC9">
      <w:pPr>
        <w:numPr>
          <w:ilvl w:val="0"/>
          <w:numId w:val="7"/>
        </w:numPr>
        <w:tabs>
          <w:tab w:val="left" w:pos="1440"/>
        </w:tabs>
        <w:autoSpaceDE w:val="0"/>
        <w:autoSpaceDN w:val="0"/>
        <w:adjustRightInd w:val="0"/>
        <w:spacing w:after="0" w:line="240" w:lineRule="auto"/>
        <w:ind w:left="1260" w:firstLine="0"/>
        <w:jc w:val="both"/>
        <w:rPr>
          <w:rFonts w:ascii="Arial" w:hAnsi="Arial" w:cs="Arial"/>
          <w:sz w:val="20"/>
          <w:szCs w:val="20"/>
          <w:lang w:val="en-US"/>
        </w:rPr>
      </w:pPr>
      <w:r w:rsidRPr="003C4EC9">
        <w:rPr>
          <w:rFonts w:ascii="Arial" w:hAnsi="Arial" w:cs="Arial"/>
          <w:sz w:val="20"/>
          <w:szCs w:val="20"/>
          <w:lang w:val="en-US"/>
        </w:rPr>
        <w:t xml:space="preserve">all Companies having paid up capital of rupees 5 </w:t>
      </w:r>
      <w:proofErr w:type="spellStart"/>
      <w:r w:rsidRPr="003C4EC9">
        <w:rPr>
          <w:rFonts w:ascii="Arial" w:hAnsi="Arial" w:cs="Arial"/>
          <w:sz w:val="20"/>
          <w:szCs w:val="20"/>
          <w:lang w:val="en-US"/>
        </w:rPr>
        <w:t>crore</w:t>
      </w:r>
      <w:proofErr w:type="spellEnd"/>
      <w:r w:rsidRPr="003C4EC9">
        <w:rPr>
          <w:rFonts w:ascii="Arial" w:hAnsi="Arial" w:cs="Arial"/>
          <w:sz w:val="20"/>
          <w:szCs w:val="20"/>
          <w:lang w:val="en-US"/>
        </w:rPr>
        <w:t xml:space="preserve"> or above;</w:t>
      </w:r>
    </w:p>
    <w:p w:rsidR="003C4EC9" w:rsidRPr="003C4EC9" w:rsidRDefault="003C4EC9" w:rsidP="003C4EC9">
      <w:pPr>
        <w:numPr>
          <w:ilvl w:val="0"/>
          <w:numId w:val="7"/>
        </w:numPr>
        <w:tabs>
          <w:tab w:val="left" w:pos="1440"/>
        </w:tabs>
        <w:autoSpaceDE w:val="0"/>
        <w:autoSpaceDN w:val="0"/>
        <w:adjustRightInd w:val="0"/>
        <w:spacing w:after="0" w:line="240" w:lineRule="auto"/>
        <w:ind w:left="1260" w:firstLine="0"/>
        <w:jc w:val="both"/>
        <w:rPr>
          <w:rFonts w:ascii="Arial" w:hAnsi="Arial" w:cs="Arial"/>
          <w:sz w:val="20"/>
          <w:szCs w:val="20"/>
          <w:lang w:val="en-US"/>
        </w:rPr>
      </w:pPr>
      <w:r w:rsidRPr="003C4EC9">
        <w:rPr>
          <w:rFonts w:ascii="Arial" w:hAnsi="Arial" w:cs="Arial"/>
          <w:sz w:val="20"/>
          <w:szCs w:val="20"/>
          <w:lang w:val="en-US"/>
        </w:rPr>
        <w:t xml:space="preserve">all Companies having turnover of rupees 100 </w:t>
      </w:r>
      <w:proofErr w:type="spellStart"/>
      <w:r w:rsidRPr="003C4EC9">
        <w:rPr>
          <w:rFonts w:ascii="Arial" w:hAnsi="Arial" w:cs="Arial"/>
          <w:sz w:val="20"/>
          <w:szCs w:val="20"/>
          <w:lang w:val="en-US"/>
        </w:rPr>
        <w:t>crore</w:t>
      </w:r>
      <w:proofErr w:type="spellEnd"/>
      <w:r w:rsidRPr="003C4EC9">
        <w:rPr>
          <w:rFonts w:ascii="Arial" w:hAnsi="Arial" w:cs="Arial"/>
          <w:sz w:val="20"/>
          <w:szCs w:val="20"/>
          <w:lang w:val="en-US"/>
        </w:rPr>
        <w:t xml:space="preserve"> or above; or</w:t>
      </w:r>
    </w:p>
    <w:p w:rsidR="003C4EC9" w:rsidRPr="003C4EC9" w:rsidRDefault="003C4EC9" w:rsidP="003C4EC9">
      <w:pPr>
        <w:numPr>
          <w:ilvl w:val="0"/>
          <w:numId w:val="7"/>
        </w:numPr>
        <w:tabs>
          <w:tab w:val="left" w:pos="1440"/>
          <w:tab w:val="left" w:pos="1530"/>
        </w:tabs>
        <w:autoSpaceDE w:val="0"/>
        <w:autoSpaceDN w:val="0"/>
        <w:adjustRightInd w:val="0"/>
        <w:spacing w:after="0" w:line="240" w:lineRule="auto"/>
        <w:ind w:hanging="180"/>
        <w:jc w:val="both"/>
        <w:rPr>
          <w:rFonts w:ascii="Arial" w:hAnsi="Arial" w:cs="Arial"/>
          <w:sz w:val="20"/>
          <w:szCs w:val="20"/>
          <w:lang w:val="en-US"/>
        </w:rPr>
      </w:pPr>
      <w:r w:rsidRPr="003C4EC9">
        <w:rPr>
          <w:rFonts w:ascii="Arial" w:hAnsi="Arial" w:cs="Arial"/>
          <w:sz w:val="20"/>
          <w:szCs w:val="20"/>
          <w:lang w:val="en-US"/>
        </w:rPr>
        <w:t>all Companies which were hitherto covered under the Companies (Filing of documents and Forms in Extensible Business Reporting Language) Rules, 2011</w:t>
      </w:r>
    </w:p>
    <w:p w:rsidR="003C4EC9" w:rsidRPr="003C4EC9" w:rsidRDefault="003C4EC9" w:rsidP="003C4EC9">
      <w:pPr>
        <w:autoSpaceDE w:val="0"/>
        <w:autoSpaceDN w:val="0"/>
        <w:adjustRightInd w:val="0"/>
        <w:spacing w:after="0" w:line="240" w:lineRule="auto"/>
        <w:ind w:left="1080"/>
        <w:jc w:val="both"/>
        <w:rPr>
          <w:rFonts w:ascii="Arial" w:hAnsi="Arial" w:cs="Arial"/>
          <w:sz w:val="20"/>
          <w:szCs w:val="20"/>
          <w:lang w:val="en-US"/>
        </w:rPr>
      </w:pPr>
    </w:p>
    <w:p w:rsidR="003C4EC9" w:rsidRPr="003C4EC9" w:rsidRDefault="003C4EC9" w:rsidP="003C4EC9">
      <w:pPr>
        <w:autoSpaceDE w:val="0"/>
        <w:autoSpaceDN w:val="0"/>
        <w:adjustRightInd w:val="0"/>
        <w:spacing w:after="0" w:line="240" w:lineRule="auto"/>
        <w:ind w:left="1080"/>
        <w:jc w:val="both"/>
        <w:rPr>
          <w:rFonts w:ascii="Arial" w:hAnsi="Arial" w:cs="Arial"/>
          <w:sz w:val="20"/>
          <w:szCs w:val="20"/>
          <w:lang w:val="en-US"/>
        </w:rPr>
      </w:pPr>
      <w:r w:rsidRPr="003C4EC9">
        <w:rPr>
          <w:rFonts w:ascii="Arial" w:hAnsi="Arial" w:cs="Arial"/>
          <w:sz w:val="20"/>
          <w:szCs w:val="20"/>
          <w:lang w:val="en-US"/>
        </w:rPr>
        <w:t>Companies in Banking, Insurance, Power Sector and Non- Banking Financial Companies are exempted from XBRL filing.</w:t>
      </w:r>
    </w:p>
    <w:p w:rsidR="00DD0678" w:rsidRPr="003C4EC9" w:rsidRDefault="00DD0678">
      <w:pPr>
        <w:rPr>
          <w:rFonts w:ascii="Arial" w:hAnsi="Arial" w:cs="Arial"/>
        </w:rPr>
      </w:pPr>
    </w:p>
    <w:sectPr w:rsidR="00DD0678" w:rsidRPr="003C4EC9" w:rsidSect="00DD06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C31A2"/>
    <w:multiLevelType w:val="hybridMultilevel"/>
    <w:tmpl w:val="691A77EE"/>
    <w:lvl w:ilvl="0" w:tplc="D958B8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586E99"/>
    <w:multiLevelType w:val="hybridMultilevel"/>
    <w:tmpl w:val="9BAEEF10"/>
    <w:lvl w:ilvl="0" w:tplc="AFD628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D0874C5"/>
    <w:multiLevelType w:val="hybridMultilevel"/>
    <w:tmpl w:val="58C4E388"/>
    <w:lvl w:ilvl="0" w:tplc="102479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4C72C17"/>
    <w:multiLevelType w:val="hybridMultilevel"/>
    <w:tmpl w:val="34340ECC"/>
    <w:lvl w:ilvl="0" w:tplc="E97E2A34">
      <w:start w:val="1"/>
      <w:numFmt w:val="lowerLetter"/>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92A389B"/>
    <w:multiLevelType w:val="hybridMultilevel"/>
    <w:tmpl w:val="C44E68E4"/>
    <w:lvl w:ilvl="0" w:tplc="0884F47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A056D22"/>
    <w:multiLevelType w:val="hybridMultilevel"/>
    <w:tmpl w:val="BE125558"/>
    <w:lvl w:ilvl="0" w:tplc="C958B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2644F11"/>
    <w:multiLevelType w:val="hybridMultilevel"/>
    <w:tmpl w:val="F0A0E23C"/>
    <w:lvl w:ilvl="0" w:tplc="F9BC58FE">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9E60A9"/>
    <w:multiLevelType w:val="hybridMultilevel"/>
    <w:tmpl w:val="0328692E"/>
    <w:lvl w:ilvl="0" w:tplc="C4C2BF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6BB3A6D"/>
    <w:multiLevelType w:val="hybridMultilevel"/>
    <w:tmpl w:val="0C6AB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7050B2"/>
    <w:multiLevelType w:val="hybridMultilevel"/>
    <w:tmpl w:val="C98A6B6E"/>
    <w:lvl w:ilvl="0" w:tplc="CEFE6CAE">
      <w:start w:val="2"/>
      <w:numFmt w:val="bullet"/>
      <w:lvlText w:val="-"/>
      <w:lvlJc w:val="left"/>
      <w:pPr>
        <w:ind w:left="1080" w:hanging="360"/>
      </w:pPr>
      <w:rPr>
        <w:rFonts w:ascii="Trebuchet MS" w:eastAsia="Calibri"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9"/>
  </w:num>
  <w:num w:numId="4">
    <w:abstractNumId w:val="3"/>
  </w:num>
  <w:num w:numId="5">
    <w:abstractNumId w:val="0"/>
  </w:num>
  <w:num w:numId="6">
    <w:abstractNumId w:val="2"/>
  </w:num>
  <w:num w:numId="7">
    <w:abstractNumId w:val="4"/>
  </w:num>
  <w:num w:numId="8">
    <w:abstractNumId w:val="5"/>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4EC9"/>
    <w:rsid w:val="003C4EC9"/>
    <w:rsid w:val="006C1B62"/>
    <w:rsid w:val="00DD06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Theme="minorHAnsi" w:hAnsi="Trebuchet MS"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EC9"/>
    <w:rPr>
      <w:rFonts w:ascii="Calibri" w:eastAsia="Calibri" w:hAnsi="Calibri" w:cs="Times New Roman"/>
      <w:sz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EC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898</Words>
  <Characters>5125</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mum0324</dc:creator>
  <cp:keywords/>
  <dc:description/>
  <cp:lastModifiedBy>mum0324</cp:lastModifiedBy>
  <cp:revision>2</cp:revision>
  <dcterms:created xsi:type="dcterms:W3CDTF">2015-09-14T09:55:00Z</dcterms:created>
  <dcterms:modified xsi:type="dcterms:W3CDTF">2015-09-14T10:03:00Z</dcterms:modified>
</cp:coreProperties>
</file>