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5C9" w:rsidRPr="0028388F" w:rsidRDefault="001455C9" w:rsidP="0028388F">
      <w:pPr>
        <w:jc w:val="both"/>
        <w:rPr>
          <w:rFonts w:asciiTheme="majorHAnsi" w:hAnsiTheme="majorHAnsi"/>
          <w:b/>
          <w:sz w:val="24"/>
          <w:szCs w:val="24"/>
          <w:u w:val="single"/>
        </w:rPr>
      </w:pPr>
      <w:r w:rsidRPr="0028388F">
        <w:rPr>
          <w:rFonts w:asciiTheme="majorHAnsi" w:hAnsiTheme="majorHAnsi"/>
          <w:b/>
          <w:sz w:val="24"/>
          <w:szCs w:val="24"/>
          <w:u w:val="single"/>
        </w:rPr>
        <w:drawing>
          <wp:inline distT="0" distB="0" distL="0" distR="0">
            <wp:extent cx="2009955" cy="1749135"/>
            <wp:effectExtent l="0" t="133350" r="0" b="117765"/>
            <wp:docPr id="1"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1455C9" w:rsidRPr="0028388F" w:rsidRDefault="001455C9" w:rsidP="0028388F">
      <w:pPr>
        <w:pStyle w:val="NoSpacing"/>
        <w:jc w:val="both"/>
        <w:rPr>
          <w:rFonts w:asciiTheme="majorHAnsi" w:hAnsiTheme="majorHAnsi"/>
          <w:sz w:val="24"/>
          <w:szCs w:val="24"/>
        </w:rPr>
      </w:pPr>
      <w:r w:rsidRPr="0028388F">
        <w:rPr>
          <w:rFonts w:asciiTheme="majorHAnsi" w:hAnsiTheme="majorHAnsi"/>
          <w:sz w:val="24"/>
          <w:szCs w:val="24"/>
        </w:rPr>
        <w:t>CS Deepak P. Singh</w:t>
      </w:r>
    </w:p>
    <w:p w:rsidR="001455C9" w:rsidRPr="0028388F" w:rsidRDefault="001455C9" w:rsidP="0028388F">
      <w:pPr>
        <w:pStyle w:val="NoSpacing"/>
        <w:jc w:val="both"/>
        <w:rPr>
          <w:rFonts w:asciiTheme="majorHAnsi" w:hAnsiTheme="majorHAnsi"/>
          <w:sz w:val="24"/>
          <w:szCs w:val="24"/>
        </w:rPr>
      </w:pPr>
      <w:r w:rsidRPr="0028388F">
        <w:rPr>
          <w:rFonts w:asciiTheme="majorHAnsi" w:hAnsiTheme="majorHAnsi"/>
          <w:sz w:val="24"/>
          <w:szCs w:val="24"/>
        </w:rPr>
        <w:t>(</w:t>
      </w:r>
      <w:proofErr w:type="spellStart"/>
      <w:r w:rsidRPr="0028388F">
        <w:rPr>
          <w:rFonts w:asciiTheme="majorHAnsi" w:hAnsiTheme="majorHAnsi"/>
          <w:sz w:val="24"/>
          <w:szCs w:val="24"/>
        </w:rPr>
        <w:t>Bsc</w:t>
      </w:r>
      <w:proofErr w:type="spellEnd"/>
      <w:r w:rsidRPr="0028388F">
        <w:rPr>
          <w:rFonts w:asciiTheme="majorHAnsi" w:hAnsiTheme="majorHAnsi"/>
          <w:sz w:val="24"/>
          <w:szCs w:val="24"/>
        </w:rPr>
        <w:t>. LLB, ACS)</w:t>
      </w:r>
    </w:p>
    <w:p w:rsidR="001455C9" w:rsidRPr="0028388F" w:rsidRDefault="001455C9" w:rsidP="0028388F">
      <w:pPr>
        <w:pStyle w:val="NoSpacing"/>
        <w:jc w:val="both"/>
        <w:rPr>
          <w:rFonts w:asciiTheme="majorHAnsi" w:hAnsiTheme="majorHAnsi"/>
          <w:sz w:val="24"/>
          <w:szCs w:val="24"/>
        </w:rPr>
      </w:pPr>
      <w:r w:rsidRPr="0028388F">
        <w:rPr>
          <w:rFonts w:asciiTheme="majorHAnsi" w:hAnsiTheme="majorHAnsi"/>
          <w:sz w:val="24"/>
          <w:szCs w:val="24"/>
        </w:rPr>
        <w:t>Practicing Company Secretary</w:t>
      </w:r>
    </w:p>
    <w:p w:rsidR="001455C9" w:rsidRPr="0028388F" w:rsidRDefault="001455C9" w:rsidP="0028388F">
      <w:pPr>
        <w:jc w:val="both"/>
        <w:rPr>
          <w:rFonts w:asciiTheme="majorHAnsi" w:hAnsiTheme="majorHAnsi"/>
          <w:b/>
          <w:sz w:val="24"/>
          <w:szCs w:val="24"/>
          <w:u w:val="single"/>
        </w:rPr>
      </w:pPr>
    </w:p>
    <w:p w:rsidR="00AD5FE7" w:rsidRPr="0028388F" w:rsidRDefault="003C78CB" w:rsidP="0028388F">
      <w:pPr>
        <w:jc w:val="both"/>
        <w:rPr>
          <w:rFonts w:asciiTheme="majorHAnsi" w:hAnsiTheme="majorHAnsi"/>
          <w:b/>
          <w:sz w:val="24"/>
          <w:szCs w:val="24"/>
          <w:u w:val="single"/>
        </w:rPr>
      </w:pPr>
      <w:r w:rsidRPr="0028388F">
        <w:rPr>
          <w:rFonts w:asciiTheme="majorHAnsi" w:hAnsiTheme="majorHAnsi"/>
          <w:b/>
          <w:sz w:val="24"/>
          <w:szCs w:val="24"/>
          <w:u w:val="single"/>
        </w:rPr>
        <w:t xml:space="preserve">COMPETITION </w:t>
      </w:r>
      <w:r w:rsidR="00FC1AA5" w:rsidRPr="0028388F">
        <w:rPr>
          <w:rFonts w:asciiTheme="majorHAnsi" w:hAnsiTheme="majorHAnsi"/>
          <w:b/>
          <w:sz w:val="24"/>
          <w:szCs w:val="24"/>
          <w:u w:val="single"/>
        </w:rPr>
        <w:t>ACT,</w:t>
      </w:r>
      <w:r w:rsidRPr="0028388F">
        <w:rPr>
          <w:rFonts w:asciiTheme="majorHAnsi" w:hAnsiTheme="majorHAnsi"/>
          <w:b/>
          <w:sz w:val="24"/>
          <w:szCs w:val="24"/>
          <w:u w:val="single"/>
        </w:rPr>
        <w:t xml:space="preserve"> 2002 PART III</w:t>
      </w:r>
    </w:p>
    <w:p w:rsidR="00BB5F42" w:rsidRPr="0028388F" w:rsidRDefault="00BB5F42" w:rsidP="0028388F">
      <w:pPr>
        <w:jc w:val="both"/>
        <w:rPr>
          <w:rFonts w:asciiTheme="majorHAnsi" w:hAnsiTheme="majorHAnsi"/>
          <w:sz w:val="24"/>
          <w:szCs w:val="24"/>
        </w:rPr>
      </w:pPr>
      <w:r w:rsidRPr="0028388F">
        <w:rPr>
          <w:rFonts w:asciiTheme="majorHAnsi" w:hAnsiTheme="majorHAnsi"/>
          <w:sz w:val="24"/>
          <w:szCs w:val="24"/>
        </w:rPr>
        <w:t xml:space="preserve">We have understood the concepts and some important definition under the Competition Act, 2002. As we have considered the charging provisions of Sections 3 and 4, we have learned that the main object of the act is to promote competition and restrict any </w:t>
      </w:r>
      <w:r w:rsidR="00FC1AA5" w:rsidRPr="0028388F">
        <w:rPr>
          <w:rFonts w:asciiTheme="majorHAnsi" w:hAnsiTheme="majorHAnsi"/>
          <w:sz w:val="24"/>
          <w:szCs w:val="24"/>
        </w:rPr>
        <w:t>activities</w:t>
      </w:r>
      <w:r w:rsidRPr="0028388F">
        <w:rPr>
          <w:rFonts w:asciiTheme="majorHAnsi" w:hAnsiTheme="majorHAnsi"/>
          <w:sz w:val="24"/>
          <w:szCs w:val="24"/>
        </w:rPr>
        <w:t xml:space="preserve"> by any entity or group of entities to restrict </w:t>
      </w:r>
      <w:r w:rsidR="00FC1AA5" w:rsidRPr="0028388F">
        <w:rPr>
          <w:rFonts w:asciiTheme="majorHAnsi" w:hAnsiTheme="majorHAnsi"/>
          <w:sz w:val="24"/>
          <w:szCs w:val="24"/>
        </w:rPr>
        <w:t>competition</w:t>
      </w:r>
      <w:r w:rsidRPr="0028388F">
        <w:rPr>
          <w:rFonts w:asciiTheme="majorHAnsi" w:hAnsiTheme="majorHAnsi"/>
          <w:sz w:val="24"/>
          <w:szCs w:val="24"/>
        </w:rPr>
        <w:t xml:space="preserve"> in the market.</w:t>
      </w:r>
    </w:p>
    <w:p w:rsidR="00BB5F42" w:rsidRPr="0028388F" w:rsidRDefault="00BB5F42" w:rsidP="0028388F">
      <w:pPr>
        <w:jc w:val="both"/>
        <w:rPr>
          <w:rFonts w:asciiTheme="majorHAnsi" w:hAnsiTheme="majorHAnsi"/>
          <w:sz w:val="24"/>
          <w:szCs w:val="24"/>
        </w:rPr>
      </w:pPr>
      <w:r w:rsidRPr="0028388F">
        <w:rPr>
          <w:rFonts w:asciiTheme="majorHAnsi" w:hAnsiTheme="majorHAnsi"/>
          <w:sz w:val="24"/>
          <w:szCs w:val="24"/>
        </w:rPr>
        <w:t>The Act was promulgated keeping in view the development of international trade and commerce and competition.</w:t>
      </w:r>
    </w:p>
    <w:p w:rsidR="00C314AD" w:rsidRPr="0028388F" w:rsidRDefault="00C314AD" w:rsidP="0028388F">
      <w:pPr>
        <w:jc w:val="both"/>
        <w:rPr>
          <w:rFonts w:asciiTheme="majorHAnsi" w:hAnsiTheme="majorHAnsi"/>
          <w:sz w:val="24"/>
          <w:szCs w:val="24"/>
        </w:rPr>
      </w:pPr>
      <w:r w:rsidRPr="0028388F">
        <w:rPr>
          <w:rFonts w:asciiTheme="majorHAnsi" w:hAnsiTheme="majorHAnsi"/>
          <w:sz w:val="24"/>
          <w:szCs w:val="24"/>
        </w:rPr>
        <w:t>In this article we are going to discuss about various types of combinations and their regulations under Section 5 of the Competition Act, 2002.</w:t>
      </w:r>
    </w:p>
    <w:p w:rsidR="00BB5F42" w:rsidRPr="0028388F" w:rsidRDefault="00903671" w:rsidP="0028388F">
      <w:pPr>
        <w:jc w:val="both"/>
        <w:rPr>
          <w:rFonts w:asciiTheme="majorHAnsi" w:hAnsiTheme="majorHAnsi"/>
          <w:b/>
          <w:sz w:val="24"/>
          <w:szCs w:val="24"/>
          <w:u w:val="single"/>
        </w:rPr>
      </w:pPr>
      <w:r w:rsidRPr="0028388F">
        <w:rPr>
          <w:rFonts w:asciiTheme="majorHAnsi" w:hAnsiTheme="majorHAnsi"/>
          <w:b/>
          <w:sz w:val="24"/>
          <w:szCs w:val="24"/>
          <w:u w:val="single"/>
        </w:rPr>
        <w:t>WHAT IS A COMBINATION</w:t>
      </w:r>
      <w:r w:rsidR="00C314AD" w:rsidRPr="0028388F">
        <w:rPr>
          <w:rFonts w:asciiTheme="majorHAnsi" w:hAnsiTheme="majorHAnsi"/>
          <w:b/>
          <w:sz w:val="24"/>
          <w:szCs w:val="24"/>
          <w:u w:val="single"/>
        </w:rPr>
        <w:t>;</w:t>
      </w:r>
      <w:r w:rsidR="00BB5F42" w:rsidRPr="0028388F">
        <w:rPr>
          <w:rFonts w:asciiTheme="majorHAnsi" w:hAnsiTheme="majorHAnsi"/>
          <w:b/>
          <w:sz w:val="24"/>
          <w:szCs w:val="24"/>
          <w:u w:val="single"/>
        </w:rPr>
        <w:t xml:space="preserve"> </w:t>
      </w:r>
      <w:r w:rsidR="00C314AD" w:rsidRPr="0028388F">
        <w:rPr>
          <w:rFonts w:asciiTheme="majorHAnsi" w:hAnsiTheme="majorHAnsi"/>
          <w:b/>
          <w:sz w:val="24"/>
          <w:szCs w:val="24"/>
          <w:u w:val="single"/>
        </w:rPr>
        <w:t xml:space="preserve">(Section </w:t>
      </w:r>
      <w:proofErr w:type="gramStart"/>
      <w:r w:rsidR="00C314AD" w:rsidRPr="0028388F">
        <w:rPr>
          <w:rFonts w:asciiTheme="majorHAnsi" w:hAnsiTheme="majorHAnsi"/>
          <w:b/>
          <w:sz w:val="24"/>
          <w:szCs w:val="24"/>
          <w:u w:val="single"/>
        </w:rPr>
        <w:t>5</w:t>
      </w:r>
      <w:proofErr w:type="gramEnd"/>
      <w:r w:rsidR="00C314AD" w:rsidRPr="0028388F">
        <w:rPr>
          <w:rFonts w:asciiTheme="majorHAnsi" w:hAnsiTheme="majorHAnsi"/>
          <w:b/>
          <w:sz w:val="24"/>
          <w:szCs w:val="24"/>
          <w:u w:val="single"/>
        </w:rPr>
        <w:t>)</w:t>
      </w:r>
    </w:p>
    <w:p w:rsidR="00A22FF4" w:rsidRPr="0028388F" w:rsidRDefault="00A22FF4" w:rsidP="0028388F">
      <w:pPr>
        <w:jc w:val="both"/>
        <w:rPr>
          <w:rFonts w:asciiTheme="majorHAnsi" w:hAnsiTheme="majorHAnsi"/>
          <w:sz w:val="24"/>
          <w:szCs w:val="24"/>
        </w:rPr>
      </w:pPr>
      <w:r w:rsidRPr="0028388F">
        <w:rPr>
          <w:rFonts w:asciiTheme="majorHAnsi" w:hAnsiTheme="majorHAnsi"/>
          <w:sz w:val="24"/>
          <w:szCs w:val="24"/>
        </w:rPr>
        <w:t xml:space="preserve">Broadly, combination under the Act means acquisition of control, shares, voting rights or assets, acquisition of control by a person over an enterprise where such person has control over another enterprise engaged in competing businesses, and mergers and amalgamations between or amongst enterprises when the combining parties exceed the thresholds set in the Act. </w:t>
      </w:r>
    </w:p>
    <w:p w:rsidR="00A22FF4" w:rsidRPr="0028388F" w:rsidRDefault="00A22FF4" w:rsidP="0028388F">
      <w:pPr>
        <w:jc w:val="both"/>
        <w:rPr>
          <w:rFonts w:asciiTheme="majorHAnsi" w:hAnsiTheme="majorHAnsi"/>
          <w:sz w:val="24"/>
          <w:szCs w:val="24"/>
        </w:rPr>
      </w:pPr>
      <w:r w:rsidRPr="0028388F">
        <w:rPr>
          <w:rFonts w:asciiTheme="majorHAnsi" w:hAnsiTheme="majorHAnsi"/>
          <w:sz w:val="24"/>
          <w:szCs w:val="24"/>
        </w:rPr>
        <w:t xml:space="preserve">The thresholds are unambiguously specified in the Act in terms of assets or turnover in India and abroad. Entering into a combination which causes or is likely to cause an appreciable adverse effect on competition within the relevant market in India is prohibited and such combination would be void. </w:t>
      </w:r>
    </w:p>
    <w:p w:rsidR="001455C9" w:rsidRPr="0028388F" w:rsidRDefault="001455C9" w:rsidP="0028388F">
      <w:pPr>
        <w:jc w:val="both"/>
        <w:rPr>
          <w:rFonts w:asciiTheme="majorHAnsi" w:hAnsiTheme="majorHAnsi"/>
          <w:b/>
          <w:sz w:val="24"/>
          <w:szCs w:val="24"/>
          <w:u w:val="single"/>
        </w:rPr>
      </w:pPr>
    </w:p>
    <w:p w:rsidR="001455C9" w:rsidRPr="0028388F" w:rsidRDefault="001455C9" w:rsidP="0028388F">
      <w:pPr>
        <w:jc w:val="both"/>
        <w:rPr>
          <w:rFonts w:asciiTheme="majorHAnsi" w:hAnsiTheme="majorHAnsi"/>
          <w:b/>
          <w:sz w:val="24"/>
          <w:szCs w:val="24"/>
          <w:u w:val="single"/>
        </w:rPr>
      </w:pPr>
    </w:p>
    <w:p w:rsidR="001455C9" w:rsidRPr="0028388F" w:rsidRDefault="001455C9" w:rsidP="0028388F">
      <w:pPr>
        <w:jc w:val="both"/>
        <w:rPr>
          <w:rFonts w:asciiTheme="majorHAnsi" w:hAnsiTheme="majorHAnsi"/>
          <w:b/>
          <w:sz w:val="24"/>
          <w:szCs w:val="24"/>
          <w:u w:val="single"/>
        </w:rPr>
      </w:pPr>
    </w:p>
    <w:p w:rsidR="00A22FF4" w:rsidRPr="0028388F" w:rsidRDefault="001455C9" w:rsidP="0028388F">
      <w:pPr>
        <w:jc w:val="both"/>
        <w:rPr>
          <w:rFonts w:asciiTheme="majorHAnsi" w:hAnsiTheme="majorHAnsi"/>
          <w:b/>
          <w:sz w:val="24"/>
          <w:szCs w:val="24"/>
          <w:u w:val="single"/>
        </w:rPr>
      </w:pPr>
      <w:r w:rsidRPr="0028388F">
        <w:rPr>
          <w:rFonts w:asciiTheme="majorHAnsi" w:hAnsiTheme="majorHAnsi"/>
          <w:b/>
          <w:sz w:val="24"/>
          <w:szCs w:val="24"/>
          <w:u w:val="single"/>
        </w:rPr>
        <w:lastRenderedPageBreak/>
        <w:t>MERGER EVALUATION INVOLVES FOLLOWING PROCESS;-</w:t>
      </w:r>
      <w:r w:rsidR="007759C2" w:rsidRPr="0028388F">
        <w:rPr>
          <w:rFonts w:asciiTheme="majorHAnsi" w:hAnsiTheme="majorHAnsi"/>
          <w:b/>
          <w:sz w:val="24"/>
          <w:szCs w:val="24"/>
          <w:u w:val="single"/>
        </w:rPr>
        <w:t xml:space="preserve"> </w:t>
      </w:r>
    </w:p>
    <w:p w:rsidR="007759C2" w:rsidRPr="0028388F" w:rsidRDefault="007759C2" w:rsidP="0028388F">
      <w:pPr>
        <w:pStyle w:val="ListParagraph"/>
        <w:numPr>
          <w:ilvl w:val="0"/>
          <w:numId w:val="5"/>
        </w:numPr>
        <w:jc w:val="both"/>
        <w:rPr>
          <w:rFonts w:asciiTheme="majorHAnsi" w:hAnsiTheme="majorHAnsi"/>
          <w:sz w:val="24"/>
          <w:szCs w:val="24"/>
        </w:rPr>
      </w:pPr>
      <w:r w:rsidRPr="0028388F">
        <w:rPr>
          <w:rFonts w:asciiTheme="majorHAnsi" w:hAnsiTheme="majorHAnsi"/>
          <w:sz w:val="24"/>
          <w:szCs w:val="24"/>
        </w:rPr>
        <w:t>The acquisition of control, shares, voting rights or assets,</w:t>
      </w:r>
    </w:p>
    <w:p w:rsidR="00FC1AA5" w:rsidRPr="0028388F" w:rsidRDefault="00FC1AA5" w:rsidP="0028388F">
      <w:pPr>
        <w:pStyle w:val="ListParagraph"/>
        <w:jc w:val="both"/>
        <w:rPr>
          <w:rFonts w:asciiTheme="majorHAnsi" w:hAnsiTheme="majorHAnsi"/>
          <w:sz w:val="24"/>
          <w:szCs w:val="24"/>
        </w:rPr>
      </w:pPr>
    </w:p>
    <w:p w:rsidR="007759C2" w:rsidRPr="0028388F" w:rsidRDefault="007759C2" w:rsidP="0028388F">
      <w:pPr>
        <w:pStyle w:val="ListParagraph"/>
        <w:numPr>
          <w:ilvl w:val="0"/>
          <w:numId w:val="5"/>
        </w:numPr>
        <w:jc w:val="both"/>
        <w:rPr>
          <w:rFonts w:asciiTheme="majorHAnsi" w:hAnsiTheme="majorHAnsi"/>
          <w:sz w:val="24"/>
          <w:szCs w:val="24"/>
        </w:rPr>
      </w:pPr>
      <w:r w:rsidRPr="0028388F">
        <w:rPr>
          <w:rFonts w:asciiTheme="majorHAnsi" w:hAnsiTheme="majorHAnsi"/>
          <w:sz w:val="24"/>
          <w:szCs w:val="24"/>
        </w:rPr>
        <w:t xml:space="preserve">Acquisition of control by one person over an enterprise when such person has already control over another enterprise </w:t>
      </w:r>
      <w:r w:rsidR="00FC1AA5" w:rsidRPr="0028388F">
        <w:rPr>
          <w:rFonts w:asciiTheme="majorHAnsi" w:hAnsiTheme="majorHAnsi"/>
          <w:sz w:val="24"/>
          <w:szCs w:val="24"/>
        </w:rPr>
        <w:t>enga</w:t>
      </w:r>
      <w:r w:rsidRPr="0028388F">
        <w:rPr>
          <w:rFonts w:asciiTheme="majorHAnsi" w:hAnsiTheme="majorHAnsi"/>
          <w:sz w:val="24"/>
          <w:szCs w:val="24"/>
        </w:rPr>
        <w:t xml:space="preserve">ged in the </w:t>
      </w:r>
      <w:r w:rsidR="00FC1AA5" w:rsidRPr="0028388F">
        <w:rPr>
          <w:rFonts w:asciiTheme="majorHAnsi" w:hAnsiTheme="majorHAnsi"/>
          <w:sz w:val="24"/>
          <w:szCs w:val="24"/>
        </w:rPr>
        <w:t>competition</w:t>
      </w:r>
      <w:r w:rsidRPr="0028388F">
        <w:rPr>
          <w:rFonts w:asciiTheme="majorHAnsi" w:hAnsiTheme="majorHAnsi"/>
          <w:sz w:val="24"/>
          <w:szCs w:val="24"/>
        </w:rPr>
        <w:t xml:space="preserve"> business.</w:t>
      </w:r>
    </w:p>
    <w:p w:rsidR="00FC1AA5" w:rsidRPr="0028388F" w:rsidRDefault="00FC1AA5" w:rsidP="0028388F">
      <w:pPr>
        <w:pStyle w:val="ListParagraph"/>
        <w:jc w:val="both"/>
        <w:rPr>
          <w:rFonts w:asciiTheme="majorHAnsi" w:hAnsiTheme="majorHAnsi"/>
          <w:sz w:val="24"/>
          <w:szCs w:val="24"/>
        </w:rPr>
      </w:pPr>
    </w:p>
    <w:p w:rsidR="007759C2" w:rsidRPr="0028388F" w:rsidRDefault="007759C2" w:rsidP="0028388F">
      <w:pPr>
        <w:pStyle w:val="ListParagraph"/>
        <w:numPr>
          <w:ilvl w:val="0"/>
          <w:numId w:val="5"/>
        </w:numPr>
        <w:jc w:val="both"/>
        <w:rPr>
          <w:rFonts w:asciiTheme="majorHAnsi" w:hAnsiTheme="majorHAnsi"/>
          <w:sz w:val="24"/>
          <w:szCs w:val="24"/>
        </w:rPr>
      </w:pPr>
      <w:r w:rsidRPr="0028388F">
        <w:rPr>
          <w:rFonts w:asciiTheme="majorHAnsi" w:hAnsiTheme="majorHAnsi"/>
          <w:sz w:val="24"/>
          <w:szCs w:val="24"/>
        </w:rPr>
        <w:t>Any merger or amalgamation between or amongst enterprises when the combining parties exceed the threshold limit set in section 5 of the Act.</w:t>
      </w:r>
    </w:p>
    <w:p w:rsidR="00A22FF4" w:rsidRPr="0028388F" w:rsidRDefault="00A22FF4" w:rsidP="0028388F">
      <w:pPr>
        <w:jc w:val="both"/>
        <w:rPr>
          <w:rFonts w:asciiTheme="majorHAnsi" w:hAnsiTheme="majorHAnsi"/>
          <w:b/>
          <w:sz w:val="24"/>
          <w:szCs w:val="24"/>
          <w:u w:val="single"/>
        </w:rPr>
      </w:pPr>
      <w:r w:rsidRPr="0028388F">
        <w:rPr>
          <w:rFonts w:asciiTheme="majorHAnsi" w:hAnsiTheme="majorHAnsi"/>
          <w:b/>
          <w:sz w:val="24"/>
          <w:szCs w:val="24"/>
          <w:u w:val="single"/>
        </w:rPr>
        <w:t xml:space="preserve">The thresholds for the combined assets/turnover of the combining parties are: </w:t>
      </w:r>
    </w:p>
    <w:p w:rsidR="00A22FF4" w:rsidRPr="0028388F" w:rsidRDefault="00A22FF4" w:rsidP="0028388F">
      <w:pPr>
        <w:pStyle w:val="ListParagraph"/>
        <w:numPr>
          <w:ilvl w:val="0"/>
          <w:numId w:val="4"/>
        </w:numPr>
        <w:jc w:val="both"/>
        <w:rPr>
          <w:rFonts w:asciiTheme="majorHAnsi" w:hAnsiTheme="majorHAnsi"/>
          <w:sz w:val="24"/>
          <w:szCs w:val="24"/>
        </w:rPr>
      </w:pPr>
      <w:r w:rsidRPr="0028388F">
        <w:rPr>
          <w:rFonts w:asciiTheme="majorHAnsi" w:hAnsiTheme="majorHAnsi"/>
          <w:sz w:val="24"/>
          <w:szCs w:val="24"/>
        </w:rPr>
        <w:t xml:space="preserve"> Combined assets of the enterprises value more than Rs. 1,000 crores or combined turnover is more than Rs. 3,000 crores.</w:t>
      </w:r>
    </w:p>
    <w:p w:rsidR="00A22FF4" w:rsidRPr="0028388F" w:rsidRDefault="00A22FF4" w:rsidP="0028388F">
      <w:pPr>
        <w:pStyle w:val="ListParagraph"/>
        <w:jc w:val="both"/>
        <w:rPr>
          <w:rFonts w:asciiTheme="majorHAnsi" w:hAnsiTheme="majorHAnsi"/>
          <w:sz w:val="24"/>
          <w:szCs w:val="24"/>
        </w:rPr>
      </w:pPr>
      <w:r w:rsidRPr="0028388F">
        <w:rPr>
          <w:rFonts w:asciiTheme="majorHAnsi" w:hAnsiTheme="majorHAnsi"/>
          <w:sz w:val="24"/>
          <w:szCs w:val="24"/>
        </w:rPr>
        <w:t xml:space="preserve"> </w:t>
      </w:r>
    </w:p>
    <w:p w:rsidR="00A22FF4" w:rsidRPr="0028388F" w:rsidRDefault="00A22FF4" w:rsidP="0028388F">
      <w:pPr>
        <w:pStyle w:val="ListParagraph"/>
        <w:numPr>
          <w:ilvl w:val="0"/>
          <w:numId w:val="4"/>
        </w:numPr>
        <w:jc w:val="both"/>
        <w:rPr>
          <w:rFonts w:asciiTheme="majorHAnsi" w:hAnsiTheme="majorHAnsi"/>
          <w:sz w:val="24"/>
          <w:szCs w:val="24"/>
        </w:rPr>
      </w:pPr>
      <w:r w:rsidRPr="0028388F">
        <w:rPr>
          <w:rFonts w:asciiTheme="majorHAnsi" w:hAnsiTheme="majorHAnsi"/>
          <w:sz w:val="24"/>
          <w:szCs w:val="24"/>
        </w:rPr>
        <w:t xml:space="preserve">In case either or both of the enterprises have assets/turnover outside India also, then the combined assets of the enterprises value more than US$ 500 millions, including at least Rs. 500 crores in India, or turnover is more than US$1500 millions, including at least Rs. 1,500 crores in India . </w:t>
      </w:r>
    </w:p>
    <w:p w:rsidR="00A22FF4" w:rsidRPr="0028388F" w:rsidRDefault="00A22FF4" w:rsidP="0028388F">
      <w:pPr>
        <w:pStyle w:val="ListParagraph"/>
        <w:jc w:val="both"/>
        <w:rPr>
          <w:rFonts w:asciiTheme="majorHAnsi" w:hAnsiTheme="majorHAnsi"/>
          <w:sz w:val="24"/>
          <w:szCs w:val="24"/>
        </w:rPr>
      </w:pPr>
    </w:p>
    <w:p w:rsidR="00A22FF4" w:rsidRPr="0028388F" w:rsidRDefault="00A22FF4" w:rsidP="0028388F">
      <w:pPr>
        <w:pStyle w:val="ListParagraph"/>
        <w:numPr>
          <w:ilvl w:val="0"/>
          <w:numId w:val="4"/>
        </w:numPr>
        <w:jc w:val="both"/>
        <w:rPr>
          <w:rFonts w:asciiTheme="majorHAnsi" w:hAnsiTheme="majorHAnsi"/>
          <w:sz w:val="24"/>
          <w:szCs w:val="24"/>
        </w:rPr>
      </w:pPr>
      <w:r w:rsidRPr="0028388F">
        <w:rPr>
          <w:rFonts w:asciiTheme="majorHAnsi" w:hAnsiTheme="majorHAnsi"/>
          <w:sz w:val="24"/>
          <w:szCs w:val="24"/>
        </w:rPr>
        <w:t xml:space="preserve">Combined assets of the group to which the acquired enterprise would belong being more than Rs. 4,000 crores or such group having a joint turnover more than Rs. 12,000 crores after acquisition or merger. </w:t>
      </w:r>
    </w:p>
    <w:p w:rsidR="00A22FF4" w:rsidRPr="0028388F" w:rsidRDefault="00A22FF4" w:rsidP="0028388F">
      <w:pPr>
        <w:pStyle w:val="ListParagraph"/>
        <w:jc w:val="both"/>
        <w:rPr>
          <w:rFonts w:asciiTheme="majorHAnsi" w:hAnsiTheme="majorHAnsi"/>
          <w:sz w:val="24"/>
          <w:szCs w:val="24"/>
        </w:rPr>
      </w:pPr>
    </w:p>
    <w:p w:rsidR="00A22FF4" w:rsidRPr="0028388F" w:rsidRDefault="00A22FF4" w:rsidP="0028388F">
      <w:pPr>
        <w:pStyle w:val="ListParagraph"/>
        <w:numPr>
          <w:ilvl w:val="0"/>
          <w:numId w:val="4"/>
        </w:numPr>
        <w:jc w:val="both"/>
        <w:rPr>
          <w:rFonts w:asciiTheme="majorHAnsi" w:hAnsiTheme="majorHAnsi"/>
          <w:sz w:val="24"/>
          <w:szCs w:val="24"/>
        </w:rPr>
      </w:pPr>
      <w:r w:rsidRPr="0028388F">
        <w:rPr>
          <w:rFonts w:asciiTheme="majorHAnsi" w:hAnsiTheme="majorHAnsi"/>
          <w:sz w:val="24"/>
          <w:szCs w:val="24"/>
        </w:rPr>
        <w:t xml:space="preserve">In case such group has assets/turnover outside India, then the combined assets of the group value more than US$ 2 billion, including at least Rs. 500 crores in India or turnover is more than US$6 billion including at least Rs. 1,500 crores in India. </w:t>
      </w:r>
    </w:p>
    <w:p w:rsidR="00A22FF4" w:rsidRPr="0028388F" w:rsidRDefault="00A22FF4" w:rsidP="0028388F">
      <w:pPr>
        <w:pStyle w:val="ListParagraph"/>
        <w:jc w:val="both"/>
        <w:rPr>
          <w:rFonts w:asciiTheme="majorHAnsi" w:hAnsiTheme="majorHAnsi"/>
          <w:sz w:val="24"/>
          <w:szCs w:val="24"/>
        </w:rPr>
      </w:pPr>
    </w:p>
    <w:p w:rsidR="00BB5F42" w:rsidRPr="0028388F" w:rsidRDefault="00A22FF4" w:rsidP="0028388F">
      <w:pPr>
        <w:pStyle w:val="ListParagraph"/>
        <w:numPr>
          <w:ilvl w:val="0"/>
          <w:numId w:val="4"/>
        </w:numPr>
        <w:jc w:val="both"/>
        <w:rPr>
          <w:rFonts w:asciiTheme="majorHAnsi" w:hAnsiTheme="majorHAnsi"/>
          <w:sz w:val="24"/>
          <w:szCs w:val="24"/>
        </w:rPr>
      </w:pPr>
      <w:r w:rsidRPr="0028388F">
        <w:rPr>
          <w:rFonts w:asciiTheme="majorHAnsi" w:hAnsiTheme="majorHAnsi"/>
          <w:sz w:val="24"/>
          <w:szCs w:val="24"/>
        </w:rPr>
        <w:t>Group is defined in the Act. Two enterprises belong to a “group” if one is in position to exercises at least 26% voting rights or appoint at least 50% of the directors or controls the management or affairs in the other.</w:t>
      </w:r>
    </w:p>
    <w:p w:rsidR="007759C2" w:rsidRPr="0028388F" w:rsidRDefault="007759C2" w:rsidP="0028388F">
      <w:pPr>
        <w:pStyle w:val="ListParagraph"/>
        <w:jc w:val="both"/>
        <w:rPr>
          <w:rFonts w:asciiTheme="majorHAnsi" w:hAnsiTheme="majorHAnsi"/>
          <w:sz w:val="24"/>
          <w:szCs w:val="24"/>
        </w:rPr>
      </w:pPr>
    </w:p>
    <w:p w:rsidR="007759C2" w:rsidRPr="0028388F" w:rsidRDefault="007759C2" w:rsidP="0028388F">
      <w:pPr>
        <w:ind w:left="360"/>
        <w:jc w:val="both"/>
        <w:rPr>
          <w:rFonts w:asciiTheme="majorHAnsi" w:hAnsiTheme="majorHAnsi"/>
          <w:sz w:val="24"/>
          <w:szCs w:val="24"/>
        </w:rPr>
      </w:pPr>
      <w:r w:rsidRPr="0028388F">
        <w:rPr>
          <w:rFonts w:asciiTheme="majorHAnsi" w:hAnsiTheme="majorHAnsi"/>
          <w:b/>
          <w:sz w:val="24"/>
          <w:szCs w:val="24"/>
          <w:u w:val="single"/>
        </w:rPr>
        <w:t xml:space="preserve">TYPES OF </w:t>
      </w:r>
      <w:r w:rsidR="00FC1AA5" w:rsidRPr="0028388F">
        <w:rPr>
          <w:rFonts w:asciiTheme="majorHAnsi" w:hAnsiTheme="majorHAnsi"/>
          <w:b/>
          <w:sz w:val="24"/>
          <w:szCs w:val="24"/>
          <w:u w:val="single"/>
        </w:rPr>
        <w:t>MERGERS;</w:t>
      </w:r>
    </w:p>
    <w:p w:rsidR="007759C2" w:rsidRPr="0028388F" w:rsidRDefault="007759C2" w:rsidP="0028388F">
      <w:pPr>
        <w:ind w:left="360"/>
        <w:jc w:val="both"/>
        <w:rPr>
          <w:rFonts w:asciiTheme="majorHAnsi" w:hAnsiTheme="majorHAnsi"/>
          <w:sz w:val="24"/>
          <w:szCs w:val="24"/>
        </w:rPr>
      </w:pPr>
      <w:r w:rsidRPr="0028388F">
        <w:rPr>
          <w:rFonts w:asciiTheme="majorHAnsi" w:hAnsiTheme="majorHAnsi"/>
          <w:sz w:val="24"/>
          <w:szCs w:val="24"/>
        </w:rPr>
        <w:t xml:space="preserve">Mergers are broadly classified into three categories: </w:t>
      </w:r>
    </w:p>
    <w:p w:rsidR="007759C2" w:rsidRPr="0028388F" w:rsidRDefault="007759C2" w:rsidP="0028388F">
      <w:pPr>
        <w:pStyle w:val="ListParagraph"/>
        <w:numPr>
          <w:ilvl w:val="0"/>
          <w:numId w:val="6"/>
        </w:numPr>
        <w:jc w:val="both"/>
        <w:rPr>
          <w:rFonts w:asciiTheme="majorHAnsi" w:hAnsiTheme="majorHAnsi"/>
          <w:sz w:val="24"/>
          <w:szCs w:val="24"/>
        </w:rPr>
      </w:pPr>
      <w:r w:rsidRPr="0028388F">
        <w:rPr>
          <w:rFonts w:asciiTheme="majorHAnsi" w:hAnsiTheme="majorHAnsi"/>
          <w:b/>
          <w:sz w:val="24"/>
          <w:szCs w:val="24"/>
        </w:rPr>
        <w:t>Horizontal mergers</w:t>
      </w:r>
      <w:r w:rsidRPr="0028388F">
        <w:rPr>
          <w:rFonts w:asciiTheme="majorHAnsi" w:hAnsiTheme="majorHAnsi"/>
          <w:sz w:val="24"/>
          <w:szCs w:val="24"/>
        </w:rPr>
        <w:t xml:space="preserve">, which take place between competitors which produce or supply similar or identical products </w:t>
      </w:r>
    </w:p>
    <w:p w:rsidR="007759C2" w:rsidRPr="0028388F" w:rsidRDefault="007759C2" w:rsidP="0028388F">
      <w:pPr>
        <w:pStyle w:val="ListParagraph"/>
        <w:ind w:left="1080"/>
        <w:jc w:val="both"/>
        <w:rPr>
          <w:rFonts w:asciiTheme="majorHAnsi" w:hAnsiTheme="majorHAnsi"/>
          <w:sz w:val="24"/>
          <w:szCs w:val="24"/>
        </w:rPr>
      </w:pPr>
    </w:p>
    <w:p w:rsidR="007759C2" w:rsidRPr="0028388F" w:rsidRDefault="007759C2" w:rsidP="0028388F">
      <w:pPr>
        <w:pStyle w:val="ListParagraph"/>
        <w:numPr>
          <w:ilvl w:val="0"/>
          <w:numId w:val="6"/>
        </w:numPr>
        <w:jc w:val="both"/>
        <w:rPr>
          <w:rFonts w:asciiTheme="majorHAnsi" w:hAnsiTheme="majorHAnsi"/>
          <w:sz w:val="24"/>
          <w:szCs w:val="24"/>
        </w:rPr>
      </w:pPr>
      <w:r w:rsidRPr="0028388F">
        <w:rPr>
          <w:rFonts w:asciiTheme="majorHAnsi" w:hAnsiTheme="majorHAnsi"/>
          <w:b/>
          <w:sz w:val="24"/>
          <w:szCs w:val="24"/>
        </w:rPr>
        <w:t>Vertical mergers</w:t>
      </w:r>
      <w:r w:rsidRPr="0028388F">
        <w:rPr>
          <w:rFonts w:asciiTheme="majorHAnsi" w:hAnsiTheme="majorHAnsi"/>
          <w:sz w:val="24"/>
          <w:szCs w:val="24"/>
        </w:rPr>
        <w:t>, which take place between enterprises at different levels in the chain of production, distributors etc. like manufacturers and distributors</w:t>
      </w:r>
    </w:p>
    <w:p w:rsidR="007759C2" w:rsidRPr="0028388F" w:rsidRDefault="007759C2" w:rsidP="0028388F">
      <w:pPr>
        <w:pStyle w:val="ListParagraph"/>
        <w:jc w:val="both"/>
        <w:rPr>
          <w:rFonts w:asciiTheme="majorHAnsi" w:hAnsiTheme="majorHAnsi"/>
          <w:sz w:val="24"/>
          <w:szCs w:val="24"/>
        </w:rPr>
      </w:pPr>
    </w:p>
    <w:p w:rsidR="007759C2" w:rsidRPr="0028388F" w:rsidRDefault="007759C2" w:rsidP="0028388F">
      <w:pPr>
        <w:pStyle w:val="ListParagraph"/>
        <w:numPr>
          <w:ilvl w:val="0"/>
          <w:numId w:val="6"/>
        </w:numPr>
        <w:jc w:val="both"/>
        <w:rPr>
          <w:rFonts w:asciiTheme="majorHAnsi" w:hAnsiTheme="majorHAnsi"/>
          <w:sz w:val="24"/>
          <w:szCs w:val="24"/>
        </w:rPr>
      </w:pPr>
      <w:r w:rsidRPr="0028388F">
        <w:rPr>
          <w:rFonts w:asciiTheme="majorHAnsi" w:hAnsiTheme="majorHAnsi"/>
          <w:b/>
          <w:sz w:val="24"/>
          <w:szCs w:val="24"/>
        </w:rPr>
        <w:lastRenderedPageBreak/>
        <w:t>Conglomerate mergers</w:t>
      </w:r>
      <w:r w:rsidRPr="0028388F">
        <w:rPr>
          <w:rFonts w:asciiTheme="majorHAnsi" w:hAnsiTheme="majorHAnsi"/>
          <w:sz w:val="24"/>
          <w:szCs w:val="24"/>
        </w:rPr>
        <w:t>, which take place between enterprises engaged in unrelated business activities</w:t>
      </w:r>
    </w:p>
    <w:p w:rsidR="00A730F1" w:rsidRPr="0028388F" w:rsidRDefault="00A730F1" w:rsidP="0028388F">
      <w:pPr>
        <w:pStyle w:val="ListParagraph"/>
        <w:jc w:val="both"/>
        <w:rPr>
          <w:rFonts w:asciiTheme="majorHAnsi" w:hAnsiTheme="majorHAnsi"/>
          <w:sz w:val="24"/>
          <w:szCs w:val="24"/>
        </w:rPr>
      </w:pPr>
    </w:p>
    <w:p w:rsidR="00A730F1" w:rsidRPr="0028388F" w:rsidRDefault="00A730F1" w:rsidP="0028388F">
      <w:pPr>
        <w:ind w:left="720"/>
        <w:jc w:val="both"/>
        <w:rPr>
          <w:rFonts w:asciiTheme="majorHAnsi" w:hAnsiTheme="majorHAnsi"/>
          <w:sz w:val="24"/>
          <w:szCs w:val="24"/>
        </w:rPr>
      </w:pPr>
      <w:r w:rsidRPr="0028388F">
        <w:rPr>
          <w:rFonts w:asciiTheme="majorHAnsi" w:hAnsiTheme="majorHAnsi"/>
          <w:sz w:val="24"/>
          <w:szCs w:val="24"/>
        </w:rPr>
        <w:t xml:space="preserve">Mergers are subjected to review because of their potential adverse effect on competition in the relevant market. Such adverse effect could be the result of a unilateral conduct (exercise of dominance) or of coordinated conduct between two or more enterprises facilitated by the merger. Control of either type of conduct is prospective and aimed at preventing such conduct post-merger. Effect of mergers on competition is thus classified into two broad categories: unilateral effects and coordinated effects. </w:t>
      </w:r>
    </w:p>
    <w:p w:rsidR="00A730F1" w:rsidRPr="0028388F" w:rsidRDefault="00A730F1" w:rsidP="0028388F">
      <w:pPr>
        <w:ind w:left="720"/>
        <w:jc w:val="both"/>
        <w:rPr>
          <w:rFonts w:asciiTheme="majorHAnsi" w:hAnsiTheme="majorHAnsi"/>
          <w:sz w:val="24"/>
          <w:szCs w:val="24"/>
        </w:rPr>
      </w:pPr>
      <w:r w:rsidRPr="0028388F">
        <w:rPr>
          <w:rFonts w:asciiTheme="majorHAnsi" w:hAnsiTheme="majorHAnsi"/>
          <w:b/>
          <w:sz w:val="24"/>
          <w:szCs w:val="24"/>
        </w:rPr>
        <w:t>Unilateral Effects</w:t>
      </w:r>
      <w:r w:rsidRPr="0028388F">
        <w:rPr>
          <w:rFonts w:asciiTheme="majorHAnsi" w:hAnsiTheme="majorHAnsi"/>
          <w:sz w:val="24"/>
          <w:szCs w:val="24"/>
        </w:rPr>
        <w:t xml:space="preserve"> When a merged enterprise gains sufficient market power to enable it to behave independently of market forces, such conduct results in ‘unilateral’ effect on competition. This happens when the rivals in the market are not able to increase output in response to a unilateral increase in price by the merged enterprise. It can also occur when the products are differentiated and are not close substitutes of each other.</w:t>
      </w:r>
    </w:p>
    <w:p w:rsidR="00903671" w:rsidRPr="0028388F" w:rsidRDefault="00903671" w:rsidP="0028388F">
      <w:pPr>
        <w:ind w:left="720"/>
        <w:jc w:val="both"/>
        <w:rPr>
          <w:rFonts w:asciiTheme="majorHAnsi" w:hAnsiTheme="majorHAnsi"/>
          <w:sz w:val="24"/>
          <w:szCs w:val="24"/>
        </w:rPr>
      </w:pPr>
    </w:p>
    <w:p w:rsidR="00A730F1" w:rsidRPr="0028388F" w:rsidRDefault="00A730F1" w:rsidP="0028388F">
      <w:pPr>
        <w:ind w:left="720"/>
        <w:jc w:val="both"/>
        <w:rPr>
          <w:rFonts w:asciiTheme="majorHAnsi" w:hAnsiTheme="majorHAnsi"/>
          <w:sz w:val="24"/>
          <w:szCs w:val="24"/>
        </w:rPr>
      </w:pPr>
      <w:r w:rsidRPr="0028388F">
        <w:rPr>
          <w:rFonts w:asciiTheme="majorHAnsi" w:hAnsiTheme="majorHAnsi"/>
          <w:sz w:val="24"/>
          <w:szCs w:val="24"/>
        </w:rPr>
        <w:t xml:space="preserve"> </w:t>
      </w:r>
      <w:r w:rsidRPr="0028388F">
        <w:rPr>
          <w:rFonts w:asciiTheme="majorHAnsi" w:hAnsiTheme="majorHAnsi"/>
          <w:b/>
          <w:sz w:val="24"/>
          <w:szCs w:val="24"/>
        </w:rPr>
        <w:t>Coordinated Effects</w:t>
      </w:r>
      <w:r w:rsidRPr="0028388F">
        <w:rPr>
          <w:rFonts w:asciiTheme="majorHAnsi" w:hAnsiTheme="majorHAnsi"/>
          <w:sz w:val="24"/>
          <w:szCs w:val="24"/>
        </w:rPr>
        <w:t xml:space="preserve"> The anti-competitive effect of a merger is termed ‘coordinated’ when it facilitates collusive behaviour, either due to express agreement among competitors, as in cartels, or due to tacit coordination by competitors that have similar effects, irrespective of whether the coordination is legal or not. Markets that are highly concentrated make such coordination easy. Product markets that are homogenous are prone to such coordination.</w:t>
      </w:r>
    </w:p>
    <w:p w:rsidR="007759C2" w:rsidRPr="0028388F" w:rsidRDefault="00FC376E" w:rsidP="0028388F">
      <w:pPr>
        <w:ind w:left="720"/>
        <w:jc w:val="both"/>
        <w:rPr>
          <w:rFonts w:asciiTheme="majorHAnsi" w:hAnsiTheme="majorHAnsi"/>
          <w:b/>
          <w:sz w:val="24"/>
          <w:szCs w:val="24"/>
        </w:rPr>
      </w:pPr>
      <w:r w:rsidRPr="0028388F">
        <w:rPr>
          <w:rFonts w:asciiTheme="majorHAnsi" w:hAnsiTheme="majorHAnsi"/>
          <w:b/>
          <w:sz w:val="24"/>
          <w:szCs w:val="24"/>
        </w:rPr>
        <w:t xml:space="preserve">Note: The Horizontal Mergers are more prone to restrict or limit competitions </w:t>
      </w:r>
      <w:r w:rsidR="00FC1AA5" w:rsidRPr="0028388F">
        <w:rPr>
          <w:rFonts w:asciiTheme="majorHAnsi" w:hAnsiTheme="majorHAnsi"/>
          <w:b/>
          <w:sz w:val="24"/>
          <w:szCs w:val="24"/>
        </w:rPr>
        <w:t>in the</w:t>
      </w:r>
      <w:r w:rsidRPr="0028388F">
        <w:rPr>
          <w:rFonts w:asciiTheme="majorHAnsi" w:hAnsiTheme="majorHAnsi"/>
          <w:b/>
          <w:sz w:val="24"/>
          <w:szCs w:val="24"/>
        </w:rPr>
        <w:t xml:space="preserve"> market. </w:t>
      </w:r>
      <w:proofErr w:type="gramStart"/>
      <w:r w:rsidRPr="0028388F">
        <w:rPr>
          <w:rFonts w:asciiTheme="majorHAnsi" w:hAnsiTheme="majorHAnsi"/>
          <w:b/>
          <w:sz w:val="24"/>
          <w:szCs w:val="24"/>
        </w:rPr>
        <w:t xml:space="preserve">Because this type of merger tend to limit entry to new entrant </w:t>
      </w:r>
      <w:r w:rsidR="00FC1AA5" w:rsidRPr="0028388F">
        <w:rPr>
          <w:rFonts w:asciiTheme="majorHAnsi" w:hAnsiTheme="majorHAnsi"/>
          <w:b/>
          <w:sz w:val="24"/>
          <w:szCs w:val="24"/>
        </w:rPr>
        <w:t>in the</w:t>
      </w:r>
      <w:r w:rsidRPr="0028388F">
        <w:rPr>
          <w:rFonts w:asciiTheme="majorHAnsi" w:hAnsiTheme="majorHAnsi"/>
          <w:b/>
          <w:sz w:val="24"/>
          <w:szCs w:val="24"/>
        </w:rPr>
        <w:t xml:space="preserve"> market and tries to </w:t>
      </w:r>
      <w:r w:rsidR="00FC1AA5" w:rsidRPr="0028388F">
        <w:rPr>
          <w:rFonts w:asciiTheme="majorHAnsi" w:hAnsiTheme="majorHAnsi"/>
          <w:b/>
          <w:sz w:val="24"/>
          <w:szCs w:val="24"/>
        </w:rPr>
        <w:t>limit competition</w:t>
      </w:r>
      <w:r w:rsidRPr="0028388F">
        <w:rPr>
          <w:rFonts w:asciiTheme="majorHAnsi" w:hAnsiTheme="majorHAnsi"/>
          <w:b/>
          <w:sz w:val="24"/>
          <w:szCs w:val="24"/>
        </w:rPr>
        <w:t>.</w:t>
      </w:r>
      <w:proofErr w:type="gramEnd"/>
      <w:r w:rsidRPr="0028388F">
        <w:rPr>
          <w:rFonts w:asciiTheme="majorHAnsi" w:hAnsiTheme="majorHAnsi"/>
          <w:b/>
          <w:sz w:val="24"/>
          <w:szCs w:val="24"/>
        </w:rPr>
        <w:t xml:space="preserve"> </w:t>
      </w:r>
    </w:p>
    <w:p w:rsidR="00FC376E" w:rsidRPr="0028388F" w:rsidRDefault="00FC376E" w:rsidP="0028388F">
      <w:pPr>
        <w:ind w:left="720"/>
        <w:jc w:val="both"/>
        <w:rPr>
          <w:rFonts w:asciiTheme="majorHAnsi" w:hAnsiTheme="majorHAnsi"/>
          <w:b/>
          <w:sz w:val="24"/>
          <w:szCs w:val="24"/>
          <w:u w:val="single"/>
        </w:rPr>
      </w:pPr>
    </w:p>
    <w:p w:rsidR="00FC376E" w:rsidRPr="0028388F" w:rsidRDefault="00FC376E" w:rsidP="0028388F">
      <w:pPr>
        <w:ind w:left="720"/>
        <w:jc w:val="both"/>
        <w:rPr>
          <w:rFonts w:asciiTheme="majorHAnsi" w:hAnsiTheme="majorHAnsi"/>
          <w:sz w:val="24"/>
          <w:szCs w:val="24"/>
        </w:rPr>
      </w:pPr>
      <w:r w:rsidRPr="0028388F">
        <w:rPr>
          <w:rFonts w:asciiTheme="majorHAnsi" w:hAnsiTheme="majorHAnsi"/>
          <w:b/>
          <w:sz w:val="24"/>
          <w:szCs w:val="24"/>
          <w:u w:val="single"/>
        </w:rPr>
        <w:t xml:space="preserve">NOTIFICATION OF COMBINATIONS TO THE COMMISSION; </w:t>
      </w:r>
      <w:r w:rsidRPr="0028388F">
        <w:rPr>
          <w:rFonts w:asciiTheme="majorHAnsi" w:hAnsiTheme="majorHAnsi"/>
          <w:sz w:val="24"/>
          <w:szCs w:val="24"/>
        </w:rPr>
        <w:t xml:space="preserve">The notification of merger/acquisition of any enterprise or enterprises or </w:t>
      </w:r>
      <w:r w:rsidR="00FC1AA5" w:rsidRPr="0028388F">
        <w:rPr>
          <w:rFonts w:asciiTheme="majorHAnsi" w:hAnsiTheme="majorHAnsi"/>
          <w:sz w:val="24"/>
          <w:szCs w:val="24"/>
        </w:rPr>
        <w:t>person, which touches the threshold limit,</w:t>
      </w:r>
      <w:r w:rsidR="004F41A2" w:rsidRPr="0028388F">
        <w:rPr>
          <w:rFonts w:asciiTheme="majorHAnsi" w:hAnsiTheme="majorHAnsi"/>
          <w:sz w:val="24"/>
          <w:szCs w:val="24"/>
        </w:rPr>
        <w:t xml:space="preserve"> is mandatory to the commission. The commission has power to inquire into such </w:t>
      </w:r>
      <w:r w:rsidR="00FC1AA5" w:rsidRPr="0028388F">
        <w:rPr>
          <w:rFonts w:asciiTheme="majorHAnsi" w:hAnsiTheme="majorHAnsi"/>
          <w:sz w:val="24"/>
          <w:szCs w:val="24"/>
        </w:rPr>
        <w:t>combinations</w:t>
      </w:r>
      <w:r w:rsidR="004F41A2" w:rsidRPr="0028388F">
        <w:rPr>
          <w:rFonts w:asciiTheme="majorHAnsi" w:hAnsiTheme="majorHAnsi"/>
          <w:sz w:val="24"/>
          <w:szCs w:val="24"/>
        </w:rPr>
        <w:t xml:space="preserve"> or merger or acquisition within a period of one year from the date of merger/ acquisition.</w:t>
      </w:r>
    </w:p>
    <w:p w:rsidR="004F41A2" w:rsidRPr="0028388F" w:rsidRDefault="004F41A2" w:rsidP="0028388F">
      <w:pPr>
        <w:ind w:left="720"/>
        <w:jc w:val="both"/>
        <w:rPr>
          <w:rFonts w:asciiTheme="majorHAnsi" w:hAnsiTheme="majorHAnsi"/>
          <w:sz w:val="24"/>
          <w:szCs w:val="24"/>
        </w:rPr>
      </w:pPr>
      <w:r w:rsidRPr="0028388F">
        <w:rPr>
          <w:rFonts w:asciiTheme="majorHAnsi" w:hAnsiTheme="majorHAnsi"/>
          <w:sz w:val="24"/>
          <w:szCs w:val="24"/>
        </w:rPr>
        <w:t>Any person or enterprise which is going for combination should notify the commission in the prescribed form within a period of 30 days after approval of such scheme by their Board of Directors.</w:t>
      </w:r>
    </w:p>
    <w:p w:rsidR="004F41A2"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The above</w:t>
      </w:r>
      <w:r w:rsidR="004F41A2" w:rsidRPr="0028388F">
        <w:rPr>
          <w:rFonts w:asciiTheme="majorHAnsi" w:hAnsiTheme="majorHAnsi"/>
          <w:sz w:val="24"/>
          <w:szCs w:val="24"/>
        </w:rPr>
        <w:t xml:space="preserve"> combination would take place within a period of 210 days from the date it notified to the </w:t>
      </w:r>
      <w:r w:rsidRPr="0028388F">
        <w:rPr>
          <w:rFonts w:asciiTheme="majorHAnsi" w:hAnsiTheme="majorHAnsi"/>
          <w:sz w:val="24"/>
          <w:szCs w:val="24"/>
        </w:rPr>
        <w:t>commission,</w:t>
      </w:r>
      <w:r w:rsidR="004F41A2" w:rsidRPr="0028388F">
        <w:rPr>
          <w:rFonts w:asciiTheme="majorHAnsi" w:hAnsiTheme="majorHAnsi"/>
          <w:sz w:val="24"/>
          <w:szCs w:val="24"/>
        </w:rPr>
        <w:t xml:space="preserve"> or if commission does not pass the order in </w:t>
      </w:r>
      <w:r w:rsidR="004F41A2" w:rsidRPr="0028388F">
        <w:rPr>
          <w:rFonts w:asciiTheme="majorHAnsi" w:hAnsiTheme="majorHAnsi"/>
          <w:sz w:val="24"/>
          <w:szCs w:val="24"/>
        </w:rPr>
        <w:lastRenderedPageBreak/>
        <w:t>this regard then it will be assumed that the commission has given its assent after a period of 210 days from the date of its notification to the commission.</w:t>
      </w:r>
    </w:p>
    <w:p w:rsidR="004F41A2" w:rsidRPr="0028388F" w:rsidRDefault="004F41A2" w:rsidP="0028388F">
      <w:pPr>
        <w:ind w:left="720"/>
        <w:jc w:val="both"/>
        <w:rPr>
          <w:rFonts w:asciiTheme="majorHAnsi" w:hAnsiTheme="majorHAnsi"/>
          <w:sz w:val="24"/>
          <w:szCs w:val="24"/>
        </w:rPr>
      </w:pPr>
      <w:r w:rsidRPr="0028388F">
        <w:rPr>
          <w:rFonts w:asciiTheme="majorHAnsi" w:hAnsiTheme="majorHAnsi"/>
          <w:sz w:val="24"/>
          <w:szCs w:val="24"/>
        </w:rPr>
        <w:t>The commission can levied a penalty of 1% of the turnover of the combination if it is found that the combination is prone to adverse affect on the competition. The commission may order of de-merger to the entities involved in the combination in this case to check or promote competition.</w:t>
      </w:r>
    </w:p>
    <w:p w:rsidR="004F41A2"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If the Commission is prima facie of the opinion that a combination has caused or is likely to cause adverse effect on competition in Indian markets, it shall issue a notice to show cause to the parties as to why investigation in respect of such combination should not be conducted. On receipt of the response, if Commission is of the prima facie opinion that the combination has or is likely to have appreciable adverse effect on competition, it may direct publication of details of combination, inviting objections from the public, affected or likely to be affected by the proposed combination, and call for additional or other information from parties to the combination, if considered appropriate.</w:t>
      </w:r>
    </w:p>
    <w:p w:rsidR="00C77414" w:rsidRPr="0028388F" w:rsidRDefault="00C77414" w:rsidP="0028388F">
      <w:pPr>
        <w:ind w:left="720"/>
        <w:jc w:val="both"/>
        <w:rPr>
          <w:rFonts w:asciiTheme="majorHAnsi" w:hAnsiTheme="majorHAnsi"/>
          <w:b/>
          <w:sz w:val="24"/>
          <w:szCs w:val="24"/>
          <w:u w:val="single"/>
        </w:rPr>
      </w:pPr>
      <w:r w:rsidRPr="0028388F">
        <w:rPr>
          <w:rFonts w:asciiTheme="majorHAnsi" w:hAnsiTheme="majorHAnsi"/>
          <w:b/>
          <w:sz w:val="24"/>
          <w:szCs w:val="24"/>
          <w:u w:val="single"/>
        </w:rPr>
        <w:t>EXEMPTION FROM NOTIFICATION [Section 6(4)]</w:t>
      </w:r>
    </w:p>
    <w:p w:rsidR="004F41A2" w:rsidRPr="0028388F" w:rsidRDefault="00C77414" w:rsidP="0028388F">
      <w:pPr>
        <w:ind w:left="720"/>
        <w:jc w:val="both"/>
        <w:rPr>
          <w:rFonts w:asciiTheme="majorHAnsi" w:hAnsiTheme="majorHAnsi"/>
          <w:sz w:val="24"/>
          <w:szCs w:val="24"/>
        </w:rPr>
      </w:pPr>
      <w:r w:rsidRPr="0028388F">
        <w:rPr>
          <w:rFonts w:asciiTheme="majorHAnsi" w:hAnsiTheme="majorHAnsi"/>
          <w:sz w:val="24"/>
          <w:szCs w:val="24"/>
        </w:rPr>
        <w:t>The share subscription or financing facility or any acquisition, inter alia, by a public financial institution, foreign institutional investor, bank or venture capital fund, pursuant to any covenant of a loan agreement or investment agreement are exempt from notification as per sub section (4) of section 6. The concerned institution is, however, required to make disclosure to the Commission within 7 days by way of filing details of such transactions</w:t>
      </w:r>
    </w:p>
    <w:p w:rsidR="00FC1AA5" w:rsidRPr="0028388F" w:rsidRDefault="00FC1AA5" w:rsidP="0028388F">
      <w:pPr>
        <w:ind w:left="720"/>
        <w:jc w:val="both"/>
        <w:rPr>
          <w:rFonts w:asciiTheme="majorHAnsi" w:hAnsiTheme="majorHAnsi"/>
          <w:b/>
          <w:sz w:val="24"/>
          <w:szCs w:val="24"/>
          <w:u w:val="single"/>
        </w:rPr>
      </w:pPr>
      <w:r w:rsidRPr="0028388F">
        <w:rPr>
          <w:rFonts w:asciiTheme="majorHAnsi" w:hAnsiTheme="majorHAnsi"/>
          <w:b/>
          <w:sz w:val="24"/>
          <w:szCs w:val="24"/>
          <w:u w:val="single"/>
        </w:rPr>
        <w:t>Factors to Be Considered By the Commission While Evaluating Appreciable Adverse Effect of Combinations on Competition;</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b/>
          <w:sz w:val="24"/>
          <w:szCs w:val="24"/>
        </w:rPr>
        <w:t xml:space="preserve"> </w:t>
      </w:r>
      <w:r w:rsidRPr="0028388F">
        <w:rPr>
          <w:rFonts w:asciiTheme="majorHAnsi" w:hAnsiTheme="majorHAnsi"/>
          <w:sz w:val="24"/>
          <w:szCs w:val="24"/>
        </w:rPr>
        <w:t xml:space="preserve">In The Relevant Market (sub section (4) of section 20 of the Act)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(a) </w:t>
      </w:r>
      <w:proofErr w:type="gramStart"/>
      <w:r w:rsidRPr="0028388F">
        <w:rPr>
          <w:rFonts w:asciiTheme="majorHAnsi" w:hAnsiTheme="majorHAnsi"/>
          <w:sz w:val="24"/>
          <w:szCs w:val="24"/>
        </w:rPr>
        <w:t>actual</w:t>
      </w:r>
      <w:proofErr w:type="gramEnd"/>
      <w:r w:rsidRPr="0028388F">
        <w:rPr>
          <w:rFonts w:asciiTheme="majorHAnsi" w:hAnsiTheme="majorHAnsi"/>
          <w:sz w:val="24"/>
          <w:szCs w:val="24"/>
        </w:rPr>
        <w:t xml:space="preserve"> and potential level of competition through imports in the market;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(b) </w:t>
      </w:r>
      <w:proofErr w:type="gramStart"/>
      <w:r w:rsidRPr="0028388F">
        <w:rPr>
          <w:rFonts w:asciiTheme="majorHAnsi" w:hAnsiTheme="majorHAnsi"/>
          <w:sz w:val="24"/>
          <w:szCs w:val="24"/>
        </w:rPr>
        <w:t>extent</w:t>
      </w:r>
      <w:proofErr w:type="gramEnd"/>
      <w:r w:rsidRPr="0028388F">
        <w:rPr>
          <w:rFonts w:asciiTheme="majorHAnsi" w:hAnsiTheme="majorHAnsi"/>
          <w:sz w:val="24"/>
          <w:szCs w:val="24"/>
        </w:rPr>
        <w:t xml:space="preserve"> of barriers to entry into the market;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(c) </w:t>
      </w:r>
      <w:proofErr w:type="gramStart"/>
      <w:r w:rsidRPr="0028388F">
        <w:rPr>
          <w:rFonts w:asciiTheme="majorHAnsi" w:hAnsiTheme="majorHAnsi"/>
          <w:sz w:val="24"/>
          <w:szCs w:val="24"/>
        </w:rPr>
        <w:t>level</w:t>
      </w:r>
      <w:proofErr w:type="gramEnd"/>
      <w:r w:rsidRPr="0028388F">
        <w:rPr>
          <w:rFonts w:asciiTheme="majorHAnsi" w:hAnsiTheme="majorHAnsi"/>
          <w:sz w:val="24"/>
          <w:szCs w:val="24"/>
        </w:rPr>
        <w:t xml:space="preserve"> of concentration in the market;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(d) </w:t>
      </w:r>
      <w:proofErr w:type="gramStart"/>
      <w:r w:rsidRPr="0028388F">
        <w:rPr>
          <w:rFonts w:asciiTheme="majorHAnsi" w:hAnsiTheme="majorHAnsi"/>
          <w:sz w:val="24"/>
          <w:szCs w:val="24"/>
        </w:rPr>
        <w:t>degree</w:t>
      </w:r>
      <w:proofErr w:type="gramEnd"/>
      <w:r w:rsidRPr="0028388F">
        <w:rPr>
          <w:rFonts w:asciiTheme="majorHAnsi" w:hAnsiTheme="majorHAnsi"/>
          <w:sz w:val="24"/>
          <w:szCs w:val="24"/>
        </w:rPr>
        <w:t xml:space="preserve"> of countervailing power in the market;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(e) </w:t>
      </w:r>
      <w:proofErr w:type="gramStart"/>
      <w:r w:rsidRPr="0028388F">
        <w:rPr>
          <w:rFonts w:asciiTheme="majorHAnsi" w:hAnsiTheme="majorHAnsi"/>
          <w:sz w:val="24"/>
          <w:szCs w:val="24"/>
        </w:rPr>
        <w:t>likelihood</w:t>
      </w:r>
      <w:proofErr w:type="gramEnd"/>
      <w:r w:rsidRPr="0028388F">
        <w:rPr>
          <w:rFonts w:asciiTheme="majorHAnsi" w:hAnsiTheme="majorHAnsi"/>
          <w:sz w:val="24"/>
          <w:szCs w:val="24"/>
        </w:rPr>
        <w:t xml:space="preserve"> that the combination would result in the parties to the combination being able to significantly and sustainably increase prices or profit margins;</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 (f) </w:t>
      </w:r>
      <w:proofErr w:type="gramStart"/>
      <w:r w:rsidRPr="0028388F">
        <w:rPr>
          <w:rFonts w:asciiTheme="majorHAnsi" w:hAnsiTheme="majorHAnsi"/>
          <w:sz w:val="24"/>
          <w:szCs w:val="24"/>
        </w:rPr>
        <w:t>extent</w:t>
      </w:r>
      <w:proofErr w:type="gramEnd"/>
      <w:r w:rsidRPr="0028388F">
        <w:rPr>
          <w:rFonts w:asciiTheme="majorHAnsi" w:hAnsiTheme="majorHAnsi"/>
          <w:sz w:val="24"/>
          <w:szCs w:val="24"/>
        </w:rPr>
        <w:t xml:space="preserve"> of effective competition likely to sustain in a market;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(g) </w:t>
      </w:r>
      <w:proofErr w:type="gramStart"/>
      <w:r w:rsidRPr="0028388F">
        <w:rPr>
          <w:rFonts w:asciiTheme="majorHAnsi" w:hAnsiTheme="majorHAnsi"/>
          <w:sz w:val="24"/>
          <w:szCs w:val="24"/>
        </w:rPr>
        <w:t>extent</w:t>
      </w:r>
      <w:proofErr w:type="gramEnd"/>
      <w:r w:rsidRPr="0028388F">
        <w:rPr>
          <w:rFonts w:asciiTheme="majorHAnsi" w:hAnsiTheme="majorHAnsi"/>
          <w:sz w:val="24"/>
          <w:szCs w:val="24"/>
        </w:rPr>
        <w:t xml:space="preserve"> to which substitutes are available or are likely to be available in the market;</w:t>
      </w:r>
    </w:p>
    <w:p w:rsidR="00FC376E"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lastRenderedPageBreak/>
        <w:t xml:space="preserve"> (h) </w:t>
      </w:r>
      <w:proofErr w:type="gramStart"/>
      <w:r w:rsidRPr="0028388F">
        <w:rPr>
          <w:rFonts w:asciiTheme="majorHAnsi" w:hAnsiTheme="majorHAnsi"/>
          <w:sz w:val="24"/>
          <w:szCs w:val="24"/>
        </w:rPr>
        <w:t>market</w:t>
      </w:r>
      <w:proofErr w:type="gramEnd"/>
      <w:r w:rsidRPr="0028388F">
        <w:rPr>
          <w:rFonts w:asciiTheme="majorHAnsi" w:hAnsiTheme="majorHAnsi"/>
          <w:sz w:val="24"/>
          <w:szCs w:val="24"/>
        </w:rPr>
        <w:t xml:space="preserve"> share, in the relevant market, of the persons or enterprise in a combination, individually and as a combination;</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(i) </w:t>
      </w:r>
      <w:proofErr w:type="gramStart"/>
      <w:r w:rsidRPr="0028388F">
        <w:rPr>
          <w:rFonts w:asciiTheme="majorHAnsi" w:hAnsiTheme="majorHAnsi"/>
          <w:sz w:val="24"/>
          <w:szCs w:val="24"/>
        </w:rPr>
        <w:t>likelihood</w:t>
      </w:r>
      <w:proofErr w:type="gramEnd"/>
      <w:r w:rsidRPr="0028388F">
        <w:rPr>
          <w:rFonts w:asciiTheme="majorHAnsi" w:hAnsiTheme="majorHAnsi"/>
          <w:sz w:val="24"/>
          <w:szCs w:val="24"/>
        </w:rPr>
        <w:t xml:space="preserve"> that the combination would result in the removal of a vigorous and effective competitor or competitors in the market;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(j) </w:t>
      </w:r>
      <w:proofErr w:type="gramStart"/>
      <w:r w:rsidRPr="0028388F">
        <w:rPr>
          <w:rFonts w:asciiTheme="majorHAnsi" w:hAnsiTheme="majorHAnsi"/>
          <w:sz w:val="24"/>
          <w:szCs w:val="24"/>
        </w:rPr>
        <w:t>nature</w:t>
      </w:r>
      <w:proofErr w:type="gramEnd"/>
      <w:r w:rsidRPr="0028388F">
        <w:rPr>
          <w:rFonts w:asciiTheme="majorHAnsi" w:hAnsiTheme="majorHAnsi"/>
          <w:sz w:val="24"/>
          <w:szCs w:val="24"/>
        </w:rPr>
        <w:t xml:space="preserve"> and extent of vertical integration in the market;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(k) </w:t>
      </w:r>
      <w:proofErr w:type="gramStart"/>
      <w:r w:rsidRPr="0028388F">
        <w:rPr>
          <w:rFonts w:asciiTheme="majorHAnsi" w:hAnsiTheme="majorHAnsi"/>
          <w:sz w:val="24"/>
          <w:szCs w:val="24"/>
        </w:rPr>
        <w:t>possibility</w:t>
      </w:r>
      <w:proofErr w:type="gramEnd"/>
      <w:r w:rsidRPr="0028388F">
        <w:rPr>
          <w:rFonts w:asciiTheme="majorHAnsi" w:hAnsiTheme="majorHAnsi"/>
          <w:sz w:val="24"/>
          <w:szCs w:val="24"/>
        </w:rPr>
        <w:t xml:space="preserve"> of a failing business;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(l) </w:t>
      </w:r>
      <w:proofErr w:type="gramStart"/>
      <w:r w:rsidRPr="0028388F">
        <w:rPr>
          <w:rFonts w:asciiTheme="majorHAnsi" w:hAnsiTheme="majorHAnsi"/>
          <w:sz w:val="24"/>
          <w:szCs w:val="24"/>
        </w:rPr>
        <w:t>nature</w:t>
      </w:r>
      <w:proofErr w:type="gramEnd"/>
      <w:r w:rsidRPr="0028388F">
        <w:rPr>
          <w:rFonts w:asciiTheme="majorHAnsi" w:hAnsiTheme="majorHAnsi"/>
          <w:sz w:val="24"/>
          <w:szCs w:val="24"/>
        </w:rPr>
        <w:t xml:space="preserve"> and extent of innovation;</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 (m) </w:t>
      </w:r>
      <w:proofErr w:type="gramStart"/>
      <w:r w:rsidRPr="0028388F">
        <w:rPr>
          <w:rFonts w:asciiTheme="majorHAnsi" w:hAnsiTheme="majorHAnsi"/>
          <w:sz w:val="24"/>
          <w:szCs w:val="24"/>
        </w:rPr>
        <w:t>relative</w:t>
      </w:r>
      <w:proofErr w:type="gramEnd"/>
      <w:r w:rsidRPr="0028388F">
        <w:rPr>
          <w:rFonts w:asciiTheme="majorHAnsi" w:hAnsiTheme="majorHAnsi"/>
          <w:sz w:val="24"/>
          <w:szCs w:val="24"/>
        </w:rPr>
        <w:t xml:space="preserve"> advantage, by way of the contribution to the economic development, by any combination having or likely to have appreciable adverse effect on competition;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(n) </w:t>
      </w:r>
      <w:proofErr w:type="gramStart"/>
      <w:r w:rsidRPr="0028388F">
        <w:rPr>
          <w:rFonts w:asciiTheme="majorHAnsi" w:hAnsiTheme="majorHAnsi"/>
          <w:sz w:val="24"/>
          <w:szCs w:val="24"/>
        </w:rPr>
        <w:t>whether</w:t>
      </w:r>
      <w:proofErr w:type="gramEnd"/>
      <w:r w:rsidRPr="0028388F">
        <w:rPr>
          <w:rFonts w:asciiTheme="majorHAnsi" w:hAnsiTheme="majorHAnsi"/>
          <w:sz w:val="24"/>
          <w:szCs w:val="24"/>
        </w:rPr>
        <w:t xml:space="preserve"> the benefits of the combination outweigh the adverse impact of the combination, if any</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b/>
          <w:sz w:val="24"/>
          <w:szCs w:val="24"/>
          <w:u w:val="single"/>
        </w:rPr>
        <w:t>Approval, rejection or approval;</w:t>
      </w:r>
      <w:r w:rsidRPr="0028388F">
        <w:rPr>
          <w:rFonts w:asciiTheme="majorHAnsi" w:hAnsiTheme="majorHAnsi"/>
          <w:sz w:val="24"/>
          <w:szCs w:val="24"/>
        </w:rPr>
        <w:t xml:space="preserve"> with modification of the merger Based on evaluation of the combination as above, the Commission may decide to approve the merger, reject the merger or approve the merger subject to modifications. International experience shows that less than 10 per cent of mergers evaluated by competition authorities have been found to have adverse effect on competition/have the potential for lessening of competition in the relevant market.</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sz w:val="24"/>
          <w:szCs w:val="24"/>
        </w:rPr>
        <w:t xml:space="preserve"> A large portion of such cases are eventually approved by competition authorities subject to modifications. It can be reasonably expected that only a small percentage of the total notified mergers may be found to have appreciable adverse effect on competition in India. </w:t>
      </w:r>
    </w:p>
    <w:p w:rsidR="00FC1AA5" w:rsidRPr="0028388F" w:rsidRDefault="00FC1AA5" w:rsidP="0028388F">
      <w:pPr>
        <w:ind w:left="720"/>
        <w:jc w:val="both"/>
        <w:rPr>
          <w:rFonts w:asciiTheme="majorHAnsi" w:hAnsiTheme="majorHAnsi"/>
          <w:sz w:val="24"/>
          <w:szCs w:val="24"/>
        </w:rPr>
      </w:pPr>
      <w:r w:rsidRPr="0028388F">
        <w:rPr>
          <w:rFonts w:asciiTheme="majorHAnsi" w:hAnsiTheme="majorHAnsi"/>
          <w:b/>
          <w:sz w:val="24"/>
          <w:szCs w:val="24"/>
          <w:u w:val="single"/>
        </w:rPr>
        <w:t>REMEDIES UNDER THE ACT</w:t>
      </w:r>
      <w:r w:rsidRPr="0028388F">
        <w:rPr>
          <w:rFonts w:asciiTheme="majorHAnsi" w:hAnsiTheme="majorHAnsi"/>
          <w:sz w:val="24"/>
          <w:szCs w:val="24"/>
        </w:rPr>
        <w:t>; Most of the expected anti-competitive effects of mergers can be remedied without holding back the merger itself. Merger analysis consists of assessment of the likely anti-competitive effect of the merger under analysis and how such effect could be</w:t>
      </w:r>
    </w:p>
    <w:p w:rsidR="00FC1AA5" w:rsidRPr="0028388F" w:rsidRDefault="00FC1AA5" w:rsidP="0028388F">
      <w:pPr>
        <w:ind w:left="720"/>
        <w:jc w:val="both"/>
        <w:rPr>
          <w:rFonts w:asciiTheme="majorHAnsi" w:hAnsiTheme="majorHAnsi"/>
          <w:b/>
          <w:sz w:val="24"/>
          <w:szCs w:val="24"/>
        </w:rPr>
      </w:pPr>
      <w:r w:rsidRPr="0028388F">
        <w:rPr>
          <w:rFonts w:asciiTheme="majorHAnsi" w:hAnsiTheme="majorHAnsi"/>
          <w:b/>
          <w:sz w:val="24"/>
          <w:szCs w:val="24"/>
          <w:u w:val="single"/>
        </w:rPr>
        <w:t>APPEALS</w:t>
      </w:r>
      <w:r w:rsidRPr="0028388F">
        <w:rPr>
          <w:rFonts w:asciiTheme="majorHAnsi" w:hAnsiTheme="majorHAnsi"/>
          <w:sz w:val="24"/>
          <w:szCs w:val="24"/>
        </w:rPr>
        <w:t>; The Central Government has notified a Competition Appellate Tribunal (CAT) to hear and dispose of appeals against any direction issued or decision made or order passed by the Commission under specified sections of the Act, such as orders relating to notification of combination, inquiry by the Commission and penalties. An appeal has to be filed within 60 days of receipt of the order / direction / decision of the Commission.</w:t>
      </w:r>
    </w:p>
    <w:sectPr w:rsidR="00FC1AA5" w:rsidRPr="0028388F" w:rsidSect="00AD5FE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93EBD"/>
    <w:multiLevelType w:val="hybridMultilevel"/>
    <w:tmpl w:val="A2A4D67A"/>
    <w:lvl w:ilvl="0" w:tplc="6560A6C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19BB4479"/>
    <w:multiLevelType w:val="hybridMultilevel"/>
    <w:tmpl w:val="A536B4E0"/>
    <w:lvl w:ilvl="0" w:tplc="34CE26D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8FE2649"/>
    <w:multiLevelType w:val="hybridMultilevel"/>
    <w:tmpl w:val="A0681D08"/>
    <w:lvl w:ilvl="0" w:tplc="2FA0544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1193AE1"/>
    <w:multiLevelType w:val="hybridMultilevel"/>
    <w:tmpl w:val="1D48A0D2"/>
    <w:lvl w:ilvl="0" w:tplc="7CD684E8">
      <w:start w:val="1"/>
      <w:numFmt w:val="upp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nsid w:val="6C0E1C2D"/>
    <w:multiLevelType w:val="hybridMultilevel"/>
    <w:tmpl w:val="7D1C355A"/>
    <w:lvl w:ilvl="0" w:tplc="1780119A">
      <w:start w:val="1"/>
      <w:numFmt w:val="decimal"/>
      <w:lvlText w:val="(%1)"/>
      <w:lvlJc w:val="left"/>
      <w:pPr>
        <w:ind w:left="720" w:hanging="360"/>
      </w:pPr>
      <w:rPr>
        <w:rFonts w:asciiTheme="minorHAnsi" w:hAnsi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1150B97"/>
    <w:multiLevelType w:val="hybridMultilevel"/>
    <w:tmpl w:val="2BB40CF4"/>
    <w:lvl w:ilvl="0" w:tplc="82AA2CD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C78CB"/>
    <w:rsid w:val="000A6F38"/>
    <w:rsid w:val="001455C9"/>
    <w:rsid w:val="00244457"/>
    <w:rsid w:val="0028388F"/>
    <w:rsid w:val="003C78CB"/>
    <w:rsid w:val="004F41A2"/>
    <w:rsid w:val="006E4AE2"/>
    <w:rsid w:val="007759C2"/>
    <w:rsid w:val="00903671"/>
    <w:rsid w:val="00A22FF4"/>
    <w:rsid w:val="00A730F1"/>
    <w:rsid w:val="00AA3114"/>
    <w:rsid w:val="00AD5FE7"/>
    <w:rsid w:val="00BB5F42"/>
    <w:rsid w:val="00C314AD"/>
    <w:rsid w:val="00C77414"/>
    <w:rsid w:val="00FC1AA5"/>
    <w:rsid w:val="00FC376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F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4AD"/>
    <w:pPr>
      <w:ind w:left="720"/>
      <w:contextualSpacing/>
    </w:pPr>
  </w:style>
  <w:style w:type="character" w:styleId="FootnoteReference">
    <w:name w:val="footnote reference"/>
    <w:basedOn w:val="DefaultParagraphFont"/>
    <w:uiPriority w:val="99"/>
    <w:semiHidden/>
    <w:unhideWhenUsed/>
    <w:rsid w:val="00244457"/>
  </w:style>
  <w:style w:type="character" w:customStyle="1" w:styleId="apple-converted-space">
    <w:name w:val="apple-converted-space"/>
    <w:basedOn w:val="DefaultParagraphFont"/>
    <w:rsid w:val="00244457"/>
  </w:style>
  <w:style w:type="paragraph" w:styleId="BalloonText">
    <w:name w:val="Balloon Text"/>
    <w:basedOn w:val="Normal"/>
    <w:link w:val="BalloonTextChar"/>
    <w:uiPriority w:val="99"/>
    <w:semiHidden/>
    <w:unhideWhenUsed/>
    <w:rsid w:val="00145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5C9"/>
    <w:rPr>
      <w:rFonts w:ascii="Tahoma" w:hAnsi="Tahoma" w:cs="Tahoma"/>
      <w:sz w:val="16"/>
      <w:szCs w:val="16"/>
    </w:rPr>
  </w:style>
  <w:style w:type="paragraph" w:styleId="NoSpacing">
    <w:name w:val="No Spacing"/>
    <w:uiPriority w:val="1"/>
    <w:qFormat/>
    <w:rsid w:val="001455C9"/>
    <w:pPr>
      <w:spacing w:after="0" w:line="240" w:lineRule="auto"/>
    </w:pPr>
  </w:style>
</w:styles>
</file>

<file path=word/webSettings.xml><?xml version="1.0" encoding="utf-8"?>
<w:webSettings xmlns:r="http://schemas.openxmlformats.org/officeDocument/2006/relationships" xmlns:w="http://schemas.openxmlformats.org/wordprocessingml/2006/main">
  <w:divs>
    <w:div w:id="1524245554">
      <w:bodyDiv w:val="1"/>
      <w:marLeft w:val="0"/>
      <w:marRight w:val="0"/>
      <w:marTop w:val="0"/>
      <w:marBottom w:val="0"/>
      <w:divBdr>
        <w:top w:val="none" w:sz="0" w:space="0" w:color="auto"/>
        <w:left w:val="none" w:sz="0" w:space="0" w:color="auto"/>
        <w:bottom w:val="none" w:sz="0" w:space="0" w:color="auto"/>
        <w:right w:val="none" w:sz="0" w:space="0" w:color="auto"/>
      </w:divBdr>
      <w:divsChild>
        <w:div w:id="1021972911">
          <w:marLeft w:val="0"/>
          <w:marRight w:val="0"/>
          <w:marTop w:val="0"/>
          <w:marBottom w:val="240"/>
          <w:divBdr>
            <w:top w:val="none" w:sz="0" w:space="0" w:color="auto"/>
            <w:left w:val="none" w:sz="0" w:space="0" w:color="auto"/>
            <w:bottom w:val="none" w:sz="0" w:space="0" w:color="auto"/>
            <w:right w:val="none" w:sz="0" w:space="0" w:color="auto"/>
          </w:divBdr>
        </w:div>
        <w:div w:id="18312841">
          <w:marLeft w:val="0"/>
          <w:marRight w:val="0"/>
          <w:marTop w:val="0"/>
          <w:marBottom w:val="240"/>
          <w:divBdr>
            <w:top w:val="none" w:sz="0" w:space="0" w:color="auto"/>
            <w:left w:val="none" w:sz="0" w:space="0" w:color="auto"/>
            <w:bottom w:val="none" w:sz="0" w:space="0" w:color="auto"/>
            <w:right w:val="none" w:sz="0" w:space="0" w:color="auto"/>
          </w:divBdr>
        </w:div>
        <w:div w:id="746808020">
          <w:marLeft w:val="0"/>
          <w:marRight w:val="0"/>
          <w:marTop w:val="0"/>
          <w:marBottom w:val="240"/>
          <w:divBdr>
            <w:top w:val="none" w:sz="0" w:space="0" w:color="auto"/>
            <w:left w:val="none" w:sz="0" w:space="0" w:color="auto"/>
            <w:bottom w:val="none" w:sz="0" w:space="0" w:color="auto"/>
            <w:right w:val="none" w:sz="0" w:space="0" w:color="auto"/>
          </w:divBdr>
        </w:div>
        <w:div w:id="153032203">
          <w:marLeft w:val="0"/>
          <w:marRight w:val="0"/>
          <w:marTop w:val="0"/>
          <w:marBottom w:val="240"/>
          <w:divBdr>
            <w:top w:val="none" w:sz="0" w:space="0" w:color="auto"/>
            <w:left w:val="none" w:sz="0" w:space="0" w:color="auto"/>
            <w:bottom w:val="none" w:sz="0" w:space="0" w:color="auto"/>
            <w:right w:val="none" w:sz="0" w:space="0" w:color="auto"/>
          </w:divBdr>
        </w:div>
        <w:div w:id="896354550">
          <w:marLeft w:val="0"/>
          <w:marRight w:val="0"/>
          <w:marTop w:val="0"/>
          <w:marBottom w:val="240"/>
          <w:divBdr>
            <w:top w:val="none" w:sz="0" w:space="0" w:color="auto"/>
            <w:left w:val="none" w:sz="0" w:space="0" w:color="auto"/>
            <w:bottom w:val="none" w:sz="0" w:space="0" w:color="auto"/>
            <w:right w:val="none" w:sz="0" w:space="0" w:color="auto"/>
          </w:divBdr>
        </w:div>
        <w:div w:id="746850400">
          <w:marLeft w:val="0"/>
          <w:marRight w:val="0"/>
          <w:marTop w:val="0"/>
          <w:marBottom w:val="240"/>
          <w:divBdr>
            <w:top w:val="none" w:sz="0" w:space="0" w:color="auto"/>
            <w:left w:val="none" w:sz="0" w:space="0" w:color="auto"/>
            <w:bottom w:val="none" w:sz="0" w:space="0" w:color="auto"/>
            <w:right w:val="none" w:sz="0" w:space="0" w:color="auto"/>
          </w:divBdr>
        </w:div>
        <w:div w:id="1529180711">
          <w:marLeft w:val="0"/>
          <w:marRight w:val="0"/>
          <w:marTop w:val="0"/>
          <w:marBottom w:val="240"/>
          <w:divBdr>
            <w:top w:val="none" w:sz="0" w:space="0" w:color="auto"/>
            <w:left w:val="none" w:sz="0" w:space="0" w:color="auto"/>
            <w:bottom w:val="none" w:sz="0" w:space="0" w:color="auto"/>
            <w:right w:val="none" w:sz="0" w:space="0" w:color="auto"/>
          </w:divBdr>
        </w:div>
        <w:div w:id="2050258035">
          <w:marLeft w:val="0"/>
          <w:marRight w:val="0"/>
          <w:marTop w:val="0"/>
          <w:marBottom w:val="240"/>
          <w:divBdr>
            <w:top w:val="none" w:sz="0" w:space="0" w:color="auto"/>
            <w:left w:val="none" w:sz="0" w:space="0" w:color="auto"/>
            <w:bottom w:val="none" w:sz="0" w:space="0" w:color="auto"/>
            <w:right w:val="none" w:sz="0" w:space="0" w:color="auto"/>
          </w:divBdr>
        </w:div>
        <w:div w:id="479731362">
          <w:marLeft w:val="0"/>
          <w:marRight w:val="0"/>
          <w:marTop w:val="0"/>
          <w:marBottom w:val="240"/>
          <w:divBdr>
            <w:top w:val="none" w:sz="0" w:space="0" w:color="auto"/>
            <w:left w:val="none" w:sz="0" w:space="0" w:color="auto"/>
            <w:bottom w:val="none" w:sz="0" w:space="0" w:color="auto"/>
            <w:right w:val="none" w:sz="0" w:space="0" w:color="auto"/>
          </w:divBdr>
        </w:div>
        <w:div w:id="1124882135">
          <w:marLeft w:val="0"/>
          <w:marRight w:val="0"/>
          <w:marTop w:val="0"/>
          <w:marBottom w:val="240"/>
          <w:divBdr>
            <w:top w:val="none" w:sz="0" w:space="0" w:color="auto"/>
            <w:left w:val="none" w:sz="0" w:space="0" w:color="auto"/>
            <w:bottom w:val="none" w:sz="0" w:space="0" w:color="auto"/>
            <w:right w:val="none" w:sz="0" w:space="0" w:color="auto"/>
          </w:divBdr>
        </w:div>
        <w:div w:id="642318687">
          <w:marLeft w:val="0"/>
          <w:marRight w:val="0"/>
          <w:marTop w:val="0"/>
          <w:marBottom w:val="240"/>
          <w:divBdr>
            <w:top w:val="none" w:sz="0" w:space="0" w:color="auto"/>
            <w:left w:val="none" w:sz="0" w:space="0" w:color="auto"/>
            <w:bottom w:val="none" w:sz="0" w:space="0" w:color="auto"/>
            <w:right w:val="none" w:sz="0" w:space="0" w:color="auto"/>
          </w:divBdr>
        </w:div>
        <w:div w:id="423965739">
          <w:marLeft w:val="0"/>
          <w:marRight w:val="0"/>
          <w:marTop w:val="0"/>
          <w:marBottom w:val="240"/>
          <w:divBdr>
            <w:top w:val="none" w:sz="0" w:space="0" w:color="auto"/>
            <w:left w:val="none" w:sz="0" w:space="0" w:color="auto"/>
            <w:bottom w:val="none" w:sz="0" w:space="0" w:color="auto"/>
            <w:right w:val="none" w:sz="0" w:space="0" w:color="auto"/>
          </w:divBdr>
        </w:div>
        <w:div w:id="2044865310">
          <w:marLeft w:val="0"/>
          <w:marRight w:val="0"/>
          <w:marTop w:val="0"/>
          <w:marBottom w:val="240"/>
          <w:divBdr>
            <w:top w:val="none" w:sz="0" w:space="0" w:color="auto"/>
            <w:left w:val="none" w:sz="0" w:space="0" w:color="auto"/>
            <w:bottom w:val="none" w:sz="0" w:space="0" w:color="auto"/>
            <w:right w:val="none" w:sz="0" w:space="0" w:color="auto"/>
          </w:divBdr>
        </w:div>
        <w:div w:id="1058744361">
          <w:marLeft w:val="0"/>
          <w:marRight w:val="0"/>
          <w:marTop w:val="0"/>
          <w:marBottom w:val="240"/>
          <w:divBdr>
            <w:top w:val="none" w:sz="0" w:space="0" w:color="auto"/>
            <w:left w:val="none" w:sz="0" w:space="0" w:color="auto"/>
            <w:bottom w:val="none" w:sz="0" w:space="0" w:color="auto"/>
            <w:right w:val="none" w:sz="0" w:space="0" w:color="auto"/>
          </w:divBdr>
        </w:div>
        <w:div w:id="1098253074">
          <w:marLeft w:val="0"/>
          <w:marRight w:val="0"/>
          <w:marTop w:val="0"/>
          <w:marBottom w:val="240"/>
          <w:divBdr>
            <w:top w:val="none" w:sz="0" w:space="0" w:color="auto"/>
            <w:left w:val="none" w:sz="0" w:space="0" w:color="auto"/>
            <w:bottom w:val="none" w:sz="0" w:space="0" w:color="auto"/>
            <w:right w:val="none" w:sz="0" w:space="0" w:color="auto"/>
          </w:divBdr>
        </w:div>
        <w:div w:id="1686594391">
          <w:marLeft w:val="0"/>
          <w:marRight w:val="0"/>
          <w:marTop w:val="0"/>
          <w:marBottom w:val="240"/>
          <w:divBdr>
            <w:top w:val="none" w:sz="0" w:space="0" w:color="auto"/>
            <w:left w:val="none" w:sz="0" w:space="0" w:color="auto"/>
            <w:bottom w:val="none" w:sz="0" w:space="0" w:color="auto"/>
            <w:right w:val="none" w:sz="0" w:space="0" w:color="auto"/>
          </w:divBdr>
        </w:div>
        <w:div w:id="401753301">
          <w:marLeft w:val="0"/>
          <w:marRight w:val="0"/>
          <w:marTop w:val="0"/>
          <w:marBottom w:val="240"/>
          <w:divBdr>
            <w:top w:val="none" w:sz="0" w:space="0" w:color="auto"/>
            <w:left w:val="none" w:sz="0" w:space="0" w:color="auto"/>
            <w:bottom w:val="none" w:sz="0" w:space="0" w:color="auto"/>
            <w:right w:val="none" w:sz="0" w:space="0" w:color="auto"/>
          </w:divBdr>
        </w:div>
        <w:div w:id="1266304002">
          <w:marLeft w:val="0"/>
          <w:marRight w:val="0"/>
          <w:marTop w:val="0"/>
          <w:marBottom w:val="240"/>
          <w:divBdr>
            <w:top w:val="none" w:sz="0" w:space="0" w:color="auto"/>
            <w:left w:val="none" w:sz="0" w:space="0" w:color="auto"/>
            <w:bottom w:val="none" w:sz="0" w:space="0" w:color="auto"/>
            <w:right w:val="none" w:sz="0" w:space="0" w:color="auto"/>
          </w:divBdr>
        </w:div>
        <w:div w:id="614605500">
          <w:marLeft w:val="0"/>
          <w:marRight w:val="0"/>
          <w:marTop w:val="0"/>
          <w:marBottom w:val="240"/>
          <w:divBdr>
            <w:top w:val="none" w:sz="0" w:space="0" w:color="auto"/>
            <w:left w:val="none" w:sz="0" w:space="0" w:color="auto"/>
            <w:bottom w:val="none" w:sz="0" w:space="0" w:color="auto"/>
            <w:right w:val="none" w:sz="0" w:space="0" w:color="auto"/>
          </w:divBdr>
        </w:div>
        <w:div w:id="488328897">
          <w:marLeft w:val="0"/>
          <w:marRight w:val="0"/>
          <w:marTop w:val="0"/>
          <w:marBottom w:val="240"/>
          <w:divBdr>
            <w:top w:val="none" w:sz="0" w:space="0" w:color="auto"/>
            <w:left w:val="none" w:sz="0" w:space="0" w:color="auto"/>
            <w:bottom w:val="none" w:sz="0" w:space="0" w:color="auto"/>
            <w:right w:val="none" w:sz="0" w:space="0" w:color="auto"/>
          </w:divBdr>
        </w:div>
        <w:div w:id="1903254600">
          <w:marLeft w:val="0"/>
          <w:marRight w:val="0"/>
          <w:marTop w:val="0"/>
          <w:marBottom w:val="240"/>
          <w:divBdr>
            <w:top w:val="none" w:sz="0" w:space="0" w:color="auto"/>
            <w:left w:val="none" w:sz="0" w:space="0" w:color="auto"/>
            <w:bottom w:val="none" w:sz="0" w:space="0" w:color="auto"/>
            <w:right w:val="none" w:sz="0" w:space="0" w:color="auto"/>
          </w:divBdr>
        </w:div>
        <w:div w:id="1673679026">
          <w:marLeft w:val="0"/>
          <w:marRight w:val="0"/>
          <w:marTop w:val="0"/>
          <w:marBottom w:val="240"/>
          <w:divBdr>
            <w:top w:val="none" w:sz="0" w:space="0" w:color="auto"/>
            <w:left w:val="none" w:sz="0" w:space="0" w:color="auto"/>
            <w:bottom w:val="none" w:sz="0" w:space="0" w:color="auto"/>
            <w:right w:val="none" w:sz="0" w:space="0" w:color="auto"/>
          </w:divBdr>
        </w:div>
        <w:div w:id="1551307703">
          <w:marLeft w:val="0"/>
          <w:marRight w:val="0"/>
          <w:marTop w:val="0"/>
          <w:marBottom w:val="240"/>
          <w:divBdr>
            <w:top w:val="none" w:sz="0" w:space="0" w:color="auto"/>
            <w:left w:val="none" w:sz="0" w:space="0" w:color="auto"/>
            <w:bottom w:val="none" w:sz="0" w:space="0" w:color="auto"/>
            <w:right w:val="none" w:sz="0" w:space="0" w:color="auto"/>
          </w:divBdr>
        </w:div>
        <w:div w:id="1409420206">
          <w:marLeft w:val="0"/>
          <w:marRight w:val="0"/>
          <w:marTop w:val="0"/>
          <w:marBottom w:val="240"/>
          <w:divBdr>
            <w:top w:val="none" w:sz="0" w:space="0" w:color="auto"/>
            <w:left w:val="none" w:sz="0" w:space="0" w:color="auto"/>
            <w:bottom w:val="none" w:sz="0" w:space="0" w:color="auto"/>
            <w:right w:val="none" w:sz="0" w:space="0" w:color="auto"/>
          </w:divBdr>
        </w:div>
        <w:div w:id="396247174">
          <w:marLeft w:val="0"/>
          <w:marRight w:val="0"/>
          <w:marTop w:val="0"/>
          <w:marBottom w:val="240"/>
          <w:divBdr>
            <w:top w:val="none" w:sz="0" w:space="0" w:color="auto"/>
            <w:left w:val="none" w:sz="0" w:space="0" w:color="auto"/>
            <w:bottom w:val="none" w:sz="0" w:space="0" w:color="auto"/>
            <w:right w:val="none" w:sz="0" w:space="0" w:color="auto"/>
          </w:divBdr>
        </w:div>
        <w:div w:id="1581595695">
          <w:marLeft w:val="0"/>
          <w:marRight w:val="0"/>
          <w:marTop w:val="0"/>
          <w:marBottom w:val="240"/>
          <w:divBdr>
            <w:top w:val="none" w:sz="0" w:space="0" w:color="auto"/>
            <w:left w:val="none" w:sz="0" w:space="0" w:color="auto"/>
            <w:bottom w:val="none" w:sz="0" w:space="0" w:color="auto"/>
            <w:right w:val="none" w:sz="0" w:space="0" w:color="auto"/>
          </w:divBdr>
        </w:div>
        <w:div w:id="49888538">
          <w:marLeft w:val="0"/>
          <w:marRight w:val="0"/>
          <w:marTop w:val="0"/>
          <w:marBottom w:val="240"/>
          <w:divBdr>
            <w:top w:val="none" w:sz="0" w:space="0" w:color="auto"/>
            <w:left w:val="none" w:sz="0" w:space="0" w:color="auto"/>
            <w:bottom w:val="none" w:sz="0" w:space="0" w:color="auto"/>
            <w:right w:val="none" w:sz="0" w:space="0" w:color="auto"/>
          </w:divBdr>
        </w:div>
        <w:div w:id="910846179">
          <w:marLeft w:val="0"/>
          <w:marRight w:val="0"/>
          <w:marTop w:val="0"/>
          <w:marBottom w:val="240"/>
          <w:divBdr>
            <w:top w:val="none" w:sz="0" w:space="0" w:color="auto"/>
            <w:left w:val="none" w:sz="0" w:space="0" w:color="auto"/>
            <w:bottom w:val="none" w:sz="0" w:space="0" w:color="auto"/>
            <w:right w:val="none" w:sz="0" w:space="0" w:color="auto"/>
          </w:divBdr>
        </w:div>
        <w:div w:id="36709233">
          <w:marLeft w:val="0"/>
          <w:marRight w:val="0"/>
          <w:marTop w:val="0"/>
          <w:marBottom w:val="240"/>
          <w:divBdr>
            <w:top w:val="none" w:sz="0" w:space="0" w:color="auto"/>
            <w:left w:val="none" w:sz="0" w:space="0" w:color="auto"/>
            <w:bottom w:val="none" w:sz="0" w:space="0" w:color="auto"/>
            <w:right w:val="none" w:sz="0" w:space="0" w:color="auto"/>
          </w:divBdr>
        </w:div>
        <w:div w:id="988746618">
          <w:marLeft w:val="0"/>
          <w:marRight w:val="0"/>
          <w:marTop w:val="0"/>
          <w:marBottom w:val="240"/>
          <w:divBdr>
            <w:top w:val="none" w:sz="0" w:space="0" w:color="auto"/>
            <w:left w:val="none" w:sz="0" w:space="0" w:color="auto"/>
            <w:bottom w:val="none" w:sz="0" w:space="0" w:color="auto"/>
            <w:right w:val="none" w:sz="0" w:space="0" w:color="auto"/>
          </w:divBdr>
        </w:div>
        <w:div w:id="895358419">
          <w:marLeft w:val="0"/>
          <w:marRight w:val="0"/>
          <w:marTop w:val="0"/>
          <w:marBottom w:val="240"/>
          <w:divBdr>
            <w:top w:val="none" w:sz="0" w:space="0" w:color="auto"/>
            <w:left w:val="none" w:sz="0" w:space="0" w:color="auto"/>
            <w:bottom w:val="none" w:sz="0" w:space="0" w:color="auto"/>
            <w:right w:val="none" w:sz="0" w:space="0" w:color="auto"/>
          </w:divBdr>
        </w:div>
        <w:div w:id="1481077026">
          <w:marLeft w:val="0"/>
          <w:marRight w:val="0"/>
          <w:marTop w:val="0"/>
          <w:marBottom w:val="240"/>
          <w:divBdr>
            <w:top w:val="none" w:sz="0" w:space="0" w:color="auto"/>
            <w:left w:val="none" w:sz="0" w:space="0" w:color="auto"/>
            <w:bottom w:val="none" w:sz="0" w:space="0" w:color="auto"/>
            <w:right w:val="none" w:sz="0" w:space="0" w:color="auto"/>
          </w:divBdr>
        </w:div>
        <w:div w:id="1616792229">
          <w:marLeft w:val="0"/>
          <w:marRight w:val="0"/>
          <w:marTop w:val="0"/>
          <w:marBottom w:val="240"/>
          <w:divBdr>
            <w:top w:val="none" w:sz="0" w:space="0" w:color="auto"/>
            <w:left w:val="none" w:sz="0" w:space="0" w:color="auto"/>
            <w:bottom w:val="none" w:sz="0" w:space="0" w:color="auto"/>
            <w:right w:val="none" w:sz="0" w:space="0" w:color="auto"/>
          </w:divBdr>
        </w:div>
        <w:div w:id="896235021">
          <w:marLeft w:val="0"/>
          <w:marRight w:val="0"/>
          <w:marTop w:val="0"/>
          <w:marBottom w:val="240"/>
          <w:divBdr>
            <w:top w:val="none" w:sz="0" w:space="0" w:color="auto"/>
            <w:left w:val="none" w:sz="0" w:space="0" w:color="auto"/>
            <w:bottom w:val="none" w:sz="0" w:space="0" w:color="auto"/>
            <w:right w:val="none" w:sz="0" w:space="0" w:color="auto"/>
          </w:divBdr>
        </w:div>
        <w:div w:id="1996837864">
          <w:marLeft w:val="0"/>
          <w:marRight w:val="0"/>
          <w:marTop w:val="0"/>
          <w:marBottom w:val="240"/>
          <w:divBdr>
            <w:top w:val="none" w:sz="0" w:space="0" w:color="auto"/>
            <w:left w:val="none" w:sz="0" w:space="0" w:color="auto"/>
            <w:bottom w:val="none" w:sz="0" w:space="0" w:color="auto"/>
            <w:right w:val="none" w:sz="0" w:space="0" w:color="auto"/>
          </w:divBdr>
        </w:div>
        <w:div w:id="303657125">
          <w:marLeft w:val="0"/>
          <w:marRight w:val="0"/>
          <w:marTop w:val="0"/>
          <w:marBottom w:val="240"/>
          <w:divBdr>
            <w:top w:val="none" w:sz="0" w:space="0" w:color="auto"/>
            <w:left w:val="none" w:sz="0" w:space="0" w:color="auto"/>
            <w:bottom w:val="none" w:sz="0" w:space="0" w:color="auto"/>
            <w:right w:val="none" w:sz="0" w:space="0" w:color="auto"/>
          </w:divBdr>
        </w:div>
        <w:div w:id="310327153">
          <w:marLeft w:val="0"/>
          <w:marRight w:val="0"/>
          <w:marTop w:val="0"/>
          <w:marBottom w:val="240"/>
          <w:divBdr>
            <w:top w:val="none" w:sz="0" w:space="0" w:color="auto"/>
            <w:left w:val="none" w:sz="0" w:space="0" w:color="auto"/>
            <w:bottom w:val="none" w:sz="0" w:space="0" w:color="auto"/>
            <w:right w:val="none" w:sz="0" w:space="0" w:color="auto"/>
          </w:divBdr>
        </w:div>
        <w:div w:id="173081251">
          <w:marLeft w:val="0"/>
          <w:marRight w:val="0"/>
          <w:marTop w:val="0"/>
          <w:marBottom w:val="240"/>
          <w:divBdr>
            <w:top w:val="none" w:sz="0" w:space="0" w:color="auto"/>
            <w:left w:val="none" w:sz="0" w:space="0" w:color="auto"/>
            <w:bottom w:val="none" w:sz="0" w:space="0" w:color="auto"/>
            <w:right w:val="none" w:sz="0" w:space="0" w:color="auto"/>
          </w:divBdr>
        </w:div>
        <w:div w:id="949050504">
          <w:marLeft w:val="0"/>
          <w:marRight w:val="0"/>
          <w:marTop w:val="0"/>
          <w:marBottom w:val="240"/>
          <w:divBdr>
            <w:top w:val="none" w:sz="0" w:space="0" w:color="auto"/>
            <w:left w:val="none" w:sz="0" w:space="0" w:color="auto"/>
            <w:bottom w:val="none" w:sz="0" w:space="0" w:color="auto"/>
            <w:right w:val="none" w:sz="0" w:space="0" w:color="auto"/>
          </w:divBdr>
        </w:div>
        <w:div w:id="1609923033">
          <w:marLeft w:val="0"/>
          <w:marRight w:val="0"/>
          <w:marTop w:val="0"/>
          <w:marBottom w:val="240"/>
          <w:divBdr>
            <w:top w:val="none" w:sz="0" w:space="0" w:color="auto"/>
            <w:left w:val="none" w:sz="0" w:space="0" w:color="auto"/>
            <w:bottom w:val="none" w:sz="0" w:space="0" w:color="auto"/>
            <w:right w:val="none" w:sz="0" w:space="0" w:color="auto"/>
          </w:divBdr>
        </w:div>
        <w:div w:id="815801700">
          <w:marLeft w:val="0"/>
          <w:marRight w:val="0"/>
          <w:marTop w:val="0"/>
          <w:marBottom w:val="240"/>
          <w:divBdr>
            <w:top w:val="none" w:sz="0" w:space="0" w:color="auto"/>
            <w:left w:val="none" w:sz="0" w:space="0" w:color="auto"/>
            <w:bottom w:val="none" w:sz="0" w:space="0" w:color="auto"/>
            <w:right w:val="none" w:sz="0" w:space="0" w:color="auto"/>
          </w:divBdr>
        </w:div>
        <w:div w:id="73017581">
          <w:marLeft w:val="0"/>
          <w:marRight w:val="0"/>
          <w:marTop w:val="0"/>
          <w:marBottom w:val="240"/>
          <w:divBdr>
            <w:top w:val="none" w:sz="0" w:space="0" w:color="auto"/>
            <w:left w:val="none" w:sz="0" w:space="0" w:color="auto"/>
            <w:bottom w:val="none" w:sz="0" w:space="0" w:color="auto"/>
            <w:right w:val="none" w:sz="0" w:space="0" w:color="auto"/>
          </w:divBdr>
        </w:div>
        <w:div w:id="448402041">
          <w:marLeft w:val="0"/>
          <w:marRight w:val="0"/>
          <w:marTop w:val="0"/>
          <w:marBottom w:val="240"/>
          <w:divBdr>
            <w:top w:val="none" w:sz="0" w:space="0" w:color="auto"/>
            <w:left w:val="none" w:sz="0" w:space="0" w:color="auto"/>
            <w:bottom w:val="none" w:sz="0" w:space="0" w:color="auto"/>
            <w:right w:val="none" w:sz="0" w:space="0" w:color="auto"/>
          </w:divBdr>
        </w:div>
        <w:div w:id="676466023">
          <w:marLeft w:val="0"/>
          <w:marRight w:val="0"/>
          <w:marTop w:val="0"/>
          <w:marBottom w:val="240"/>
          <w:divBdr>
            <w:top w:val="none" w:sz="0" w:space="0" w:color="auto"/>
            <w:left w:val="none" w:sz="0" w:space="0" w:color="auto"/>
            <w:bottom w:val="none" w:sz="0" w:space="0" w:color="auto"/>
            <w:right w:val="none" w:sz="0" w:space="0" w:color="auto"/>
          </w:divBdr>
        </w:div>
        <w:div w:id="1094595854">
          <w:marLeft w:val="0"/>
          <w:marRight w:val="0"/>
          <w:marTop w:val="0"/>
          <w:marBottom w:val="240"/>
          <w:divBdr>
            <w:top w:val="none" w:sz="0" w:space="0" w:color="auto"/>
            <w:left w:val="none" w:sz="0" w:space="0" w:color="auto"/>
            <w:bottom w:val="none" w:sz="0" w:space="0" w:color="auto"/>
            <w:right w:val="none" w:sz="0" w:space="0" w:color="auto"/>
          </w:divBdr>
        </w:div>
        <w:div w:id="547537">
          <w:marLeft w:val="0"/>
          <w:marRight w:val="0"/>
          <w:marTop w:val="0"/>
          <w:marBottom w:val="240"/>
          <w:divBdr>
            <w:top w:val="none" w:sz="0" w:space="0" w:color="auto"/>
            <w:left w:val="none" w:sz="0" w:space="0" w:color="auto"/>
            <w:bottom w:val="none" w:sz="0" w:space="0" w:color="auto"/>
            <w:right w:val="none" w:sz="0" w:space="0" w:color="auto"/>
          </w:divBdr>
        </w:div>
        <w:div w:id="589462435">
          <w:marLeft w:val="0"/>
          <w:marRight w:val="0"/>
          <w:marTop w:val="0"/>
          <w:marBottom w:val="240"/>
          <w:divBdr>
            <w:top w:val="none" w:sz="0" w:space="0" w:color="auto"/>
            <w:left w:val="none" w:sz="0" w:space="0" w:color="auto"/>
            <w:bottom w:val="none" w:sz="0" w:space="0" w:color="auto"/>
            <w:right w:val="none" w:sz="0" w:space="0" w:color="auto"/>
          </w:divBdr>
        </w:div>
        <w:div w:id="963661658">
          <w:marLeft w:val="0"/>
          <w:marRight w:val="0"/>
          <w:marTop w:val="0"/>
          <w:marBottom w:val="240"/>
          <w:divBdr>
            <w:top w:val="none" w:sz="0" w:space="0" w:color="auto"/>
            <w:left w:val="none" w:sz="0" w:space="0" w:color="auto"/>
            <w:bottom w:val="none" w:sz="0" w:space="0" w:color="auto"/>
            <w:right w:val="none" w:sz="0" w:space="0" w:color="auto"/>
          </w:divBdr>
        </w:div>
        <w:div w:id="1336373644">
          <w:marLeft w:val="0"/>
          <w:marRight w:val="0"/>
          <w:marTop w:val="0"/>
          <w:marBottom w:val="240"/>
          <w:divBdr>
            <w:top w:val="none" w:sz="0" w:space="0" w:color="auto"/>
            <w:left w:val="none" w:sz="0" w:space="0" w:color="auto"/>
            <w:bottom w:val="none" w:sz="0" w:space="0" w:color="auto"/>
            <w:right w:val="none" w:sz="0" w:space="0" w:color="auto"/>
          </w:divBdr>
        </w:div>
        <w:div w:id="96581657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5</Pages>
  <Words>1523</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10</cp:revision>
  <dcterms:created xsi:type="dcterms:W3CDTF">2015-07-28T05:21:00Z</dcterms:created>
  <dcterms:modified xsi:type="dcterms:W3CDTF">2015-07-28T06:55:00Z</dcterms:modified>
</cp:coreProperties>
</file>