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E7D" w:rsidRPr="007C236E" w:rsidRDefault="002B0E7D" w:rsidP="002B0E7D">
      <w:pPr>
        <w:jc w:val="right"/>
        <w:rPr>
          <w:rFonts w:ascii="Arial" w:hAnsi="Arial" w:cs="Arial"/>
          <w:sz w:val="32"/>
          <w:szCs w:val="32"/>
          <w:lang w:val="en-US"/>
        </w:rPr>
      </w:pPr>
      <w:r w:rsidRPr="007C583B">
        <w:rPr>
          <w:rFonts w:ascii="Arial" w:hAnsi="Arial" w:cs="Arial"/>
          <w:noProof/>
          <w:sz w:val="20"/>
          <w:szCs w:val="20"/>
          <w:lang w:eastAsia="en-IN"/>
        </w:rPr>
        <w:drawing>
          <wp:anchor distT="0" distB="0" distL="114300" distR="114300" simplePos="0" relativeHeight="251659264" behindDoc="0" locked="0" layoutInCell="1" allowOverlap="1">
            <wp:simplePos x="0" y="0"/>
            <wp:positionH relativeFrom="column">
              <wp:align>right</wp:align>
            </wp:positionH>
            <wp:positionV relativeFrom="paragraph">
              <wp:align>top</wp:align>
            </wp:positionV>
            <wp:extent cx="1563260" cy="1773141"/>
            <wp:effectExtent l="19050" t="0" r="0" b="0"/>
            <wp:wrapSquare wrapText="bothSides"/>
            <wp:docPr id="9" name="Picture 1" descr="D:\Rajeev Photo n Signature\1670_C_no_Rajeev PassPortP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jeev Photo n Signature\1670_C_no_Rajeev PassPortPhot.jpg"/>
                    <pic:cNvPicPr>
                      <a:picLocks noChangeAspect="1" noChangeArrowheads="1"/>
                    </pic:cNvPicPr>
                  </pic:nvPicPr>
                  <pic:blipFill>
                    <a:blip r:embed="rId7" cstate="print"/>
                    <a:srcRect/>
                    <a:stretch>
                      <a:fillRect/>
                    </a:stretch>
                  </pic:blipFill>
                  <pic:spPr bwMode="auto">
                    <a:xfrm>
                      <a:off x="0" y="0"/>
                      <a:ext cx="1563260" cy="1773141"/>
                    </a:xfrm>
                    <a:prstGeom prst="rect">
                      <a:avLst/>
                    </a:prstGeom>
                    <a:noFill/>
                    <a:ln w="9525">
                      <a:noFill/>
                      <a:miter lim="800000"/>
                      <a:headEnd/>
                      <a:tailEnd/>
                    </a:ln>
                  </pic:spPr>
                </pic:pic>
              </a:graphicData>
            </a:graphic>
          </wp:anchor>
        </w:drawing>
      </w:r>
      <w:r>
        <w:rPr>
          <w:rFonts w:ascii="Arial" w:hAnsi="Arial" w:cs="Arial"/>
          <w:sz w:val="20"/>
          <w:szCs w:val="20"/>
          <w:lang w:val="en-US"/>
        </w:rPr>
        <w:br w:type="textWrapping" w:clear="all"/>
      </w:r>
      <w:r w:rsidRPr="007C236E">
        <w:rPr>
          <w:rFonts w:ascii="Arial" w:hAnsi="Arial" w:cs="Arial"/>
          <w:sz w:val="32"/>
          <w:szCs w:val="32"/>
          <w:lang w:val="en-US"/>
        </w:rPr>
        <w:t>Dr. Rajeev Babel,</w:t>
      </w:r>
    </w:p>
    <w:p w:rsidR="002B0E7D" w:rsidRPr="002B0E7D" w:rsidRDefault="002B0E7D" w:rsidP="002B0E7D">
      <w:pPr>
        <w:jc w:val="right"/>
        <w:rPr>
          <w:rFonts w:ascii="Arial" w:hAnsi="Arial" w:cs="Arial"/>
          <w:sz w:val="16"/>
          <w:szCs w:val="16"/>
          <w:lang w:val="en-US"/>
        </w:rPr>
      </w:pPr>
      <w:r w:rsidRPr="002B0E7D">
        <w:rPr>
          <w:rFonts w:ascii="Arial" w:hAnsi="Arial" w:cs="Arial"/>
          <w:sz w:val="16"/>
          <w:szCs w:val="16"/>
          <w:lang w:val="en-US"/>
        </w:rPr>
        <w:t xml:space="preserve">ACS, MBA, Ph.D, LLB, AIIB, M.com, </w:t>
      </w:r>
    </w:p>
    <w:p w:rsidR="002B0E7D" w:rsidRPr="002B0E7D" w:rsidRDefault="002B0E7D" w:rsidP="002B0E7D">
      <w:pPr>
        <w:jc w:val="right"/>
        <w:rPr>
          <w:rFonts w:ascii="Arial" w:hAnsi="Arial" w:cs="Arial"/>
          <w:sz w:val="16"/>
          <w:szCs w:val="16"/>
        </w:rPr>
      </w:pPr>
      <w:r w:rsidRPr="002B0E7D">
        <w:rPr>
          <w:rFonts w:ascii="Arial" w:hAnsi="Arial" w:cs="Arial"/>
          <w:sz w:val="16"/>
          <w:szCs w:val="16"/>
          <w:lang w:val="en-US"/>
        </w:rPr>
        <w:t xml:space="preserve">Dip in Corporate Governance, </w:t>
      </w:r>
    </w:p>
    <w:p w:rsidR="002B0E7D" w:rsidRPr="002B0E7D" w:rsidRDefault="002B0E7D" w:rsidP="002B0E7D">
      <w:pPr>
        <w:jc w:val="right"/>
        <w:rPr>
          <w:rFonts w:ascii="Arial" w:hAnsi="Arial" w:cs="Arial"/>
          <w:sz w:val="16"/>
          <w:szCs w:val="16"/>
          <w:lang w:val="en-US"/>
        </w:rPr>
      </w:pPr>
      <w:r w:rsidRPr="002B0E7D">
        <w:rPr>
          <w:rFonts w:ascii="Arial" w:hAnsi="Arial" w:cs="Arial"/>
          <w:sz w:val="16"/>
          <w:szCs w:val="16"/>
          <w:lang w:val="en-US"/>
        </w:rPr>
        <w:t xml:space="preserve">Dip in Bank Management, </w:t>
      </w:r>
    </w:p>
    <w:p w:rsidR="002B0E7D" w:rsidRPr="002B0E7D" w:rsidRDefault="002B0E7D" w:rsidP="002B0E7D">
      <w:pPr>
        <w:jc w:val="right"/>
        <w:rPr>
          <w:rFonts w:ascii="Arial" w:hAnsi="Arial" w:cs="Arial"/>
          <w:sz w:val="16"/>
          <w:szCs w:val="16"/>
          <w:lang w:val="en-US"/>
        </w:rPr>
      </w:pPr>
      <w:r w:rsidRPr="002B0E7D">
        <w:rPr>
          <w:rFonts w:ascii="Arial" w:hAnsi="Arial" w:cs="Arial"/>
          <w:sz w:val="16"/>
          <w:szCs w:val="16"/>
          <w:lang w:val="en-US"/>
        </w:rPr>
        <w:t>Dip in Financial Service,</w:t>
      </w:r>
    </w:p>
    <w:p w:rsidR="002B0E7D" w:rsidRPr="002B0E7D" w:rsidRDefault="002B0E7D" w:rsidP="002B0E7D">
      <w:pPr>
        <w:jc w:val="right"/>
        <w:rPr>
          <w:rFonts w:ascii="Arial" w:hAnsi="Arial" w:cs="Arial"/>
          <w:sz w:val="16"/>
          <w:szCs w:val="16"/>
        </w:rPr>
      </w:pPr>
      <w:r w:rsidRPr="002B0E7D">
        <w:rPr>
          <w:rFonts w:ascii="Arial" w:hAnsi="Arial" w:cs="Arial"/>
          <w:sz w:val="16"/>
          <w:szCs w:val="16"/>
          <w:lang w:val="en-US"/>
        </w:rPr>
        <w:t xml:space="preserve">Dip in Training &amp; Development. </w:t>
      </w:r>
    </w:p>
    <w:p w:rsidR="002B0E7D" w:rsidRPr="002B0E7D" w:rsidRDefault="002B0E7D" w:rsidP="002B0E7D">
      <w:pPr>
        <w:jc w:val="right"/>
        <w:rPr>
          <w:rFonts w:ascii="Arial" w:hAnsi="Arial" w:cs="Arial"/>
          <w:sz w:val="16"/>
          <w:szCs w:val="16"/>
        </w:rPr>
      </w:pPr>
      <w:r w:rsidRPr="002B0E7D">
        <w:rPr>
          <w:rFonts w:ascii="Arial" w:hAnsi="Arial" w:cs="Arial"/>
          <w:sz w:val="16"/>
          <w:szCs w:val="16"/>
          <w:lang w:val="en-US"/>
        </w:rPr>
        <w:t>Company Secretary in Practice,</w:t>
      </w:r>
    </w:p>
    <w:p w:rsidR="002B0E7D" w:rsidRPr="007C583B" w:rsidRDefault="002B0E7D" w:rsidP="002B0E7D">
      <w:pPr>
        <w:jc w:val="right"/>
        <w:rPr>
          <w:rFonts w:ascii="Arial" w:hAnsi="Arial" w:cs="Arial"/>
          <w:sz w:val="20"/>
          <w:szCs w:val="20"/>
          <w:lang w:val="en-US"/>
        </w:rPr>
      </w:pPr>
      <w:r w:rsidRPr="002B0E7D">
        <w:rPr>
          <w:rFonts w:ascii="Arial" w:hAnsi="Arial" w:cs="Arial"/>
          <w:sz w:val="16"/>
          <w:szCs w:val="16"/>
          <w:lang w:val="en-US"/>
        </w:rPr>
        <w:t xml:space="preserve">Email: </w:t>
      </w:r>
      <w:hyperlink r:id="rId8" w:history="1">
        <w:r w:rsidRPr="002B0E7D">
          <w:rPr>
            <w:rStyle w:val="Hyperlink"/>
            <w:rFonts w:ascii="Arial" w:hAnsi="Arial" w:cs="Arial"/>
            <w:sz w:val="16"/>
            <w:szCs w:val="16"/>
            <w:lang w:val="en-US"/>
          </w:rPr>
          <w:t>babelrajeev@gmail.com</w:t>
        </w:r>
      </w:hyperlink>
      <w:r w:rsidRPr="007C583B">
        <w:rPr>
          <w:rFonts w:ascii="Arial" w:hAnsi="Arial" w:cs="Arial"/>
          <w:sz w:val="20"/>
          <w:szCs w:val="20"/>
          <w:lang w:val="en-US"/>
        </w:rPr>
        <w:t xml:space="preserve"> </w:t>
      </w:r>
    </w:p>
    <w:p w:rsidR="002B0E7D" w:rsidRDefault="002B0E7D" w:rsidP="002B0E7D">
      <w:pPr>
        <w:jc w:val="both"/>
      </w:pPr>
    </w:p>
    <w:p w:rsidR="002B0E7D" w:rsidRDefault="002B0E7D" w:rsidP="002B0E7D">
      <w:pPr>
        <w:jc w:val="both"/>
      </w:pPr>
    </w:p>
    <w:p w:rsidR="002B0E7D" w:rsidRPr="002B0E7D" w:rsidRDefault="002B0E7D" w:rsidP="002B0E7D">
      <w:pPr>
        <w:pStyle w:val="Header"/>
        <w:jc w:val="center"/>
        <w:rPr>
          <w:rFonts w:ascii="Arial" w:hAnsi="Arial" w:cs="Arial"/>
          <w:color w:val="FF0000"/>
          <w:sz w:val="28"/>
          <w:szCs w:val="28"/>
        </w:rPr>
      </w:pPr>
      <w:r w:rsidRPr="002B0E7D">
        <w:rPr>
          <w:rFonts w:ascii="Arial" w:hAnsi="Arial" w:cs="Arial"/>
          <w:color w:val="FF0000"/>
          <w:sz w:val="28"/>
          <w:szCs w:val="28"/>
        </w:rPr>
        <w:t>Extracts of the Companies (Incorporation) Amendment Rules, 2015</w:t>
      </w:r>
    </w:p>
    <w:p w:rsidR="002B0E7D" w:rsidRDefault="002B0E7D" w:rsidP="002B0E7D">
      <w:pPr>
        <w:jc w:val="both"/>
      </w:pPr>
    </w:p>
    <w:p w:rsidR="002B0E7D" w:rsidRDefault="002B0E7D" w:rsidP="002B0E7D">
      <w:pPr>
        <w:jc w:val="both"/>
      </w:pPr>
    </w:p>
    <w:p w:rsidR="00CD1A08" w:rsidRDefault="00115EFA" w:rsidP="002B0E7D">
      <w:pPr>
        <w:jc w:val="both"/>
      </w:pPr>
      <w:r>
        <w:t>The Govt.of India, Ministry of Corporate Affairs, vide Notification dated 1</w:t>
      </w:r>
      <w:r w:rsidRPr="00115EFA">
        <w:rPr>
          <w:vertAlign w:val="superscript"/>
        </w:rPr>
        <w:t>st</w:t>
      </w:r>
      <w:r>
        <w:t xml:space="preserve"> May, 2015 has </w:t>
      </w:r>
      <w:r w:rsidR="002B0E7D">
        <w:t xml:space="preserve">brought out the Companies (Incorporation) Amendment Rules, 2015) which has </w:t>
      </w:r>
      <w:r>
        <w:t>amended the Companies (Incorporation) Rules 2014</w:t>
      </w:r>
      <w:r w:rsidR="002B0E7D">
        <w:t xml:space="preserve">. The following table shows the position before amendments and after the amendments. </w:t>
      </w:r>
    </w:p>
    <w:p w:rsidR="00566BA7" w:rsidRDefault="00566BA7"/>
    <w:tbl>
      <w:tblPr>
        <w:tblStyle w:val="TableGrid"/>
        <w:tblW w:w="0" w:type="auto"/>
        <w:tblLook w:val="04A0"/>
      </w:tblPr>
      <w:tblGrid>
        <w:gridCol w:w="4360"/>
        <w:gridCol w:w="4361"/>
      </w:tblGrid>
      <w:tr w:rsidR="00566BA7" w:rsidTr="00566BA7">
        <w:tc>
          <w:tcPr>
            <w:tcW w:w="4360" w:type="dxa"/>
          </w:tcPr>
          <w:p w:rsidR="00566BA7" w:rsidRPr="00A41FB4" w:rsidRDefault="00566BA7" w:rsidP="00651CAD">
            <w:pPr>
              <w:jc w:val="center"/>
              <w:rPr>
                <w:b/>
              </w:rPr>
            </w:pPr>
            <w:r w:rsidRPr="00A41FB4">
              <w:rPr>
                <w:b/>
              </w:rPr>
              <w:t>Before</w:t>
            </w:r>
          </w:p>
        </w:tc>
        <w:tc>
          <w:tcPr>
            <w:tcW w:w="4361" w:type="dxa"/>
          </w:tcPr>
          <w:p w:rsidR="00566BA7" w:rsidRPr="00A41FB4" w:rsidRDefault="00566BA7" w:rsidP="00651CAD">
            <w:pPr>
              <w:jc w:val="center"/>
              <w:rPr>
                <w:b/>
              </w:rPr>
            </w:pPr>
            <w:r w:rsidRPr="00A41FB4">
              <w:rPr>
                <w:b/>
              </w:rPr>
              <w:t>After the amendment</w:t>
            </w:r>
          </w:p>
        </w:tc>
      </w:tr>
      <w:tr w:rsidR="00566BA7" w:rsidTr="00566BA7">
        <w:tc>
          <w:tcPr>
            <w:tcW w:w="4360" w:type="dxa"/>
          </w:tcPr>
          <w:p w:rsidR="00E820B5" w:rsidRDefault="00E820B5" w:rsidP="00651CAD">
            <w:pPr>
              <w:pStyle w:val="NormalWeb"/>
              <w:shd w:val="clear" w:color="auto" w:fill="FFFFFF"/>
              <w:spacing w:after="80"/>
              <w:ind w:left="60" w:right="60"/>
              <w:jc w:val="both"/>
              <w:rPr>
                <w:color w:val="000000"/>
              </w:rPr>
            </w:pPr>
            <w:r>
              <w:rPr>
                <w:b/>
                <w:bCs/>
                <w:color w:val="000000"/>
              </w:rPr>
              <w:t xml:space="preserve">Penalty </w:t>
            </w:r>
          </w:p>
          <w:p w:rsidR="00566BA7" w:rsidRDefault="00651CAD" w:rsidP="00651CAD">
            <w:pPr>
              <w:jc w:val="both"/>
            </w:pPr>
            <w:r>
              <w:rPr>
                <w:b/>
                <w:bCs/>
                <w:color w:val="000000"/>
              </w:rPr>
              <w:t xml:space="preserve">Rule </w:t>
            </w:r>
            <w:r w:rsidR="00E820B5">
              <w:rPr>
                <w:b/>
                <w:bCs/>
                <w:color w:val="000000"/>
              </w:rPr>
              <w:t>5.</w:t>
            </w:r>
            <w:r w:rsidR="00E820B5">
              <w:rPr>
                <w:color w:val="000000"/>
              </w:rPr>
              <w:t xml:space="preserve"> If One Person Company or any officer of such company contravenes the provisions of these rules, One Person Company or any officer of the One Person Company shall be punishable with fine which may extend to ten thousand rupees and with a further fine which may extend to one thousand rupees for every day after the first during which such contravention continues</w:t>
            </w:r>
            <w:r w:rsidR="00A41FB4">
              <w:rPr>
                <w:color w:val="000000"/>
              </w:rPr>
              <w:t>.</w:t>
            </w:r>
          </w:p>
        </w:tc>
        <w:tc>
          <w:tcPr>
            <w:tcW w:w="4361" w:type="dxa"/>
          </w:tcPr>
          <w:p w:rsidR="00566BA7" w:rsidRDefault="00566BA7" w:rsidP="00651CAD">
            <w:pPr>
              <w:jc w:val="both"/>
            </w:pPr>
            <w:r w:rsidRPr="00651CAD">
              <w:rPr>
                <w:b/>
              </w:rPr>
              <w:t>Rule 5 has been omitted</w:t>
            </w:r>
            <w:r>
              <w:t>.</w:t>
            </w:r>
          </w:p>
        </w:tc>
      </w:tr>
      <w:tr w:rsidR="00566BA7" w:rsidTr="00566BA7">
        <w:tc>
          <w:tcPr>
            <w:tcW w:w="4360" w:type="dxa"/>
          </w:tcPr>
          <w:p w:rsidR="00566BA7" w:rsidRDefault="00DC71FA" w:rsidP="00651CAD">
            <w:pPr>
              <w:jc w:val="both"/>
            </w:pPr>
            <w:r>
              <w:rPr>
                <w:b/>
                <w:bCs/>
                <w:color w:val="000000"/>
              </w:rPr>
              <w:t xml:space="preserve">Rule </w:t>
            </w:r>
            <w:r w:rsidR="00A41FB4">
              <w:rPr>
                <w:b/>
                <w:bCs/>
                <w:color w:val="000000"/>
              </w:rPr>
              <w:t>6.</w:t>
            </w:r>
            <w:r w:rsidR="00A41FB4">
              <w:rPr>
                <w:color w:val="000000"/>
              </w:rPr>
              <w:t xml:space="preserve"> (1) Where the paid up share capital of an One Person Company exceeds fifty lakh rupees or its average annual turnover during the relevant period exceeds two crore rupees, it shall cease to be entitled to continue as a One Person Company.</w:t>
            </w:r>
          </w:p>
        </w:tc>
        <w:tc>
          <w:tcPr>
            <w:tcW w:w="4361" w:type="dxa"/>
          </w:tcPr>
          <w:p w:rsidR="00566BA7" w:rsidRDefault="00DC71FA" w:rsidP="00651CAD">
            <w:pPr>
              <w:jc w:val="both"/>
            </w:pPr>
            <w:r>
              <w:rPr>
                <w:b/>
                <w:bCs/>
                <w:color w:val="000000"/>
              </w:rPr>
              <w:t xml:space="preserve">Rule </w:t>
            </w:r>
            <w:r w:rsidR="00A41FB4">
              <w:rPr>
                <w:b/>
                <w:bCs/>
                <w:color w:val="000000"/>
              </w:rPr>
              <w:t>6.</w:t>
            </w:r>
            <w:r w:rsidR="00A41FB4">
              <w:rPr>
                <w:color w:val="000000"/>
              </w:rPr>
              <w:t xml:space="preserve"> (1) Where the paid up share capital of an One Person Company exceeds fifty lakh rupees </w:t>
            </w:r>
            <w:r w:rsidR="00A41FB4" w:rsidRPr="00A41FB4">
              <w:rPr>
                <w:b/>
                <w:color w:val="000000"/>
              </w:rPr>
              <w:t xml:space="preserve">and </w:t>
            </w:r>
            <w:r w:rsidR="00A41FB4">
              <w:rPr>
                <w:color w:val="000000"/>
              </w:rPr>
              <w:t>its average annual turnover during the relevant period exceeds two crore rupees, it shall cease to be entitled to continue as a One Person Company</w:t>
            </w:r>
          </w:p>
        </w:tc>
      </w:tr>
      <w:tr w:rsidR="00E820B5" w:rsidTr="00566BA7">
        <w:tc>
          <w:tcPr>
            <w:tcW w:w="4360" w:type="dxa"/>
          </w:tcPr>
          <w:p w:rsidR="00E820B5" w:rsidRDefault="00DC71FA" w:rsidP="00651CAD">
            <w:pPr>
              <w:jc w:val="both"/>
            </w:pPr>
            <w:r>
              <w:rPr>
                <w:rFonts w:ascii="Times New Roman" w:eastAsia="Times New Roman" w:hAnsi="Times New Roman" w:cs="Times New Roman"/>
                <w:b/>
                <w:bCs/>
                <w:color w:val="000000"/>
                <w:sz w:val="24"/>
                <w:szCs w:val="24"/>
                <w:lang w:eastAsia="en-IN"/>
              </w:rPr>
              <w:t xml:space="preserve">Rule </w:t>
            </w:r>
            <w:r w:rsidR="00E820B5" w:rsidRPr="00726EBC">
              <w:rPr>
                <w:rFonts w:ascii="Times New Roman" w:eastAsia="Times New Roman" w:hAnsi="Times New Roman" w:cs="Times New Roman"/>
                <w:b/>
                <w:bCs/>
                <w:color w:val="000000"/>
                <w:sz w:val="24"/>
                <w:szCs w:val="24"/>
                <w:lang w:eastAsia="en-IN"/>
              </w:rPr>
              <w:t>7.</w:t>
            </w:r>
            <w:r w:rsidR="00E820B5" w:rsidRPr="00726EBC">
              <w:rPr>
                <w:rFonts w:ascii="Times New Roman" w:eastAsia="Times New Roman" w:hAnsi="Times New Roman" w:cs="Times New Roman"/>
                <w:color w:val="000000"/>
                <w:sz w:val="24"/>
                <w:szCs w:val="24"/>
                <w:lang w:eastAsia="en-IN"/>
              </w:rPr>
              <w:t xml:space="preserve"> (1) A private company other than a company registered under section 8 of the Act having paid up share capital of fifty lakhs rupees or less or average annual turnover during the relevant period is two </w:t>
            </w:r>
            <w:r w:rsidR="00E820B5" w:rsidRPr="00726EBC">
              <w:rPr>
                <w:rFonts w:ascii="Times New Roman" w:eastAsia="Times New Roman" w:hAnsi="Times New Roman" w:cs="Times New Roman"/>
                <w:color w:val="000000"/>
                <w:sz w:val="24"/>
                <w:szCs w:val="24"/>
                <w:lang w:eastAsia="en-IN"/>
              </w:rPr>
              <w:lastRenderedPageBreak/>
              <w:t>crore rupees or less may convert itself into one person company by passing a special resolution in the general meeting</w:t>
            </w:r>
          </w:p>
        </w:tc>
        <w:tc>
          <w:tcPr>
            <w:tcW w:w="4361" w:type="dxa"/>
          </w:tcPr>
          <w:p w:rsidR="00E820B5" w:rsidRDefault="00DC71FA" w:rsidP="00651CAD">
            <w:pPr>
              <w:jc w:val="both"/>
            </w:pPr>
            <w:r>
              <w:rPr>
                <w:rFonts w:ascii="Times New Roman" w:eastAsia="Times New Roman" w:hAnsi="Times New Roman" w:cs="Times New Roman"/>
                <w:b/>
                <w:bCs/>
                <w:color w:val="000000"/>
                <w:sz w:val="24"/>
                <w:szCs w:val="24"/>
                <w:lang w:eastAsia="en-IN"/>
              </w:rPr>
              <w:lastRenderedPageBreak/>
              <w:t xml:space="preserve">Rule </w:t>
            </w:r>
            <w:r w:rsidR="00E820B5" w:rsidRPr="00726EBC">
              <w:rPr>
                <w:rFonts w:ascii="Times New Roman" w:eastAsia="Times New Roman" w:hAnsi="Times New Roman" w:cs="Times New Roman"/>
                <w:b/>
                <w:bCs/>
                <w:color w:val="000000"/>
                <w:sz w:val="24"/>
                <w:szCs w:val="24"/>
                <w:lang w:eastAsia="en-IN"/>
              </w:rPr>
              <w:t>7.</w:t>
            </w:r>
            <w:r w:rsidR="00E820B5" w:rsidRPr="00726EBC">
              <w:rPr>
                <w:rFonts w:ascii="Times New Roman" w:eastAsia="Times New Roman" w:hAnsi="Times New Roman" w:cs="Times New Roman"/>
                <w:color w:val="000000"/>
                <w:sz w:val="24"/>
                <w:szCs w:val="24"/>
                <w:lang w:eastAsia="en-IN"/>
              </w:rPr>
              <w:t xml:space="preserve"> (1) A private company other than a company registered under section 8 of the Act having paid up share capital of fifty lakhs rupees or less </w:t>
            </w:r>
            <w:r w:rsidR="00E820B5" w:rsidRPr="00E820B5">
              <w:rPr>
                <w:rFonts w:ascii="Times New Roman" w:eastAsia="Times New Roman" w:hAnsi="Times New Roman" w:cs="Times New Roman"/>
                <w:b/>
                <w:color w:val="000000"/>
                <w:sz w:val="24"/>
                <w:szCs w:val="24"/>
                <w:lang w:eastAsia="en-IN"/>
              </w:rPr>
              <w:t>and</w:t>
            </w:r>
            <w:r w:rsidR="00E820B5" w:rsidRPr="00726EBC">
              <w:rPr>
                <w:rFonts w:ascii="Times New Roman" w:eastAsia="Times New Roman" w:hAnsi="Times New Roman" w:cs="Times New Roman"/>
                <w:color w:val="000000"/>
                <w:sz w:val="24"/>
                <w:szCs w:val="24"/>
                <w:lang w:eastAsia="en-IN"/>
              </w:rPr>
              <w:t xml:space="preserve"> average annual turnover during the relevant period </w:t>
            </w:r>
            <w:r w:rsidR="00E820B5" w:rsidRPr="00726EBC">
              <w:rPr>
                <w:rFonts w:ascii="Times New Roman" w:eastAsia="Times New Roman" w:hAnsi="Times New Roman" w:cs="Times New Roman"/>
                <w:color w:val="000000"/>
                <w:sz w:val="24"/>
                <w:szCs w:val="24"/>
                <w:lang w:eastAsia="en-IN"/>
              </w:rPr>
              <w:lastRenderedPageBreak/>
              <w:t>is two crore rupees or less may convert itself into one person company by passing a special resolution in the general meeting</w:t>
            </w:r>
          </w:p>
        </w:tc>
      </w:tr>
      <w:tr w:rsidR="00E820B5" w:rsidRPr="00E820B5" w:rsidTr="00566BA7">
        <w:tc>
          <w:tcPr>
            <w:tcW w:w="4360" w:type="dxa"/>
          </w:tcPr>
          <w:p w:rsidR="00E820B5" w:rsidRPr="00E820B5" w:rsidRDefault="00E820B5" w:rsidP="00651CAD">
            <w:pPr>
              <w:jc w:val="center"/>
              <w:rPr>
                <w:rFonts w:ascii="Times New Roman" w:eastAsia="Times New Roman" w:hAnsi="Times New Roman" w:cs="Times New Roman"/>
                <w:bCs/>
                <w:color w:val="000000"/>
                <w:sz w:val="24"/>
                <w:szCs w:val="24"/>
                <w:lang w:eastAsia="en-IN"/>
              </w:rPr>
            </w:pPr>
            <w:r w:rsidRPr="00E820B5">
              <w:rPr>
                <w:rFonts w:ascii="Times New Roman" w:eastAsia="Times New Roman" w:hAnsi="Times New Roman" w:cs="Times New Roman"/>
                <w:bCs/>
                <w:color w:val="000000"/>
                <w:sz w:val="24"/>
                <w:szCs w:val="24"/>
                <w:lang w:eastAsia="en-IN"/>
              </w:rPr>
              <w:lastRenderedPageBreak/>
              <w:t>NIL</w:t>
            </w:r>
          </w:p>
        </w:tc>
        <w:tc>
          <w:tcPr>
            <w:tcW w:w="4361" w:type="dxa"/>
          </w:tcPr>
          <w:p w:rsidR="00E820B5" w:rsidRPr="00E820B5" w:rsidRDefault="00E820B5" w:rsidP="00651CAD">
            <w:pPr>
              <w:jc w:val="both"/>
              <w:rPr>
                <w:rFonts w:ascii="Times New Roman" w:eastAsia="Times New Roman" w:hAnsi="Times New Roman" w:cs="Times New Roman"/>
                <w:b/>
                <w:bCs/>
                <w:color w:val="000000"/>
                <w:sz w:val="24"/>
                <w:szCs w:val="24"/>
                <w:lang w:eastAsia="en-IN"/>
              </w:rPr>
            </w:pPr>
            <w:r w:rsidRPr="00E820B5">
              <w:rPr>
                <w:rFonts w:ascii="Times New Roman" w:eastAsia="Times New Roman" w:hAnsi="Times New Roman" w:cs="Times New Roman"/>
                <w:b/>
                <w:bCs/>
                <w:color w:val="000000"/>
                <w:sz w:val="24"/>
                <w:szCs w:val="24"/>
                <w:lang w:eastAsia="en-IN"/>
              </w:rPr>
              <w:t>After Rule 7 the following rule is instered:</w:t>
            </w:r>
          </w:p>
          <w:p w:rsidR="00E820B5" w:rsidRPr="00E820B5" w:rsidRDefault="00E820B5" w:rsidP="00651CAD">
            <w:pPr>
              <w:jc w:val="both"/>
              <w:rPr>
                <w:rFonts w:ascii="Times New Roman" w:eastAsia="Times New Roman" w:hAnsi="Times New Roman" w:cs="Times New Roman"/>
                <w:bCs/>
                <w:color w:val="000000"/>
                <w:sz w:val="24"/>
                <w:szCs w:val="24"/>
                <w:lang w:eastAsia="en-IN"/>
              </w:rPr>
            </w:pPr>
            <w:r w:rsidRPr="00E820B5">
              <w:rPr>
                <w:rFonts w:ascii="Times New Roman" w:eastAsia="Times New Roman" w:hAnsi="Times New Roman" w:cs="Times New Roman"/>
                <w:b/>
                <w:bCs/>
                <w:color w:val="000000"/>
                <w:sz w:val="24"/>
                <w:szCs w:val="24"/>
                <w:lang w:eastAsia="en-IN"/>
              </w:rPr>
              <w:t>7A Penalty</w:t>
            </w:r>
            <w:r w:rsidRPr="00E820B5">
              <w:rPr>
                <w:rFonts w:ascii="Times New Roman" w:eastAsia="Times New Roman" w:hAnsi="Times New Roman" w:cs="Times New Roman"/>
                <w:bCs/>
                <w:color w:val="000000"/>
                <w:sz w:val="24"/>
                <w:szCs w:val="24"/>
                <w:lang w:eastAsia="en-IN"/>
              </w:rPr>
              <w:t xml:space="preserve">: If a One Person Company or any officer of such company contravenes any of the provisions of these rules, the One Person Company or any officer of the such Company shall be punishable with fine which may extend to five thousand rupees and with a further fine which may extend to five hundred rupees for every day after the first </w:t>
            </w:r>
            <w:r>
              <w:rPr>
                <w:rFonts w:ascii="Times New Roman" w:eastAsia="Times New Roman" w:hAnsi="Times New Roman" w:cs="Times New Roman"/>
                <w:bCs/>
                <w:color w:val="000000"/>
                <w:sz w:val="24"/>
                <w:szCs w:val="24"/>
                <w:lang w:eastAsia="en-IN"/>
              </w:rPr>
              <w:t xml:space="preserve">of </w:t>
            </w:r>
            <w:r w:rsidRPr="00E820B5">
              <w:rPr>
                <w:rFonts w:ascii="Times New Roman" w:eastAsia="Times New Roman" w:hAnsi="Times New Roman" w:cs="Times New Roman"/>
                <w:bCs/>
                <w:color w:val="000000"/>
                <w:sz w:val="24"/>
                <w:szCs w:val="24"/>
                <w:lang w:eastAsia="en-IN"/>
              </w:rPr>
              <w:t xml:space="preserve">offence </w:t>
            </w:r>
            <w:r>
              <w:rPr>
                <w:rFonts w:ascii="Times New Roman" w:eastAsia="Times New Roman" w:hAnsi="Times New Roman" w:cs="Times New Roman"/>
                <w:bCs/>
                <w:color w:val="000000"/>
                <w:sz w:val="24"/>
                <w:szCs w:val="24"/>
                <w:lang w:eastAsia="en-IN"/>
              </w:rPr>
              <w:t>d</w:t>
            </w:r>
            <w:r w:rsidRPr="00E820B5">
              <w:rPr>
                <w:rFonts w:ascii="Times New Roman" w:eastAsia="Times New Roman" w:hAnsi="Times New Roman" w:cs="Times New Roman"/>
                <w:bCs/>
                <w:color w:val="000000"/>
                <w:sz w:val="24"/>
                <w:szCs w:val="24"/>
                <w:lang w:eastAsia="en-IN"/>
              </w:rPr>
              <w:t>uring which such contraventions continues.</w:t>
            </w:r>
          </w:p>
        </w:tc>
      </w:tr>
      <w:tr w:rsidR="00E820B5" w:rsidRPr="00E820B5" w:rsidTr="00566BA7">
        <w:tc>
          <w:tcPr>
            <w:tcW w:w="4360" w:type="dxa"/>
          </w:tcPr>
          <w:p w:rsidR="003374FF" w:rsidRPr="00651CAD" w:rsidRDefault="003374FF" w:rsidP="00651CAD">
            <w:pPr>
              <w:jc w:val="both"/>
              <w:rPr>
                <w:rFonts w:ascii="Times New Roman" w:eastAsia="Times New Roman" w:hAnsi="Times New Roman" w:cs="Times New Roman"/>
                <w:b/>
                <w:sz w:val="24"/>
                <w:szCs w:val="24"/>
                <w:lang w:eastAsia="en-IN"/>
              </w:rPr>
            </w:pPr>
            <w:r w:rsidRPr="00651CAD">
              <w:rPr>
                <w:rFonts w:ascii="Times New Roman" w:eastAsia="Times New Roman" w:hAnsi="Times New Roman" w:cs="Times New Roman"/>
                <w:b/>
                <w:sz w:val="24"/>
                <w:szCs w:val="24"/>
                <w:lang w:eastAsia="en-IN"/>
              </w:rPr>
              <w:t>Rule 8(2)(b)(xi):</w:t>
            </w:r>
          </w:p>
          <w:p w:rsidR="00E820B5" w:rsidRDefault="00E820B5" w:rsidP="00651CAD">
            <w:pPr>
              <w:jc w:val="both"/>
              <w:rPr>
                <w:rFonts w:ascii="Times New Roman" w:eastAsia="Times New Roman" w:hAnsi="Times New Roman" w:cs="Times New Roman"/>
                <w:sz w:val="24"/>
                <w:szCs w:val="24"/>
                <w:lang w:eastAsia="en-IN"/>
              </w:rPr>
            </w:pPr>
            <w:r w:rsidRPr="004C4E1D">
              <w:rPr>
                <w:rFonts w:ascii="Times New Roman" w:eastAsia="Times New Roman" w:hAnsi="Times New Roman" w:cs="Times New Roman"/>
                <w:sz w:val="24"/>
                <w:szCs w:val="24"/>
                <w:lang w:eastAsia="en-IN"/>
              </w:rPr>
              <w:t>the proposed name is identical to the name of a company dissolved as a result of liquidation proceeding and a period of two years have not elapsed from the date of such dissolution:</w:t>
            </w:r>
          </w:p>
          <w:p w:rsidR="003374FF" w:rsidRPr="004C4E1D" w:rsidRDefault="003374FF" w:rsidP="00651CAD">
            <w:pPr>
              <w:jc w:val="both"/>
              <w:rPr>
                <w:rFonts w:ascii="Times New Roman" w:eastAsia="Times New Roman" w:hAnsi="Times New Roman" w:cs="Times New Roman"/>
                <w:sz w:val="24"/>
                <w:szCs w:val="24"/>
                <w:lang w:eastAsia="en-IN"/>
              </w:rPr>
            </w:pPr>
            <w:r w:rsidRPr="004C4E1D">
              <w:rPr>
                <w:rFonts w:ascii="Times New Roman" w:eastAsia="Times New Roman" w:hAnsi="Times New Roman" w:cs="Times New Roman"/>
                <w:b/>
                <w:bCs/>
                <w:sz w:val="24"/>
                <w:szCs w:val="24"/>
                <w:lang w:eastAsia="en-IN"/>
              </w:rPr>
              <w:t>Provided</w:t>
            </w:r>
            <w:r w:rsidRPr="004C4E1D">
              <w:rPr>
                <w:rFonts w:ascii="Times New Roman" w:eastAsia="Times New Roman" w:hAnsi="Times New Roman" w:cs="Times New Roman"/>
                <w:sz w:val="24"/>
                <w:szCs w:val="24"/>
                <w:lang w:eastAsia="en-IN"/>
              </w:rPr>
              <w:t xml:space="preserve"> that if the proposed name is identical with the name of a company which is struck off in pursuance of action </w:t>
            </w:r>
            <w:r w:rsidRPr="003374FF">
              <w:rPr>
                <w:rFonts w:ascii="Times New Roman" w:eastAsia="Times New Roman" w:hAnsi="Times New Roman" w:cs="Times New Roman"/>
                <w:b/>
                <w:sz w:val="24"/>
                <w:szCs w:val="24"/>
                <w:lang w:eastAsia="en-IN"/>
              </w:rPr>
              <w:t>under section 248 of the Act</w:t>
            </w:r>
            <w:r w:rsidRPr="004C4E1D">
              <w:rPr>
                <w:rFonts w:ascii="Times New Roman" w:eastAsia="Times New Roman" w:hAnsi="Times New Roman" w:cs="Times New Roman"/>
                <w:sz w:val="24"/>
                <w:szCs w:val="24"/>
                <w:lang w:eastAsia="en-IN"/>
              </w:rPr>
              <w:t>, then the same shall not be allowed before the expiry of twenty years from the publication in the Official Gazette being so struck off;</w:t>
            </w:r>
          </w:p>
        </w:tc>
        <w:tc>
          <w:tcPr>
            <w:tcW w:w="4361" w:type="dxa"/>
          </w:tcPr>
          <w:p w:rsidR="003374FF" w:rsidRPr="00651CAD" w:rsidRDefault="003374FF" w:rsidP="00651CAD">
            <w:pPr>
              <w:jc w:val="both"/>
              <w:rPr>
                <w:rFonts w:ascii="Times New Roman" w:eastAsia="Times New Roman" w:hAnsi="Times New Roman" w:cs="Times New Roman"/>
                <w:b/>
                <w:sz w:val="24"/>
                <w:szCs w:val="24"/>
                <w:lang w:eastAsia="en-IN"/>
              </w:rPr>
            </w:pPr>
            <w:r w:rsidRPr="00651CAD">
              <w:rPr>
                <w:rFonts w:ascii="Times New Roman" w:eastAsia="Times New Roman" w:hAnsi="Times New Roman" w:cs="Times New Roman"/>
                <w:b/>
                <w:sz w:val="24"/>
                <w:szCs w:val="24"/>
                <w:lang w:eastAsia="en-IN"/>
              </w:rPr>
              <w:t>Rule 8(2)(b)(xi):</w:t>
            </w:r>
          </w:p>
          <w:p w:rsidR="003374FF" w:rsidRDefault="003374FF" w:rsidP="00651CAD">
            <w:pPr>
              <w:jc w:val="both"/>
              <w:rPr>
                <w:rFonts w:ascii="Times New Roman" w:eastAsia="Times New Roman" w:hAnsi="Times New Roman" w:cs="Times New Roman"/>
                <w:sz w:val="24"/>
                <w:szCs w:val="24"/>
                <w:lang w:eastAsia="en-IN"/>
              </w:rPr>
            </w:pPr>
            <w:r w:rsidRPr="004C4E1D">
              <w:rPr>
                <w:rFonts w:ascii="Times New Roman" w:eastAsia="Times New Roman" w:hAnsi="Times New Roman" w:cs="Times New Roman"/>
                <w:sz w:val="24"/>
                <w:szCs w:val="24"/>
                <w:lang w:eastAsia="en-IN"/>
              </w:rPr>
              <w:t>the proposed name is identical to the name of a company dissolved as a result of liquidation proceeding and a period of two years have not elapsed from the date of such dissolution:</w:t>
            </w:r>
          </w:p>
          <w:p w:rsidR="00E820B5" w:rsidRPr="00E820B5" w:rsidRDefault="003374FF" w:rsidP="00651CAD">
            <w:pPr>
              <w:jc w:val="both"/>
              <w:rPr>
                <w:rFonts w:ascii="Times New Roman" w:eastAsia="Times New Roman" w:hAnsi="Times New Roman" w:cs="Times New Roman"/>
                <w:b/>
                <w:bCs/>
                <w:color w:val="000000"/>
                <w:sz w:val="24"/>
                <w:szCs w:val="24"/>
                <w:lang w:eastAsia="en-IN"/>
              </w:rPr>
            </w:pPr>
            <w:r w:rsidRPr="004C4E1D">
              <w:rPr>
                <w:rFonts w:ascii="Times New Roman" w:eastAsia="Times New Roman" w:hAnsi="Times New Roman" w:cs="Times New Roman"/>
                <w:b/>
                <w:bCs/>
                <w:sz w:val="24"/>
                <w:szCs w:val="24"/>
                <w:lang w:eastAsia="en-IN"/>
              </w:rPr>
              <w:t>Provided</w:t>
            </w:r>
            <w:r w:rsidRPr="004C4E1D">
              <w:rPr>
                <w:rFonts w:ascii="Times New Roman" w:eastAsia="Times New Roman" w:hAnsi="Times New Roman" w:cs="Times New Roman"/>
                <w:sz w:val="24"/>
                <w:szCs w:val="24"/>
                <w:lang w:eastAsia="en-IN"/>
              </w:rPr>
              <w:t xml:space="preserve"> that if the proposed name is identical with the name of a company which is struck off in pursuance of action </w:t>
            </w:r>
            <w:r w:rsidRPr="003374FF">
              <w:rPr>
                <w:rFonts w:ascii="Times New Roman" w:eastAsia="Times New Roman" w:hAnsi="Times New Roman" w:cs="Times New Roman"/>
                <w:b/>
                <w:sz w:val="24"/>
                <w:szCs w:val="24"/>
                <w:lang w:eastAsia="en-IN"/>
              </w:rPr>
              <w:t>under section 560 of the Companines Act, 1956 (1 of 1956)</w:t>
            </w:r>
            <w:r>
              <w:rPr>
                <w:rFonts w:ascii="Times New Roman" w:eastAsia="Times New Roman" w:hAnsi="Times New Roman" w:cs="Times New Roman"/>
                <w:sz w:val="24"/>
                <w:szCs w:val="24"/>
                <w:lang w:eastAsia="en-IN"/>
              </w:rPr>
              <w:t xml:space="preserve"> </w:t>
            </w:r>
            <w:r w:rsidRPr="004C4E1D">
              <w:rPr>
                <w:rFonts w:ascii="Times New Roman" w:eastAsia="Times New Roman" w:hAnsi="Times New Roman" w:cs="Times New Roman"/>
                <w:sz w:val="24"/>
                <w:szCs w:val="24"/>
                <w:lang w:eastAsia="en-IN"/>
              </w:rPr>
              <w:t>, then the same shall not be allowed before the expiry of twenty years from the publication in the Official Gazette being so struck off;</w:t>
            </w:r>
          </w:p>
        </w:tc>
      </w:tr>
      <w:tr w:rsidR="003374FF" w:rsidRPr="00E820B5" w:rsidTr="00566BA7">
        <w:tc>
          <w:tcPr>
            <w:tcW w:w="4360" w:type="dxa"/>
          </w:tcPr>
          <w:p w:rsidR="003374FF" w:rsidRPr="00651CAD" w:rsidRDefault="003374FF" w:rsidP="000322C9">
            <w:pPr>
              <w:jc w:val="both"/>
              <w:rPr>
                <w:rFonts w:ascii="Times New Roman" w:eastAsia="Times New Roman" w:hAnsi="Times New Roman" w:cs="Times New Roman"/>
                <w:b/>
                <w:sz w:val="24"/>
                <w:szCs w:val="24"/>
                <w:lang w:eastAsia="en-IN"/>
              </w:rPr>
            </w:pPr>
            <w:r w:rsidRPr="00651CAD">
              <w:rPr>
                <w:rFonts w:ascii="Times New Roman" w:eastAsia="Times New Roman" w:hAnsi="Times New Roman" w:cs="Times New Roman"/>
                <w:b/>
                <w:sz w:val="24"/>
                <w:szCs w:val="24"/>
                <w:lang w:eastAsia="en-IN"/>
              </w:rPr>
              <w:t>Rule 16(1)(q):</w:t>
            </w:r>
          </w:p>
          <w:p w:rsidR="003374FF" w:rsidRPr="003F43D4" w:rsidRDefault="003374FF" w:rsidP="003374FF">
            <w:pPr>
              <w:shd w:val="clear" w:color="auto" w:fill="FFFFFF"/>
              <w:spacing w:after="80"/>
              <w:ind w:left="60" w:right="60"/>
              <w:jc w:val="both"/>
              <w:rPr>
                <w:rFonts w:ascii="Times New Roman" w:eastAsia="Times New Roman" w:hAnsi="Times New Roman" w:cs="Times New Roman"/>
                <w:color w:val="000000"/>
                <w:sz w:val="24"/>
                <w:szCs w:val="24"/>
                <w:lang w:eastAsia="en-IN"/>
              </w:rPr>
            </w:pPr>
            <w:r w:rsidRPr="003F43D4">
              <w:rPr>
                <w:rFonts w:ascii="Times New Roman" w:eastAsia="Times New Roman" w:hAnsi="Times New Roman" w:cs="Times New Roman"/>
                <w:b/>
                <w:bCs/>
                <w:color w:val="000000"/>
                <w:sz w:val="24"/>
                <w:szCs w:val="24"/>
                <w:lang w:eastAsia="en-IN"/>
              </w:rPr>
              <w:t xml:space="preserve">16. </w:t>
            </w:r>
            <w:r w:rsidRPr="003F43D4">
              <w:rPr>
                <w:rFonts w:ascii="Times New Roman" w:eastAsia="Times New Roman" w:hAnsi="Times New Roman" w:cs="Times New Roman"/>
                <w:color w:val="000000"/>
                <w:sz w:val="24"/>
                <w:szCs w:val="24"/>
                <w:lang w:eastAsia="en-IN"/>
              </w:rPr>
              <w:t>(1) The following particulars of every subscriber to the memorandum shall be filed with the Registrar—</w:t>
            </w:r>
          </w:p>
          <w:p w:rsidR="003374FF" w:rsidRDefault="003374FF" w:rsidP="000322C9">
            <w:pPr>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(q) </w:t>
            </w:r>
            <w:r w:rsidRPr="003F43D4">
              <w:rPr>
                <w:rFonts w:ascii="Times New Roman" w:eastAsia="Times New Roman" w:hAnsi="Times New Roman" w:cs="Times New Roman"/>
                <w:sz w:val="24"/>
                <w:szCs w:val="24"/>
                <w:lang w:eastAsia="en-IN"/>
              </w:rPr>
              <w:t>the specimen signature and latest photograph duly verified by the banker or notary shall be in the prescribed Form No.INC.10.</w:t>
            </w:r>
          </w:p>
        </w:tc>
        <w:tc>
          <w:tcPr>
            <w:tcW w:w="4361" w:type="dxa"/>
          </w:tcPr>
          <w:p w:rsidR="003374FF" w:rsidRPr="00651CAD" w:rsidRDefault="003374FF" w:rsidP="003374FF">
            <w:pPr>
              <w:jc w:val="both"/>
              <w:rPr>
                <w:rFonts w:ascii="Times New Roman" w:eastAsia="Times New Roman" w:hAnsi="Times New Roman" w:cs="Times New Roman"/>
                <w:b/>
                <w:sz w:val="24"/>
                <w:szCs w:val="24"/>
                <w:lang w:eastAsia="en-IN"/>
              </w:rPr>
            </w:pPr>
            <w:r w:rsidRPr="00651CAD">
              <w:rPr>
                <w:rFonts w:ascii="Times New Roman" w:eastAsia="Times New Roman" w:hAnsi="Times New Roman" w:cs="Times New Roman"/>
                <w:b/>
                <w:sz w:val="24"/>
                <w:szCs w:val="24"/>
                <w:lang w:eastAsia="en-IN"/>
              </w:rPr>
              <w:t>Rule 16(1)(q):</w:t>
            </w:r>
          </w:p>
          <w:p w:rsidR="003374FF" w:rsidRPr="003F43D4" w:rsidRDefault="003374FF" w:rsidP="003374FF">
            <w:pPr>
              <w:shd w:val="clear" w:color="auto" w:fill="FFFFFF"/>
              <w:spacing w:after="80"/>
              <w:ind w:left="60" w:right="60"/>
              <w:jc w:val="both"/>
              <w:rPr>
                <w:rFonts w:ascii="Times New Roman" w:eastAsia="Times New Roman" w:hAnsi="Times New Roman" w:cs="Times New Roman"/>
                <w:color w:val="000000"/>
                <w:sz w:val="24"/>
                <w:szCs w:val="24"/>
                <w:lang w:eastAsia="en-IN"/>
              </w:rPr>
            </w:pPr>
            <w:r w:rsidRPr="003F43D4">
              <w:rPr>
                <w:rFonts w:ascii="Times New Roman" w:eastAsia="Times New Roman" w:hAnsi="Times New Roman" w:cs="Times New Roman"/>
                <w:b/>
                <w:bCs/>
                <w:color w:val="000000"/>
                <w:sz w:val="24"/>
                <w:szCs w:val="24"/>
                <w:lang w:eastAsia="en-IN"/>
              </w:rPr>
              <w:t xml:space="preserve">16. </w:t>
            </w:r>
            <w:r w:rsidRPr="003F43D4">
              <w:rPr>
                <w:rFonts w:ascii="Times New Roman" w:eastAsia="Times New Roman" w:hAnsi="Times New Roman" w:cs="Times New Roman"/>
                <w:color w:val="000000"/>
                <w:sz w:val="24"/>
                <w:szCs w:val="24"/>
                <w:lang w:eastAsia="en-IN"/>
              </w:rPr>
              <w:t>(1) The following particulars of every subscriber to the memorandum shall be filed with the Registrar—</w:t>
            </w:r>
          </w:p>
          <w:p w:rsidR="003374FF" w:rsidRDefault="003374FF" w:rsidP="003374FF">
            <w:pPr>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(q) </w:t>
            </w:r>
            <w:r w:rsidRPr="003374FF">
              <w:rPr>
                <w:rFonts w:ascii="Times New Roman" w:eastAsia="Times New Roman" w:hAnsi="Times New Roman" w:cs="Times New Roman"/>
                <w:b/>
                <w:sz w:val="24"/>
                <w:szCs w:val="24"/>
                <w:lang w:eastAsia="en-IN"/>
              </w:rPr>
              <w:t>the promoter or first director shall self attest his signature and laest photograph in Form No. INC-10.</w:t>
            </w:r>
          </w:p>
        </w:tc>
      </w:tr>
      <w:tr w:rsidR="003374FF" w:rsidRPr="00E820B5" w:rsidTr="00566BA7">
        <w:tc>
          <w:tcPr>
            <w:tcW w:w="4360" w:type="dxa"/>
          </w:tcPr>
          <w:p w:rsidR="003374FF" w:rsidRDefault="003374FF" w:rsidP="00651CAD">
            <w:pPr>
              <w:jc w:val="cente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NIL</w:t>
            </w:r>
          </w:p>
        </w:tc>
        <w:tc>
          <w:tcPr>
            <w:tcW w:w="4361" w:type="dxa"/>
          </w:tcPr>
          <w:p w:rsidR="00A41FB4" w:rsidRDefault="003374FF" w:rsidP="003374FF">
            <w:pPr>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After rule 35 the </w:t>
            </w:r>
            <w:r w:rsidR="00DC71FA">
              <w:rPr>
                <w:rFonts w:ascii="Times New Roman" w:eastAsia="Times New Roman" w:hAnsi="Times New Roman" w:cs="Times New Roman"/>
                <w:sz w:val="24"/>
                <w:szCs w:val="24"/>
                <w:lang w:eastAsia="en-IN"/>
              </w:rPr>
              <w:t xml:space="preserve">Rule 36 has been added which is appended below: </w:t>
            </w:r>
          </w:p>
          <w:p w:rsidR="003374FF" w:rsidRDefault="003374FF" w:rsidP="003374FF">
            <w:pPr>
              <w:jc w:val="both"/>
              <w:rPr>
                <w:rFonts w:ascii="Times New Roman" w:eastAsia="Times New Roman" w:hAnsi="Times New Roman" w:cs="Times New Roman"/>
                <w:sz w:val="24"/>
                <w:szCs w:val="24"/>
                <w:lang w:eastAsia="en-IN"/>
              </w:rPr>
            </w:pPr>
          </w:p>
        </w:tc>
      </w:tr>
    </w:tbl>
    <w:p w:rsidR="00566BA7" w:rsidRDefault="00566BA7"/>
    <w:p w:rsidR="00A41FB4" w:rsidRDefault="00A41FB4">
      <w:r>
        <w:rPr>
          <w:noProof/>
          <w:lang w:eastAsia="en-IN"/>
        </w:rPr>
        <w:lastRenderedPageBreak/>
        <w:drawing>
          <wp:inline distT="0" distB="0" distL="0" distR="0">
            <wp:extent cx="5398885" cy="7150608"/>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400675" cy="7152979"/>
                    </a:xfrm>
                    <a:prstGeom prst="rect">
                      <a:avLst/>
                    </a:prstGeom>
                    <a:noFill/>
                    <a:ln w="9525">
                      <a:noFill/>
                      <a:miter lim="800000"/>
                      <a:headEnd/>
                      <a:tailEnd/>
                    </a:ln>
                  </pic:spPr>
                </pic:pic>
              </a:graphicData>
            </a:graphic>
          </wp:inline>
        </w:drawing>
      </w:r>
    </w:p>
    <w:p w:rsidR="00A41FB4" w:rsidRPr="00A41FB4" w:rsidRDefault="00A41FB4" w:rsidP="00A41FB4"/>
    <w:p w:rsidR="00A41FB4" w:rsidRPr="00A41FB4" w:rsidRDefault="00A41FB4" w:rsidP="00A41FB4"/>
    <w:p w:rsidR="00A41FB4" w:rsidRPr="00A41FB4" w:rsidRDefault="00A41FB4" w:rsidP="00A41FB4"/>
    <w:p w:rsidR="00A41FB4" w:rsidRPr="00A41FB4" w:rsidRDefault="00A41FB4" w:rsidP="00A41FB4"/>
    <w:p w:rsidR="00A41FB4" w:rsidRPr="00A41FB4" w:rsidRDefault="00A41FB4" w:rsidP="00A41FB4">
      <w:r>
        <w:rPr>
          <w:noProof/>
          <w:lang w:eastAsia="en-IN"/>
        </w:rPr>
        <w:lastRenderedPageBreak/>
        <w:drawing>
          <wp:inline distT="0" distB="0" distL="0" distR="0">
            <wp:extent cx="5400675" cy="2058222"/>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400675" cy="2058222"/>
                    </a:xfrm>
                    <a:prstGeom prst="rect">
                      <a:avLst/>
                    </a:prstGeom>
                    <a:noFill/>
                    <a:ln w="9525">
                      <a:noFill/>
                      <a:miter lim="800000"/>
                      <a:headEnd/>
                      <a:tailEnd/>
                    </a:ln>
                  </pic:spPr>
                </pic:pic>
              </a:graphicData>
            </a:graphic>
          </wp:inline>
        </w:drawing>
      </w:r>
    </w:p>
    <w:p w:rsidR="00A41FB4" w:rsidRDefault="00A41FB4" w:rsidP="00A41FB4">
      <w:r>
        <w:rPr>
          <w:noProof/>
          <w:lang w:eastAsia="en-IN"/>
        </w:rPr>
        <w:drawing>
          <wp:inline distT="0" distB="0" distL="0" distR="0">
            <wp:extent cx="5400675" cy="187699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400675" cy="1876995"/>
                    </a:xfrm>
                    <a:prstGeom prst="rect">
                      <a:avLst/>
                    </a:prstGeom>
                    <a:noFill/>
                    <a:ln w="9525">
                      <a:noFill/>
                      <a:miter lim="800000"/>
                      <a:headEnd/>
                      <a:tailEnd/>
                    </a:ln>
                  </pic:spPr>
                </pic:pic>
              </a:graphicData>
            </a:graphic>
          </wp:inline>
        </w:drawing>
      </w:r>
    </w:p>
    <w:p w:rsidR="00A41FB4" w:rsidRPr="00A41FB4" w:rsidRDefault="00A41FB4" w:rsidP="00A41FB4">
      <w:pPr>
        <w:tabs>
          <w:tab w:val="left" w:pos="2592"/>
        </w:tabs>
      </w:pPr>
      <w:r>
        <w:rPr>
          <w:noProof/>
          <w:lang w:eastAsia="en-IN"/>
        </w:rPr>
        <w:drawing>
          <wp:inline distT="0" distB="0" distL="0" distR="0">
            <wp:extent cx="5400675" cy="2193541"/>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400675" cy="2193541"/>
                    </a:xfrm>
                    <a:prstGeom prst="rect">
                      <a:avLst/>
                    </a:prstGeom>
                    <a:noFill/>
                    <a:ln w="9525">
                      <a:noFill/>
                      <a:miter lim="800000"/>
                      <a:headEnd/>
                      <a:tailEnd/>
                    </a:ln>
                  </pic:spPr>
                </pic:pic>
              </a:graphicData>
            </a:graphic>
          </wp:inline>
        </w:drawing>
      </w:r>
      <w:r>
        <w:rPr>
          <w:noProof/>
          <w:lang w:eastAsia="en-IN"/>
        </w:rPr>
        <w:drawing>
          <wp:inline distT="0" distB="0" distL="0" distR="0">
            <wp:extent cx="5400675" cy="805173"/>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5400675" cy="805173"/>
                    </a:xfrm>
                    <a:prstGeom prst="rect">
                      <a:avLst/>
                    </a:prstGeom>
                    <a:noFill/>
                    <a:ln w="9525">
                      <a:noFill/>
                      <a:miter lim="800000"/>
                      <a:headEnd/>
                      <a:tailEnd/>
                    </a:ln>
                  </pic:spPr>
                </pic:pic>
              </a:graphicData>
            </a:graphic>
          </wp:inline>
        </w:drawing>
      </w:r>
      <w:r>
        <w:rPr>
          <w:noProof/>
          <w:lang w:eastAsia="en-IN"/>
        </w:rPr>
        <w:lastRenderedPageBreak/>
        <w:drawing>
          <wp:inline distT="0" distB="0" distL="0" distR="0">
            <wp:extent cx="5400675" cy="2585884"/>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400675" cy="2585884"/>
                    </a:xfrm>
                    <a:prstGeom prst="rect">
                      <a:avLst/>
                    </a:prstGeom>
                    <a:noFill/>
                    <a:ln w="9525">
                      <a:noFill/>
                      <a:miter lim="800000"/>
                      <a:headEnd/>
                      <a:tailEnd/>
                    </a:ln>
                  </pic:spPr>
                </pic:pic>
              </a:graphicData>
            </a:graphic>
          </wp:inline>
        </w:drawing>
      </w:r>
      <w:r>
        <w:rPr>
          <w:noProof/>
          <w:lang w:eastAsia="en-IN"/>
        </w:rPr>
        <w:drawing>
          <wp:inline distT="0" distB="0" distL="0" distR="0">
            <wp:extent cx="5400675" cy="1062738"/>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400675" cy="1062738"/>
                    </a:xfrm>
                    <a:prstGeom prst="rect">
                      <a:avLst/>
                    </a:prstGeom>
                    <a:noFill/>
                    <a:ln w="9525">
                      <a:noFill/>
                      <a:miter lim="800000"/>
                      <a:headEnd/>
                      <a:tailEnd/>
                    </a:ln>
                  </pic:spPr>
                </pic:pic>
              </a:graphicData>
            </a:graphic>
          </wp:inline>
        </w:drawing>
      </w:r>
      <w:r>
        <w:tab/>
      </w:r>
    </w:p>
    <w:sectPr w:rsidR="00A41FB4" w:rsidRPr="00A41FB4" w:rsidSect="00566BA7">
      <w:headerReference w:type="default" r:id="rId16"/>
      <w:footerReference w:type="default" r:id="rId17"/>
      <w:pgSz w:w="11907" w:h="16839" w:code="9"/>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40B" w:rsidRDefault="0053440B" w:rsidP="002B0E7D">
      <w:r>
        <w:separator/>
      </w:r>
    </w:p>
  </w:endnote>
  <w:endnote w:type="continuationSeparator" w:id="0">
    <w:p w:rsidR="0053440B" w:rsidRDefault="0053440B" w:rsidP="002B0E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06422"/>
      <w:docPartObj>
        <w:docPartGallery w:val="Page Numbers (Bottom of Page)"/>
        <w:docPartUnique/>
      </w:docPartObj>
    </w:sdtPr>
    <w:sdtContent>
      <w:sdt>
        <w:sdtPr>
          <w:id w:val="565050477"/>
          <w:docPartObj>
            <w:docPartGallery w:val="Page Numbers (Top of Page)"/>
            <w:docPartUnique/>
          </w:docPartObj>
        </w:sdtPr>
        <w:sdtContent>
          <w:p w:rsidR="00DC71FA" w:rsidRDefault="00DC71FA" w:rsidP="00DC71FA">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Pr>
                <w:b/>
                <w:noProof/>
              </w:rPr>
              <w:t>4</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5</w:t>
            </w:r>
            <w:r>
              <w:rPr>
                <w:b/>
                <w:sz w:val="24"/>
                <w:szCs w:val="24"/>
              </w:rPr>
              <w:fldChar w:fldCharType="end"/>
            </w:r>
          </w:p>
        </w:sdtContent>
      </w:sdt>
    </w:sdtContent>
  </w:sdt>
  <w:p w:rsidR="00DC71FA" w:rsidRDefault="00DC71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40B" w:rsidRDefault="0053440B" w:rsidP="002B0E7D">
      <w:r>
        <w:separator/>
      </w:r>
    </w:p>
  </w:footnote>
  <w:footnote w:type="continuationSeparator" w:id="0">
    <w:p w:rsidR="0053440B" w:rsidRDefault="0053440B" w:rsidP="002B0E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E7D" w:rsidRPr="002B0E7D" w:rsidRDefault="002B0E7D" w:rsidP="002B0E7D">
    <w:pPr>
      <w:pStyle w:val="Header"/>
      <w:jc w:val="center"/>
      <w:rPr>
        <w:color w:val="FF0000"/>
      </w:rPr>
    </w:pPr>
    <w:r w:rsidRPr="002B0E7D">
      <w:rPr>
        <w:color w:val="FF0000"/>
      </w:rPr>
      <w:t>Extracts of the Companies (Incorporation) Amendment Rules, 2015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66BA7"/>
    <w:rsid w:val="00115EFA"/>
    <w:rsid w:val="002B0E7D"/>
    <w:rsid w:val="00320255"/>
    <w:rsid w:val="003374FF"/>
    <w:rsid w:val="0053440B"/>
    <w:rsid w:val="00566BA7"/>
    <w:rsid w:val="00651CAD"/>
    <w:rsid w:val="007B40C7"/>
    <w:rsid w:val="007E7A6E"/>
    <w:rsid w:val="008E394D"/>
    <w:rsid w:val="00A41FB4"/>
    <w:rsid w:val="00A61357"/>
    <w:rsid w:val="00B17619"/>
    <w:rsid w:val="00C9777F"/>
    <w:rsid w:val="00CD1A08"/>
    <w:rsid w:val="00DC71FA"/>
    <w:rsid w:val="00E820B5"/>
    <w:rsid w:val="00E86C8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A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66B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820B5"/>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3374FF"/>
    <w:rPr>
      <w:rFonts w:ascii="Tahoma" w:hAnsi="Tahoma" w:cs="Tahoma"/>
      <w:sz w:val="16"/>
      <w:szCs w:val="16"/>
    </w:rPr>
  </w:style>
  <w:style w:type="character" w:customStyle="1" w:styleId="BalloonTextChar">
    <w:name w:val="Balloon Text Char"/>
    <w:basedOn w:val="DefaultParagraphFont"/>
    <w:link w:val="BalloonText"/>
    <w:uiPriority w:val="99"/>
    <w:semiHidden/>
    <w:rsid w:val="003374FF"/>
    <w:rPr>
      <w:rFonts w:ascii="Tahoma" w:hAnsi="Tahoma" w:cs="Tahoma"/>
      <w:sz w:val="16"/>
      <w:szCs w:val="16"/>
    </w:rPr>
  </w:style>
  <w:style w:type="character" w:styleId="Hyperlink">
    <w:name w:val="Hyperlink"/>
    <w:basedOn w:val="DefaultParagraphFont"/>
    <w:uiPriority w:val="99"/>
    <w:unhideWhenUsed/>
    <w:rsid w:val="002B0E7D"/>
    <w:rPr>
      <w:color w:val="0000FF"/>
      <w:u w:val="single"/>
    </w:rPr>
  </w:style>
  <w:style w:type="paragraph" w:styleId="Header">
    <w:name w:val="header"/>
    <w:basedOn w:val="Normal"/>
    <w:link w:val="HeaderChar"/>
    <w:uiPriority w:val="99"/>
    <w:semiHidden/>
    <w:unhideWhenUsed/>
    <w:rsid w:val="002B0E7D"/>
    <w:pPr>
      <w:tabs>
        <w:tab w:val="center" w:pos="4513"/>
        <w:tab w:val="right" w:pos="9026"/>
      </w:tabs>
    </w:pPr>
  </w:style>
  <w:style w:type="character" w:customStyle="1" w:styleId="HeaderChar">
    <w:name w:val="Header Char"/>
    <w:basedOn w:val="DefaultParagraphFont"/>
    <w:link w:val="Header"/>
    <w:uiPriority w:val="99"/>
    <w:semiHidden/>
    <w:rsid w:val="002B0E7D"/>
  </w:style>
  <w:style w:type="paragraph" w:styleId="Footer">
    <w:name w:val="footer"/>
    <w:basedOn w:val="Normal"/>
    <w:link w:val="FooterChar"/>
    <w:uiPriority w:val="99"/>
    <w:unhideWhenUsed/>
    <w:rsid w:val="002B0E7D"/>
    <w:pPr>
      <w:tabs>
        <w:tab w:val="center" w:pos="4513"/>
        <w:tab w:val="right" w:pos="9026"/>
      </w:tabs>
    </w:pPr>
  </w:style>
  <w:style w:type="character" w:customStyle="1" w:styleId="FooterChar">
    <w:name w:val="Footer Char"/>
    <w:basedOn w:val="DefaultParagraphFont"/>
    <w:link w:val="Footer"/>
    <w:uiPriority w:val="99"/>
    <w:rsid w:val="002B0E7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belrajeev@gmail.com" TargetMode="Externa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0851B3-4D46-463A-A38A-BF328DDE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Rajeev Babel</dc:creator>
  <cp:keywords/>
  <dc:description/>
  <cp:lastModifiedBy>Dr. Rajeev Babel</cp:lastModifiedBy>
  <cp:revision>4</cp:revision>
  <dcterms:created xsi:type="dcterms:W3CDTF">2015-05-08T10:54:00Z</dcterms:created>
  <dcterms:modified xsi:type="dcterms:W3CDTF">2015-05-08T11:53:00Z</dcterms:modified>
</cp:coreProperties>
</file>