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0E6" w:rsidRPr="005B40E6" w:rsidRDefault="005B40E6" w:rsidP="00ED798C">
      <w:pPr>
        <w:shd w:val="clear" w:color="auto" w:fill="FFFFFF"/>
        <w:spacing w:after="0" w:line="300" w:lineRule="atLeast"/>
        <w:jc w:val="center"/>
        <w:outlineLvl w:val="1"/>
        <w:rPr>
          <w:rFonts w:ascii="Arial" w:eastAsia="Times New Roman" w:hAnsi="Arial" w:cs="Arial"/>
          <w:b/>
          <w:bCs/>
          <w:sz w:val="24"/>
          <w:szCs w:val="24"/>
        </w:rPr>
      </w:pPr>
      <w:r w:rsidRPr="00ED798C">
        <w:rPr>
          <w:rFonts w:ascii="Arial" w:eastAsia="Times New Roman" w:hAnsi="Arial" w:cs="Arial"/>
          <w:b/>
          <w:bCs/>
          <w:sz w:val="24"/>
        </w:rPr>
        <w:t>Secretarial Audit under Companies Act, 2013</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WHAT IS SECRETARIAL AUDIT</w:t>
      </w:r>
      <w:r w:rsidR="001E63A0" w:rsidRPr="00ED798C">
        <w:rPr>
          <w:rFonts w:ascii="Arial" w:eastAsia="Times New Roman" w:hAnsi="Arial" w:cs="Arial"/>
          <w:b/>
          <w:bCs/>
          <w:sz w:val="20"/>
        </w:rPr>
        <w:t>?</w:t>
      </w:r>
      <w:r w:rsidR="001E63A0" w:rsidRPr="005B40E6">
        <w:rPr>
          <w:rFonts w:ascii="Arial" w:eastAsia="Times New Roman" w:hAnsi="Arial" w:cs="Arial"/>
          <w:sz w:val="20"/>
          <w:szCs w:val="20"/>
        </w:rPr>
        <w:t xml:space="preserve"> ‘</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‘Secretarial Audit’ is introduced by recently enacted Companies Act, 2013. It is a process to check compliances made by the Company under Corporate Law &amp; other laws, rules, regulations, procedures etc. It is a mechanism to monitor compliance with the requirements of stated laws and processes. Periodically examination of work is necessary to point out errors &amp; mistakes and to make a robust compliance mechanism system in an organization.</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Every company needs to comply hundreds of Laws, rules, regulations. These laws are complex and non-compliances would attract major risk to company. Periodically inspecting the records of company gives exact information whether, and if so, to what extent Company has complied with the laws applicable to the Company.</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Secretarial Audit gives comfort to the regulators, stakeholders and management that company has disciplined approach to evaluate and improve</w:t>
      </w:r>
      <w:r w:rsidRPr="00ED798C">
        <w:rPr>
          <w:rFonts w:ascii="Arial" w:eastAsia="Times New Roman" w:hAnsi="Arial" w:cs="Arial"/>
          <w:sz w:val="20"/>
        </w:rPr>
        <w:t> effectiveness </w:t>
      </w:r>
      <w:r w:rsidRPr="005B40E6">
        <w:rPr>
          <w:rFonts w:ascii="Arial" w:eastAsia="Times New Roman" w:hAnsi="Arial" w:cs="Arial"/>
          <w:sz w:val="20"/>
          <w:szCs w:val="20"/>
        </w:rPr>
        <w:t>of</w:t>
      </w:r>
      <w:r w:rsidRPr="00ED798C">
        <w:rPr>
          <w:rFonts w:ascii="Arial" w:eastAsia="Times New Roman" w:hAnsi="Arial" w:cs="Arial"/>
          <w:sz w:val="20"/>
        </w:rPr>
        <w:t> risk management</w:t>
      </w:r>
      <w:r w:rsidRPr="005B40E6">
        <w:rPr>
          <w:rFonts w:ascii="Arial" w:eastAsia="Times New Roman" w:hAnsi="Arial" w:cs="Arial"/>
          <w:sz w:val="20"/>
          <w:szCs w:val="20"/>
        </w:rPr>
        <w:t>, control, and governance processes</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TO WHICH COMPANIES SECRETARIAL AUDIT IS MANDATORY?</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As per section 204 of the Companies Act, 2013 read with Companies (</w:t>
      </w:r>
      <w:r w:rsidRPr="00ED798C">
        <w:rPr>
          <w:rFonts w:ascii="Arial" w:eastAsia="Times New Roman" w:hAnsi="Arial" w:cs="Arial"/>
          <w:sz w:val="20"/>
        </w:rPr>
        <w:t>Appointment </w:t>
      </w:r>
      <w:r w:rsidRPr="005B40E6">
        <w:rPr>
          <w:rFonts w:ascii="Arial" w:eastAsia="Times New Roman" w:hAnsi="Arial" w:cs="Arial"/>
          <w:sz w:val="20"/>
          <w:szCs w:val="20"/>
        </w:rPr>
        <w:t>and Remuneration of Managerial Personnel) Rules, 2014, following companies are required to obtain ‘</w:t>
      </w:r>
      <w:r w:rsidRPr="00ED798C">
        <w:rPr>
          <w:rFonts w:ascii="Arial" w:eastAsia="Times New Roman" w:hAnsi="Arial" w:cs="Arial"/>
          <w:b/>
          <w:bCs/>
          <w:sz w:val="20"/>
        </w:rPr>
        <w:t>Secretarial Audit Report’</w:t>
      </w:r>
      <w:r w:rsidRPr="00ED798C">
        <w:rPr>
          <w:rFonts w:ascii="Arial" w:eastAsia="Times New Roman" w:hAnsi="Arial" w:cs="Arial"/>
          <w:sz w:val="20"/>
        </w:rPr>
        <w:t> </w:t>
      </w:r>
      <w:r w:rsidRPr="005B40E6">
        <w:rPr>
          <w:rFonts w:ascii="Arial" w:eastAsia="Times New Roman" w:hAnsi="Arial" w:cs="Arial"/>
          <w:sz w:val="20"/>
          <w:szCs w:val="20"/>
        </w:rPr>
        <w:t>form independent practicing company secretary;</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i/>
          <w:iCs/>
          <w:sz w:val="20"/>
        </w:rPr>
        <w:t>(1)   </w:t>
      </w:r>
      <w:r w:rsidRPr="005B40E6">
        <w:rPr>
          <w:rFonts w:ascii="Arial" w:eastAsia="Times New Roman" w:hAnsi="Arial" w:cs="Arial"/>
          <w:sz w:val="20"/>
          <w:szCs w:val="20"/>
        </w:rPr>
        <w:t>Every listed company</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i/>
          <w:iCs/>
          <w:sz w:val="20"/>
        </w:rPr>
        <w:t>(2)   </w:t>
      </w:r>
      <w:r w:rsidRPr="005B40E6">
        <w:rPr>
          <w:rFonts w:ascii="Arial" w:eastAsia="Times New Roman" w:hAnsi="Arial" w:cs="Arial"/>
          <w:sz w:val="20"/>
          <w:szCs w:val="20"/>
        </w:rPr>
        <w:t>Every public company having a paid-up</w:t>
      </w:r>
      <w:r w:rsidRPr="00ED798C">
        <w:rPr>
          <w:rFonts w:ascii="Arial" w:eastAsia="Times New Roman" w:hAnsi="Arial" w:cs="Arial"/>
          <w:sz w:val="20"/>
        </w:rPr>
        <w:t> share capital </w:t>
      </w:r>
      <w:r w:rsidRPr="005B40E6">
        <w:rPr>
          <w:rFonts w:ascii="Arial" w:eastAsia="Times New Roman" w:hAnsi="Arial" w:cs="Arial"/>
          <w:sz w:val="20"/>
          <w:szCs w:val="20"/>
        </w:rPr>
        <w:t>of</w:t>
      </w:r>
      <w:r w:rsidRPr="00ED798C">
        <w:rPr>
          <w:rFonts w:ascii="Arial" w:eastAsia="Times New Roman" w:hAnsi="Arial" w:cs="Arial"/>
          <w:sz w:val="20"/>
        </w:rPr>
        <w:t> </w:t>
      </w:r>
      <w:r w:rsidRPr="00ED798C">
        <w:rPr>
          <w:rFonts w:ascii="Arial" w:eastAsia="Times New Roman" w:hAnsi="Arial" w:cs="Arial"/>
          <w:b/>
          <w:bCs/>
          <w:sz w:val="20"/>
        </w:rPr>
        <w:t xml:space="preserve">Fifty </w:t>
      </w:r>
      <w:r w:rsidR="001E63A0" w:rsidRPr="00ED798C">
        <w:rPr>
          <w:rFonts w:ascii="Arial" w:eastAsia="Times New Roman" w:hAnsi="Arial" w:cs="Arial"/>
          <w:b/>
          <w:bCs/>
          <w:sz w:val="20"/>
        </w:rPr>
        <w:t>Crores</w:t>
      </w:r>
      <w:r w:rsidRPr="00ED798C">
        <w:rPr>
          <w:rFonts w:ascii="Arial" w:eastAsia="Times New Roman" w:hAnsi="Arial" w:cs="Arial"/>
          <w:sz w:val="20"/>
        </w:rPr>
        <w:t> </w:t>
      </w:r>
      <w:r w:rsidRPr="005B40E6">
        <w:rPr>
          <w:rFonts w:ascii="Arial" w:eastAsia="Times New Roman" w:hAnsi="Arial" w:cs="Arial"/>
          <w:sz w:val="20"/>
          <w:szCs w:val="20"/>
        </w:rPr>
        <w:t>rupees or more; or</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i/>
          <w:iCs/>
          <w:sz w:val="20"/>
        </w:rPr>
        <w:t>(3)   </w:t>
      </w:r>
      <w:r w:rsidRPr="005B40E6">
        <w:rPr>
          <w:rFonts w:ascii="Arial" w:eastAsia="Times New Roman" w:hAnsi="Arial" w:cs="Arial"/>
          <w:sz w:val="20"/>
          <w:szCs w:val="20"/>
        </w:rPr>
        <w:t>(b) Every public company having a turnover of</w:t>
      </w:r>
      <w:r w:rsidRPr="00ED798C">
        <w:rPr>
          <w:rFonts w:ascii="Arial" w:eastAsia="Times New Roman" w:hAnsi="Arial" w:cs="Arial"/>
          <w:sz w:val="20"/>
        </w:rPr>
        <w:t> </w:t>
      </w:r>
      <w:r w:rsidRPr="00ED798C">
        <w:rPr>
          <w:rFonts w:ascii="Arial" w:eastAsia="Times New Roman" w:hAnsi="Arial" w:cs="Arial"/>
          <w:b/>
          <w:bCs/>
          <w:sz w:val="20"/>
        </w:rPr>
        <w:t xml:space="preserve">Two Hundred Fifty </w:t>
      </w:r>
      <w:r w:rsidR="001E63A0" w:rsidRPr="00ED798C">
        <w:rPr>
          <w:rFonts w:ascii="Arial" w:eastAsia="Times New Roman" w:hAnsi="Arial" w:cs="Arial"/>
          <w:b/>
          <w:bCs/>
          <w:sz w:val="20"/>
        </w:rPr>
        <w:t>Crores</w:t>
      </w:r>
      <w:r w:rsidRPr="00ED798C">
        <w:rPr>
          <w:rFonts w:ascii="Arial" w:eastAsia="Times New Roman" w:hAnsi="Arial" w:cs="Arial"/>
          <w:sz w:val="20"/>
        </w:rPr>
        <w:t> </w:t>
      </w:r>
      <w:r w:rsidRPr="005B40E6">
        <w:rPr>
          <w:rFonts w:ascii="Arial" w:eastAsia="Times New Roman" w:hAnsi="Arial" w:cs="Arial"/>
          <w:sz w:val="20"/>
          <w:szCs w:val="20"/>
        </w:rPr>
        <w:t>rupees or more.</w:t>
      </w:r>
    </w:p>
    <w:p w:rsidR="005B40E6" w:rsidRPr="005B40E6" w:rsidRDefault="005B40E6" w:rsidP="005B40E6">
      <w:pPr>
        <w:numPr>
          <w:ilvl w:val="0"/>
          <w:numId w:val="1"/>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t>“Turnover” means the aggregate value of the realisation of amount made from the sale, supply or distribution of goods or on account of services rendered, or both, by the company during a financial year. [Section 2(91)]</w:t>
      </w:r>
    </w:p>
    <w:p w:rsidR="005B40E6" w:rsidRPr="005B40E6" w:rsidRDefault="005B40E6" w:rsidP="005B40E6">
      <w:pPr>
        <w:numPr>
          <w:ilvl w:val="0"/>
          <w:numId w:val="2"/>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t>Secretarial Audit is also mandatory to a private company which is a subsidiary of a public company, and which falls under the prescribed class of companies</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WHO CAN BE APPOINTED AS SECRETARIAL AUDITOR?</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Only a member of the Institute of Company Secretaries of India holding certificate of practice (company secretary in practice) can conduct Secretarial Audit and furnish the Secretarial Audit Report to the Company.</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APPOINTMENT OF SECRETARIAL AUDITOR</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As per Rule 8 of the Companies (Meetings of Board and its powers) Rules, 2014, Secretarial Auditor is required to be appointed by means of resolution passed at a duly convened Board meeting and resolution for appointment shall be filed with Registrar of Companies within 30 days in E-form MGT-14.</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It is advisable for Secretarial Auditor to get</w:t>
      </w:r>
      <w:r w:rsidRPr="00ED798C">
        <w:rPr>
          <w:rFonts w:ascii="Arial" w:eastAsia="Times New Roman" w:hAnsi="Arial" w:cs="Arial"/>
          <w:sz w:val="20"/>
        </w:rPr>
        <w:t> the letter </w:t>
      </w:r>
      <w:r w:rsidRPr="005B40E6">
        <w:rPr>
          <w:rFonts w:ascii="Arial" w:eastAsia="Times New Roman" w:hAnsi="Arial" w:cs="Arial"/>
          <w:sz w:val="20"/>
          <w:szCs w:val="20"/>
        </w:rPr>
        <w:t xml:space="preserve">of engagement from the company. Secretarial Auditor should formally accept the letter of engagement. Further, as a prudent corporate practice, it is </w:t>
      </w:r>
      <w:r w:rsidRPr="005B40E6">
        <w:rPr>
          <w:rFonts w:ascii="Arial" w:eastAsia="Times New Roman" w:hAnsi="Arial" w:cs="Arial"/>
          <w:sz w:val="20"/>
          <w:szCs w:val="20"/>
        </w:rPr>
        <w:lastRenderedPageBreak/>
        <w:t>advisable that change in the Secretarial Auditor during the year is reported to the members in the Board’s Report.</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SCOPE OF SECRETARIAL AUDIT</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A secretarial auditor has to check compliances by the company under the following laws and rules made there-under;</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 i.   The Companies Act, 2013 (the Act) and</w:t>
      </w:r>
      <w:r w:rsidRPr="00ED798C">
        <w:rPr>
          <w:rFonts w:ascii="Arial" w:eastAsia="Times New Roman" w:hAnsi="Arial" w:cs="Arial"/>
          <w:sz w:val="20"/>
        </w:rPr>
        <w:t> the rules </w:t>
      </w:r>
      <w:r w:rsidRPr="005B40E6">
        <w:rPr>
          <w:rFonts w:ascii="Arial" w:eastAsia="Times New Roman" w:hAnsi="Arial" w:cs="Arial"/>
          <w:sz w:val="20"/>
          <w:szCs w:val="20"/>
        </w:rPr>
        <w:t>made there-under;</w:t>
      </w:r>
    </w:p>
    <w:p w:rsidR="005B40E6" w:rsidRPr="005B40E6" w:rsidRDefault="00ED798C" w:rsidP="005B40E6">
      <w:pPr>
        <w:shd w:val="clear" w:color="auto" w:fill="FFFFFF"/>
        <w:spacing w:before="150" w:after="0" w:line="300" w:lineRule="atLeast"/>
        <w:jc w:val="both"/>
        <w:rPr>
          <w:rFonts w:ascii="Arial" w:eastAsia="Times New Roman" w:hAnsi="Arial" w:cs="Arial"/>
          <w:sz w:val="20"/>
          <w:szCs w:val="20"/>
        </w:rPr>
      </w:pPr>
      <w:r>
        <w:rPr>
          <w:rFonts w:ascii="Arial" w:eastAsia="Times New Roman" w:hAnsi="Arial" w:cs="Arial"/>
          <w:sz w:val="20"/>
          <w:szCs w:val="20"/>
        </w:rPr>
        <w:t> ii.</w:t>
      </w:r>
      <w:r w:rsidR="005B40E6" w:rsidRPr="005B40E6">
        <w:rPr>
          <w:rFonts w:ascii="Arial" w:eastAsia="Times New Roman" w:hAnsi="Arial" w:cs="Arial"/>
          <w:sz w:val="20"/>
          <w:szCs w:val="20"/>
        </w:rPr>
        <w:t xml:space="preserve"> The Securities Contracts (Regulation) Act, 1956 (‘SCRA’) and the rules made there-under;</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iii.</w:t>
      </w:r>
      <w:r w:rsidR="00ED798C" w:rsidRPr="005B40E6">
        <w:rPr>
          <w:rFonts w:ascii="Arial" w:eastAsia="Times New Roman" w:hAnsi="Arial" w:cs="Arial"/>
          <w:sz w:val="20"/>
          <w:szCs w:val="20"/>
        </w:rPr>
        <w:t> The</w:t>
      </w:r>
      <w:r w:rsidRPr="005B40E6">
        <w:rPr>
          <w:rFonts w:ascii="Arial" w:eastAsia="Times New Roman" w:hAnsi="Arial" w:cs="Arial"/>
          <w:sz w:val="20"/>
          <w:szCs w:val="20"/>
        </w:rPr>
        <w:t xml:space="preserve"> Depositories Act, 1996 and the Regulations and Bye-laws framed there-under;</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iv. Foreign Exchange Management Act, 1999 and the rules and regulations made there-under to the extent of Foreign</w:t>
      </w:r>
      <w:r w:rsidRPr="00ED798C">
        <w:rPr>
          <w:rFonts w:ascii="Arial" w:eastAsia="Times New Roman" w:hAnsi="Arial" w:cs="Arial"/>
          <w:sz w:val="20"/>
        </w:rPr>
        <w:t> Direct Investment</w:t>
      </w:r>
      <w:r w:rsidRPr="005B40E6">
        <w:rPr>
          <w:rFonts w:ascii="Arial" w:eastAsia="Times New Roman" w:hAnsi="Arial" w:cs="Arial"/>
          <w:sz w:val="20"/>
          <w:szCs w:val="20"/>
        </w:rPr>
        <w:t>, Overseas Direct Investment and External Commercial Borrowings;</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v.   The following Regulations and Guidelines prescribed under the</w:t>
      </w:r>
      <w:r w:rsidRPr="00ED798C">
        <w:rPr>
          <w:rFonts w:ascii="Arial" w:eastAsia="Times New Roman" w:hAnsi="Arial" w:cs="Arial"/>
          <w:sz w:val="20"/>
        </w:rPr>
        <w:t> Securities and Exchange </w:t>
      </w:r>
      <w:r w:rsidRPr="005B40E6">
        <w:rPr>
          <w:rFonts w:ascii="Arial" w:eastAsia="Times New Roman" w:hAnsi="Arial" w:cs="Arial"/>
          <w:sz w:val="20"/>
          <w:szCs w:val="20"/>
        </w:rPr>
        <w:t>Board of India Act, 1992 (‘SEBI Act’):-</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a. The Securities and Exchange Board of India (Substantial Acquisition</w:t>
      </w:r>
      <w:r w:rsidRPr="00ED798C">
        <w:rPr>
          <w:rFonts w:ascii="Arial" w:eastAsia="Times New Roman" w:hAnsi="Arial" w:cs="Arial"/>
          <w:sz w:val="20"/>
        </w:rPr>
        <w:t> of Shares </w:t>
      </w:r>
      <w:r w:rsidRPr="005B40E6">
        <w:rPr>
          <w:rFonts w:ascii="Arial" w:eastAsia="Times New Roman" w:hAnsi="Arial" w:cs="Arial"/>
          <w:sz w:val="20"/>
          <w:szCs w:val="20"/>
        </w:rPr>
        <w:t>and Takeovers) Regulations, 2011;</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b. The Securities and Exchange Board of India (Prohibition of Insider Trading) Regulations, 1992;</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c. The Securities and Exchange Board of India (Issue of Capital and Disclosure Requirements) Regulations, 2009;</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d. The Securities and Exchange Board of India (Employee Stock Option Scheme and Employee Stock Purchase Scheme) Guidelines, 1999;</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e. The Securities and Exchange Board of India (Issue and Listing of Debt Securities) Regulations, 2008;</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f. The Securities and Exchange Board of India (Registrars to an Issue and Share Transfer Agents) Regulations, 1993 regarding the Companies Act and dealing with client;</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g. The Securities and Exchange Board of India (Delisting of Equity Shares) Regulations, 2009; and</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h. The Securities and Exchange Board of India (Buyback of Securities) Regulations, 1998;</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vi.            Secretarial Standards issued by The Institute of Company Secretaries of India.</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 vii.            The</w:t>
      </w:r>
      <w:r w:rsidRPr="00ED798C">
        <w:rPr>
          <w:rFonts w:ascii="Arial" w:eastAsia="Times New Roman" w:hAnsi="Arial" w:cs="Arial"/>
          <w:sz w:val="20"/>
        </w:rPr>
        <w:t> Listing Agreements </w:t>
      </w:r>
      <w:r w:rsidRPr="005B40E6">
        <w:rPr>
          <w:rFonts w:ascii="Arial" w:eastAsia="Times New Roman" w:hAnsi="Arial" w:cs="Arial"/>
          <w:sz w:val="20"/>
          <w:szCs w:val="20"/>
        </w:rPr>
        <w:t>entered into by the Company with Stock Exchange(s), if applicable;</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viii.           </w:t>
      </w:r>
      <w:r w:rsidRPr="00ED798C">
        <w:rPr>
          <w:rFonts w:ascii="Arial" w:eastAsia="Times New Roman" w:hAnsi="Arial" w:cs="Arial"/>
          <w:sz w:val="20"/>
        </w:rPr>
        <w:t> </w:t>
      </w:r>
      <w:r w:rsidRPr="00ED798C">
        <w:rPr>
          <w:rFonts w:ascii="Arial" w:eastAsia="Times New Roman" w:hAnsi="Arial" w:cs="Arial"/>
          <w:b/>
          <w:bCs/>
          <w:sz w:val="20"/>
        </w:rPr>
        <w:t>Other laws</w:t>
      </w:r>
      <w:r w:rsidRPr="00ED798C">
        <w:rPr>
          <w:rFonts w:ascii="Arial" w:eastAsia="Times New Roman" w:hAnsi="Arial" w:cs="Arial"/>
          <w:sz w:val="20"/>
        </w:rPr>
        <w:t> </w:t>
      </w:r>
      <w:r w:rsidRPr="005B40E6">
        <w:rPr>
          <w:rFonts w:ascii="Arial" w:eastAsia="Times New Roman" w:hAnsi="Arial" w:cs="Arial"/>
          <w:sz w:val="20"/>
          <w:szCs w:val="20"/>
        </w:rPr>
        <w:t>as may be applicable specifically to the company</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Thus the scope of Secretarial audit is not limited to the corporate laws applicable to company but it extent to all laws applicable to Company.</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Recently Institute of Company Secretaries of India (ICSI) has issued a FAQ on Secretarial Audit and has clarified “Other Laws”, the text of the same is reproduced as below:</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The Council of the ICSI at its 226th meeting held on November 21, 2014 decided on the Scope of Secretarial Audit as regards “point (vi) …….( other laws as may be applicable specifically to the company)”, which is placed as under:</w:t>
      </w:r>
    </w:p>
    <w:p w:rsidR="005B40E6" w:rsidRPr="005B40E6" w:rsidRDefault="005B40E6" w:rsidP="005B40E6">
      <w:pPr>
        <w:numPr>
          <w:ilvl w:val="0"/>
          <w:numId w:val="3"/>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lastRenderedPageBreak/>
        <w:t>Reporting on compliance of</w:t>
      </w:r>
      <w:r w:rsidRPr="00ED798C">
        <w:rPr>
          <w:rFonts w:ascii="Arial" w:eastAsia="Times New Roman" w:hAnsi="Arial" w:cs="Arial"/>
          <w:sz w:val="20"/>
        </w:rPr>
        <w:t> </w:t>
      </w:r>
      <w:r w:rsidRPr="00ED798C">
        <w:rPr>
          <w:rFonts w:ascii="Arial" w:eastAsia="Times New Roman" w:hAnsi="Arial" w:cs="Arial"/>
          <w:b/>
          <w:bCs/>
          <w:sz w:val="20"/>
        </w:rPr>
        <w:t>‘Other laws as may be applicable specifically to the company’</w:t>
      </w:r>
      <w:r w:rsidRPr="00ED798C">
        <w:rPr>
          <w:rFonts w:ascii="Arial" w:eastAsia="Times New Roman" w:hAnsi="Arial" w:cs="Arial"/>
          <w:sz w:val="20"/>
        </w:rPr>
        <w:t> </w:t>
      </w:r>
      <w:r w:rsidRPr="005B40E6">
        <w:rPr>
          <w:rFonts w:ascii="Arial" w:eastAsia="Times New Roman" w:hAnsi="Arial" w:cs="Arial"/>
          <w:sz w:val="20"/>
          <w:szCs w:val="20"/>
        </w:rPr>
        <w:t>shall include all the laws which are applicable to specific industry for example; for Banks- all laws applicable to Banking Industry; for insurance company-all laws applicable to insurance industry; likewise for a company in petroleum sector- all laws applicable to petroleum industry; similarly for companies in pharmaceutical sector, cement industry etc.</w:t>
      </w:r>
    </w:p>
    <w:p w:rsidR="005B40E6" w:rsidRPr="005B40E6" w:rsidRDefault="005B40E6" w:rsidP="005B40E6">
      <w:pPr>
        <w:numPr>
          <w:ilvl w:val="0"/>
          <w:numId w:val="4"/>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t>Examining and reporting whether the adequate systems and processes are in place to monitor and ensure compliance with general laws like labour laws, competition law, environmental laws etc.</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Format of Secretarial Audit Report also requires reporting on whether-</w:t>
      </w:r>
    </w:p>
    <w:p w:rsidR="005B40E6" w:rsidRPr="005B40E6" w:rsidRDefault="005B40E6" w:rsidP="005B40E6">
      <w:pPr>
        <w:numPr>
          <w:ilvl w:val="0"/>
          <w:numId w:val="5"/>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t>The Board of Directors of the Company is duly constituted with proper balance of Executive Directors, Non-Executive Directors and Independent Directors.</w:t>
      </w:r>
    </w:p>
    <w:p w:rsidR="005B40E6" w:rsidRPr="005B40E6" w:rsidRDefault="005B40E6" w:rsidP="005B40E6">
      <w:pPr>
        <w:numPr>
          <w:ilvl w:val="0"/>
          <w:numId w:val="6"/>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t>The changes in the composition of the Board of Directors that took place during the period under review were carried out in compliance with the provisions of the Act.</w:t>
      </w:r>
    </w:p>
    <w:p w:rsidR="005B40E6" w:rsidRPr="005B40E6" w:rsidRDefault="005B40E6" w:rsidP="005B40E6">
      <w:pPr>
        <w:numPr>
          <w:ilvl w:val="0"/>
          <w:numId w:val="7"/>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t>Adequate notice is given to all directors to schedule the Board Meetings, agenda and detailed notes on agenda were sent at least seven days in advance, and a system exists for seeking and obtaining further information and clarifications on the agenda items before the meeting and for meaningful participation at the meeting.</w:t>
      </w:r>
    </w:p>
    <w:p w:rsidR="005B40E6" w:rsidRPr="005B40E6" w:rsidRDefault="005B40E6" w:rsidP="005B40E6">
      <w:pPr>
        <w:numPr>
          <w:ilvl w:val="0"/>
          <w:numId w:val="8"/>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t>Majority decision is carried through while the dissenting members</w:t>
      </w:r>
      <w:r w:rsidRPr="005B40E6">
        <w:rPr>
          <w:rFonts w:ascii="MS Mincho" w:eastAsia="MS Mincho" w:hAnsi="MS Mincho" w:cs="MS Mincho" w:hint="eastAsia"/>
          <w:sz w:val="20"/>
          <w:szCs w:val="20"/>
        </w:rPr>
        <w:t>‟</w:t>
      </w:r>
      <w:r w:rsidRPr="005B40E6">
        <w:rPr>
          <w:rFonts w:ascii="Arial" w:eastAsia="Times New Roman" w:hAnsi="Arial" w:cs="Arial"/>
          <w:sz w:val="20"/>
          <w:szCs w:val="20"/>
        </w:rPr>
        <w:t xml:space="preserve"> views are captured and recorded as part of the minutes.</w:t>
      </w:r>
    </w:p>
    <w:p w:rsidR="005B40E6" w:rsidRPr="005B40E6" w:rsidRDefault="005B40E6" w:rsidP="005B40E6">
      <w:pPr>
        <w:numPr>
          <w:ilvl w:val="0"/>
          <w:numId w:val="9"/>
        </w:numPr>
        <w:shd w:val="clear" w:color="auto" w:fill="FFFFFF"/>
        <w:spacing w:after="0" w:line="300" w:lineRule="atLeast"/>
        <w:ind w:left="300"/>
        <w:jc w:val="both"/>
        <w:rPr>
          <w:rFonts w:ascii="Arial" w:eastAsia="Times New Roman" w:hAnsi="Arial" w:cs="Arial"/>
          <w:sz w:val="20"/>
          <w:szCs w:val="20"/>
        </w:rPr>
      </w:pPr>
      <w:r w:rsidRPr="005B40E6">
        <w:rPr>
          <w:rFonts w:ascii="Arial" w:eastAsia="Times New Roman" w:hAnsi="Arial" w:cs="Arial"/>
          <w:sz w:val="20"/>
          <w:szCs w:val="20"/>
        </w:rPr>
        <w:t>There are adequate systems and processes in the company commensurate with the size and operations of the company to monitor and ensure compliance with applicable laws, rules, regulations and guidelines.</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Moreover Secretarial Auditor is required to report and provide details of specific events and actions occurred during the reporting period having major bearing on the affairs of the Company in pursuant to above referred laws/ rules &amp; regulations. Few events were also given as example in the format of audit report.</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However in case of financial laws like tax laws and Customs Act etc., Secretarial Auditor may rely on</w:t>
      </w:r>
      <w:r w:rsidRPr="00ED798C">
        <w:rPr>
          <w:rFonts w:ascii="Arial" w:eastAsia="Times New Roman" w:hAnsi="Arial" w:cs="Arial"/>
          <w:sz w:val="20"/>
        </w:rPr>
        <w:t> the Reports </w:t>
      </w:r>
      <w:r w:rsidRPr="005B40E6">
        <w:rPr>
          <w:rFonts w:ascii="Arial" w:eastAsia="Times New Roman" w:hAnsi="Arial" w:cs="Arial"/>
          <w:sz w:val="20"/>
          <w:szCs w:val="20"/>
        </w:rPr>
        <w:t>given by Statutory Auditors or other designated professional.</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POWER TO SECRETARIAL AUDITOR</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The Companies Act, 2013 has empowered secretarial auditor and has given him all rights and powers as given to statutory auditor. As per section 204 of the Companies Act, 2013, the secretarial auditor company shall be entitled to require from the officers of the company such information and explanation as he may consider necessary for the performance of his duties as auditor.</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IS SECRETARIAL AUDIT MANDATORY FOR FINANCIAL YEAR 2013-14?</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The secretarial audit report shall annex with its Board’s report made in terms of sub-section (3) of section 134, of the Companies Act, 2013.</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Ministry of Corporate Affairs, vide its</w:t>
      </w:r>
      <w:r w:rsidRPr="00ED798C">
        <w:rPr>
          <w:rFonts w:ascii="Arial" w:eastAsia="Times New Roman" w:hAnsi="Arial" w:cs="Arial"/>
          <w:sz w:val="20"/>
        </w:rPr>
        <w:t> circular </w:t>
      </w:r>
      <w:r w:rsidRPr="005B40E6">
        <w:rPr>
          <w:rFonts w:ascii="Arial" w:eastAsia="Times New Roman" w:hAnsi="Arial" w:cs="Arial"/>
          <w:sz w:val="20"/>
          <w:szCs w:val="20"/>
        </w:rPr>
        <w:t>No. 08/2014, dated 4</w:t>
      </w:r>
      <w:r w:rsidRPr="005B40E6">
        <w:rPr>
          <w:rFonts w:ascii="Arial" w:eastAsia="Times New Roman" w:hAnsi="Arial" w:cs="Arial"/>
          <w:sz w:val="20"/>
          <w:szCs w:val="20"/>
          <w:vertAlign w:val="superscript"/>
        </w:rPr>
        <w:t>th</w:t>
      </w:r>
      <w:r w:rsidRPr="00ED798C">
        <w:rPr>
          <w:rFonts w:ascii="Arial" w:eastAsia="Times New Roman" w:hAnsi="Arial" w:cs="Arial"/>
          <w:sz w:val="20"/>
        </w:rPr>
        <w:t> </w:t>
      </w:r>
      <w:r w:rsidRPr="005B40E6">
        <w:rPr>
          <w:rFonts w:ascii="Arial" w:eastAsia="Times New Roman" w:hAnsi="Arial" w:cs="Arial"/>
          <w:sz w:val="20"/>
          <w:szCs w:val="20"/>
        </w:rPr>
        <w:t>April 2014, has clarified that Board Report of the Company relating to financial year that commenced before 1</w:t>
      </w:r>
      <w:r w:rsidRPr="005B40E6">
        <w:rPr>
          <w:rFonts w:ascii="Arial" w:eastAsia="Times New Roman" w:hAnsi="Arial" w:cs="Arial"/>
          <w:sz w:val="20"/>
          <w:szCs w:val="20"/>
          <w:vertAlign w:val="superscript"/>
        </w:rPr>
        <w:t>st</w:t>
      </w:r>
      <w:r w:rsidRPr="00ED798C">
        <w:rPr>
          <w:rFonts w:ascii="Arial" w:eastAsia="Times New Roman" w:hAnsi="Arial" w:cs="Arial"/>
          <w:sz w:val="20"/>
        </w:rPr>
        <w:t> </w:t>
      </w:r>
      <w:r w:rsidRPr="005B40E6">
        <w:rPr>
          <w:rFonts w:ascii="Arial" w:eastAsia="Times New Roman" w:hAnsi="Arial" w:cs="Arial"/>
          <w:sz w:val="20"/>
          <w:szCs w:val="20"/>
        </w:rPr>
        <w:t>April 2014, shall be made in accordance with the relevant provisions of the Companies Act, 1956.</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lastRenderedPageBreak/>
        <w:t>As the secretarial audit report is an annexure to Board’ Report thus the secretarial audit is not mandatory for financial year ended on 31</w:t>
      </w:r>
      <w:r w:rsidRPr="005B40E6">
        <w:rPr>
          <w:rFonts w:ascii="Arial" w:eastAsia="Times New Roman" w:hAnsi="Arial" w:cs="Arial"/>
          <w:sz w:val="20"/>
          <w:szCs w:val="20"/>
          <w:vertAlign w:val="superscript"/>
        </w:rPr>
        <w:t>st</w:t>
      </w:r>
      <w:r w:rsidRPr="00ED798C">
        <w:rPr>
          <w:rFonts w:ascii="Arial" w:eastAsia="Times New Roman" w:hAnsi="Arial" w:cs="Arial"/>
          <w:sz w:val="20"/>
        </w:rPr>
        <w:t> </w:t>
      </w:r>
      <w:r w:rsidRPr="005B40E6">
        <w:rPr>
          <w:rFonts w:ascii="Arial" w:eastAsia="Times New Roman" w:hAnsi="Arial" w:cs="Arial"/>
          <w:sz w:val="20"/>
          <w:szCs w:val="20"/>
        </w:rPr>
        <w:t>March 2014.</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PUNISHMENT FOR DEFAULT</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Sub-Section 4 of Section 204 of the Companies Act, 2013, provides that if a company or any officer of the company or the company secretary in practice, contravenes the provisions of section 204 of the Act, the company, every officer of the company or the company secretary in practice, who is in default, shall be punishable with fine which shall not be less than 1 lakh rupees but which may extend to 5 lakh rupees.</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Moreover as per sub section (15) of section 143 of the Companies Act, 2013, if a secretarial auditor, has reason to believe that an offence involving fraud is being or has been committed against the company by officers or employees of the company, he shall immediately report the matter to the Central Government within such time and in such manner as may be prescribed. Failure to do so shall attract a fine which shall not be less than 1 lakh rupees but which may extend to 25 lakh rupees.</w:t>
      </w:r>
    </w:p>
    <w:p w:rsidR="00ED798C" w:rsidRDefault="00ED798C" w:rsidP="005B40E6">
      <w:pPr>
        <w:shd w:val="clear" w:color="auto" w:fill="FFFFFF"/>
        <w:spacing w:after="0" w:line="300" w:lineRule="atLeast"/>
        <w:jc w:val="both"/>
        <w:rPr>
          <w:rFonts w:ascii="Arial" w:eastAsia="Times New Roman" w:hAnsi="Arial" w:cs="Arial"/>
          <w:b/>
          <w:bCs/>
          <w:sz w:val="20"/>
        </w:rPr>
      </w:pP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ED798C">
        <w:rPr>
          <w:rFonts w:ascii="Arial" w:eastAsia="Times New Roman" w:hAnsi="Arial" w:cs="Arial"/>
          <w:b/>
          <w:bCs/>
          <w:sz w:val="20"/>
        </w:rPr>
        <w:t>PROFESSIONAL RESPONSIBILITY AND PENALTY FOR INCORRECT AUDIT REPORT</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xml:space="preserve">Section 448 of Companies Act, 2013 deals with penalty for false statements. the section provides that if in any return, report, certificate, financial statement, prospectus, statement or other document required by, or for the purposes of any of the provisions of this Act or the rules made </w:t>
      </w:r>
      <w:r w:rsidR="001E63A0" w:rsidRPr="005B40E6">
        <w:rPr>
          <w:rFonts w:ascii="Arial" w:eastAsia="Times New Roman" w:hAnsi="Arial" w:cs="Arial"/>
          <w:sz w:val="20"/>
          <w:szCs w:val="20"/>
        </w:rPr>
        <w:t>there under</w:t>
      </w:r>
      <w:r w:rsidRPr="005B40E6">
        <w:rPr>
          <w:rFonts w:ascii="Arial" w:eastAsia="Times New Roman" w:hAnsi="Arial" w:cs="Arial"/>
          <w:sz w:val="20"/>
          <w:szCs w:val="20"/>
        </w:rPr>
        <w:t>, any person makes a statement,</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(a) Which is false in any material particulars, knowing it to be false; or</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(b) Which omits any material fact, knowing it to be material,</w:t>
      </w:r>
    </w:p>
    <w:p w:rsidR="005B40E6" w:rsidRPr="005B40E6" w:rsidRDefault="001E63A0"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He</w:t>
      </w:r>
      <w:r w:rsidR="005B40E6" w:rsidRPr="005B40E6">
        <w:rPr>
          <w:rFonts w:ascii="Arial" w:eastAsia="Times New Roman" w:hAnsi="Arial" w:cs="Arial"/>
          <w:sz w:val="20"/>
          <w:szCs w:val="20"/>
        </w:rPr>
        <w:t xml:space="preserve"> shall be liable under section 447.</w:t>
      </w:r>
    </w:p>
    <w:p w:rsidR="005B40E6" w:rsidRPr="005B40E6" w:rsidRDefault="005B40E6" w:rsidP="005B40E6">
      <w:pPr>
        <w:shd w:val="clear" w:color="auto" w:fill="FFFFFF"/>
        <w:spacing w:after="0" w:line="300" w:lineRule="atLeast"/>
        <w:jc w:val="both"/>
        <w:rPr>
          <w:rFonts w:ascii="Arial" w:eastAsia="Times New Roman" w:hAnsi="Arial" w:cs="Arial"/>
          <w:sz w:val="20"/>
          <w:szCs w:val="20"/>
        </w:rPr>
      </w:pPr>
      <w:r w:rsidRPr="005B40E6">
        <w:rPr>
          <w:rFonts w:ascii="Arial" w:eastAsia="Times New Roman" w:hAnsi="Arial" w:cs="Arial"/>
          <w:sz w:val="20"/>
          <w:szCs w:val="20"/>
        </w:rPr>
        <w:t>Section 447 deals with punishment for fraud which provides that any person who is found to be guilty of fraud, shall be punishable with</w:t>
      </w:r>
      <w:r w:rsidRPr="00ED798C">
        <w:rPr>
          <w:rFonts w:ascii="Arial" w:eastAsia="Times New Roman" w:hAnsi="Arial" w:cs="Arial"/>
          <w:sz w:val="20"/>
        </w:rPr>
        <w:t> </w:t>
      </w:r>
      <w:r w:rsidRPr="00ED798C">
        <w:rPr>
          <w:rFonts w:ascii="Arial" w:eastAsia="Times New Roman" w:hAnsi="Arial" w:cs="Arial"/>
          <w:b/>
          <w:bCs/>
          <w:sz w:val="20"/>
        </w:rPr>
        <w:t>imprisonment </w:t>
      </w:r>
      <w:r w:rsidRPr="005B40E6">
        <w:rPr>
          <w:rFonts w:ascii="Arial" w:eastAsia="Times New Roman" w:hAnsi="Arial" w:cs="Arial"/>
          <w:sz w:val="20"/>
          <w:szCs w:val="20"/>
        </w:rPr>
        <w:t>for a term which shall</w:t>
      </w:r>
      <w:r w:rsidRPr="00ED798C">
        <w:rPr>
          <w:rFonts w:ascii="Arial" w:eastAsia="Times New Roman" w:hAnsi="Arial" w:cs="Arial"/>
          <w:sz w:val="20"/>
        </w:rPr>
        <w:t> </w:t>
      </w:r>
      <w:r w:rsidRPr="00ED798C">
        <w:rPr>
          <w:rFonts w:ascii="Arial" w:eastAsia="Times New Roman" w:hAnsi="Arial" w:cs="Arial"/>
          <w:b/>
          <w:bCs/>
          <w:sz w:val="20"/>
        </w:rPr>
        <w:t>not be less than six months</w:t>
      </w:r>
      <w:r w:rsidRPr="00ED798C">
        <w:rPr>
          <w:rFonts w:ascii="Arial" w:eastAsia="Times New Roman" w:hAnsi="Arial" w:cs="Arial"/>
          <w:sz w:val="20"/>
        </w:rPr>
        <w:t> </w:t>
      </w:r>
      <w:r w:rsidRPr="005B40E6">
        <w:rPr>
          <w:rFonts w:ascii="Arial" w:eastAsia="Times New Roman" w:hAnsi="Arial" w:cs="Arial"/>
          <w:sz w:val="20"/>
          <w:szCs w:val="20"/>
        </w:rPr>
        <w:t>but which may extend to ten years and shall also be liable to</w:t>
      </w:r>
      <w:r w:rsidRPr="00ED798C">
        <w:rPr>
          <w:rFonts w:ascii="Arial" w:eastAsia="Times New Roman" w:hAnsi="Arial" w:cs="Arial"/>
          <w:sz w:val="20"/>
        </w:rPr>
        <w:t> </w:t>
      </w:r>
      <w:r w:rsidRPr="00ED798C">
        <w:rPr>
          <w:rFonts w:ascii="Arial" w:eastAsia="Times New Roman" w:hAnsi="Arial" w:cs="Arial"/>
          <w:b/>
          <w:bCs/>
          <w:sz w:val="20"/>
        </w:rPr>
        <w:t>fine </w:t>
      </w:r>
      <w:r w:rsidRPr="005B40E6">
        <w:rPr>
          <w:rFonts w:ascii="Arial" w:eastAsia="Times New Roman" w:hAnsi="Arial" w:cs="Arial"/>
          <w:sz w:val="20"/>
          <w:szCs w:val="20"/>
        </w:rPr>
        <w:t>which</w:t>
      </w:r>
      <w:r w:rsidRPr="00ED798C">
        <w:rPr>
          <w:rFonts w:ascii="Arial" w:eastAsia="Times New Roman" w:hAnsi="Arial" w:cs="Arial"/>
          <w:sz w:val="20"/>
        </w:rPr>
        <w:t> </w:t>
      </w:r>
      <w:r w:rsidRPr="00ED798C">
        <w:rPr>
          <w:rFonts w:ascii="Arial" w:eastAsia="Times New Roman" w:hAnsi="Arial" w:cs="Arial"/>
          <w:b/>
          <w:bCs/>
          <w:sz w:val="20"/>
        </w:rPr>
        <w:t>shall not be less than the amount involved in the fraud</w:t>
      </w:r>
      <w:r w:rsidRPr="005B40E6">
        <w:rPr>
          <w:rFonts w:ascii="Arial" w:eastAsia="Times New Roman" w:hAnsi="Arial" w:cs="Arial"/>
          <w:sz w:val="20"/>
          <w:szCs w:val="20"/>
        </w:rPr>
        <w:t>, but which may extend to three times the amount involved in the fraud. In case, the fraud in question involves public interest, the term of imprisonment shall not be less than three years.</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In terms of Section 448, a Company Secretary in Practice is liable to attract penal provision if, he makes statement in the Secretarial Audit Report which is false is any material particulars, knowing it be false or omits any material fact knowing it to be material.</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Besides, the Company Secretary in Practice shall be liable for professional or other misconduct mentioned in First or Second Schedule or in both the Schedules to the Company Secretaries Act, 1980 and where held guilty, be liable for the following actions:</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xml:space="preserve">(i)  </w:t>
      </w:r>
      <w:r w:rsidR="001E63A0" w:rsidRPr="005B40E6">
        <w:rPr>
          <w:rFonts w:ascii="Arial" w:eastAsia="Times New Roman" w:hAnsi="Arial" w:cs="Arial"/>
          <w:sz w:val="20"/>
          <w:szCs w:val="20"/>
        </w:rPr>
        <w:t>Where</w:t>
      </w:r>
      <w:r w:rsidRPr="005B40E6">
        <w:rPr>
          <w:rFonts w:ascii="Arial" w:eastAsia="Times New Roman" w:hAnsi="Arial" w:cs="Arial"/>
          <w:sz w:val="20"/>
          <w:szCs w:val="20"/>
        </w:rPr>
        <w:t xml:space="preserve"> found guilty of professional or other misconduct mentioned in the First Schedule:</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xml:space="preserve">(a)  </w:t>
      </w:r>
      <w:r w:rsidR="001E63A0" w:rsidRPr="005B40E6">
        <w:rPr>
          <w:rFonts w:ascii="Arial" w:eastAsia="Times New Roman" w:hAnsi="Arial" w:cs="Arial"/>
          <w:sz w:val="20"/>
          <w:szCs w:val="20"/>
        </w:rPr>
        <w:t>Reprimand</w:t>
      </w:r>
      <w:r w:rsidRPr="005B40E6">
        <w:rPr>
          <w:rFonts w:ascii="Arial" w:eastAsia="Times New Roman" w:hAnsi="Arial" w:cs="Arial"/>
          <w:sz w:val="20"/>
          <w:szCs w:val="20"/>
        </w:rPr>
        <w:t>;</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xml:space="preserve">(b)  </w:t>
      </w:r>
      <w:r w:rsidR="001E63A0" w:rsidRPr="005B40E6">
        <w:rPr>
          <w:rFonts w:ascii="Arial" w:eastAsia="Times New Roman" w:hAnsi="Arial" w:cs="Arial"/>
          <w:sz w:val="20"/>
          <w:szCs w:val="20"/>
        </w:rPr>
        <w:t>Removal</w:t>
      </w:r>
      <w:r w:rsidRPr="005B40E6">
        <w:rPr>
          <w:rFonts w:ascii="Arial" w:eastAsia="Times New Roman" w:hAnsi="Arial" w:cs="Arial"/>
          <w:sz w:val="20"/>
          <w:szCs w:val="20"/>
        </w:rPr>
        <w:t xml:space="preserve"> of name from the register of members </w:t>
      </w:r>
      <w:r w:rsidR="001E63A0" w:rsidRPr="005B40E6">
        <w:rPr>
          <w:rFonts w:ascii="Arial" w:eastAsia="Times New Roman" w:hAnsi="Arial" w:cs="Arial"/>
          <w:sz w:val="20"/>
          <w:szCs w:val="20"/>
        </w:rPr>
        <w:t>up to</w:t>
      </w:r>
      <w:r w:rsidRPr="005B40E6">
        <w:rPr>
          <w:rFonts w:ascii="Arial" w:eastAsia="Times New Roman" w:hAnsi="Arial" w:cs="Arial"/>
          <w:sz w:val="20"/>
          <w:szCs w:val="20"/>
        </w:rPr>
        <w:t xml:space="preserve"> a period of three months;</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xml:space="preserve">(c) </w:t>
      </w:r>
      <w:r w:rsidR="001E63A0" w:rsidRPr="005B40E6">
        <w:rPr>
          <w:rFonts w:ascii="Arial" w:eastAsia="Times New Roman" w:hAnsi="Arial" w:cs="Arial"/>
          <w:sz w:val="20"/>
          <w:szCs w:val="20"/>
        </w:rPr>
        <w:t>Fine</w:t>
      </w:r>
      <w:r w:rsidRPr="005B40E6">
        <w:rPr>
          <w:rFonts w:ascii="Arial" w:eastAsia="Times New Roman" w:hAnsi="Arial" w:cs="Arial"/>
          <w:sz w:val="20"/>
          <w:szCs w:val="20"/>
        </w:rPr>
        <w:t xml:space="preserve"> which may extend to one lakh rupees.</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lastRenderedPageBreak/>
        <w:t xml:space="preserve">(ii)  </w:t>
      </w:r>
      <w:r w:rsidR="001E63A0" w:rsidRPr="005B40E6">
        <w:rPr>
          <w:rFonts w:ascii="Arial" w:eastAsia="Times New Roman" w:hAnsi="Arial" w:cs="Arial"/>
          <w:sz w:val="20"/>
          <w:szCs w:val="20"/>
        </w:rPr>
        <w:t>Where</w:t>
      </w:r>
      <w:r w:rsidRPr="005B40E6">
        <w:rPr>
          <w:rFonts w:ascii="Arial" w:eastAsia="Times New Roman" w:hAnsi="Arial" w:cs="Arial"/>
          <w:sz w:val="20"/>
          <w:szCs w:val="20"/>
        </w:rPr>
        <w:t xml:space="preserve"> found guilty of professional or other misconduct mentioned in the Second Schedule:</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xml:space="preserve">(a)  </w:t>
      </w:r>
      <w:r w:rsidR="001E63A0" w:rsidRPr="005B40E6">
        <w:rPr>
          <w:rFonts w:ascii="Arial" w:eastAsia="Times New Roman" w:hAnsi="Arial" w:cs="Arial"/>
          <w:sz w:val="20"/>
          <w:szCs w:val="20"/>
        </w:rPr>
        <w:t>Reprimand</w:t>
      </w:r>
      <w:r w:rsidRPr="005B40E6">
        <w:rPr>
          <w:rFonts w:ascii="Arial" w:eastAsia="Times New Roman" w:hAnsi="Arial" w:cs="Arial"/>
          <w:sz w:val="20"/>
          <w:szCs w:val="20"/>
        </w:rPr>
        <w:t>;</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xml:space="preserve">(b) </w:t>
      </w:r>
      <w:r w:rsidR="001E63A0" w:rsidRPr="005B40E6">
        <w:rPr>
          <w:rFonts w:ascii="Arial" w:eastAsia="Times New Roman" w:hAnsi="Arial" w:cs="Arial"/>
          <w:sz w:val="20"/>
          <w:szCs w:val="20"/>
        </w:rPr>
        <w:t>Removal</w:t>
      </w:r>
      <w:r w:rsidRPr="005B40E6">
        <w:rPr>
          <w:rFonts w:ascii="Arial" w:eastAsia="Times New Roman" w:hAnsi="Arial" w:cs="Arial"/>
          <w:sz w:val="20"/>
          <w:szCs w:val="20"/>
        </w:rPr>
        <w:t xml:space="preserve"> of name from the register of members permanently or such period as may be thought fit by the Disciplinary Committee;</w:t>
      </w:r>
    </w:p>
    <w:p w:rsidR="005B40E6" w:rsidRPr="005B40E6" w:rsidRDefault="005B40E6" w:rsidP="005B40E6">
      <w:pPr>
        <w:shd w:val="clear" w:color="auto" w:fill="FFFFFF"/>
        <w:spacing w:before="150" w:after="0" w:line="300" w:lineRule="atLeast"/>
        <w:jc w:val="both"/>
        <w:rPr>
          <w:rFonts w:ascii="Arial" w:eastAsia="Times New Roman" w:hAnsi="Arial" w:cs="Arial"/>
          <w:sz w:val="20"/>
          <w:szCs w:val="20"/>
        </w:rPr>
      </w:pPr>
      <w:r w:rsidRPr="005B40E6">
        <w:rPr>
          <w:rFonts w:ascii="Arial" w:eastAsia="Times New Roman" w:hAnsi="Arial" w:cs="Arial"/>
          <w:sz w:val="20"/>
          <w:szCs w:val="20"/>
        </w:rPr>
        <w:t xml:space="preserve">(c) </w:t>
      </w:r>
      <w:r w:rsidR="001E63A0" w:rsidRPr="005B40E6">
        <w:rPr>
          <w:rFonts w:ascii="Arial" w:eastAsia="Times New Roman" w:hAnsi="Arial" w:cs="Arial"/>
          <w:sz w:val="20"/>
          <w:szCs w:val="20"/>
        </w:rPr>
        <w:t>Fine</w:t>
      </w:r>
      <w:r w:rsidRPr="005B40E6">
        <w:rPr>
          <w:rFonts w:ascii="Arial" w:eastAsia="Times New Roman" w:hAnsi="Arial" w:cs="Arial"/>
          <w:sz w:val="20"/>
          <w:szCs w:val="20"/>
        </w:rPr>
        <w:t xml:space="preserve"> which may extend to five lakh rupees.</w:t>
      </w:r>
    </w:p>
    <w:sectPr w:rsidR="005B40E6" w:rsidRPr="005B40E6" w:rsidSect="004636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642D"/>
    <w:multiLevelType w:val="multilevel"/>
    <w:tmpl w:val="B22E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00B56"/>
    <w:multiLevelType w:val="multilevel"/>
    <w:tmpl w:val="323A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730D65"/>
    <w:multiLevelType w:val="multilevel"/>
    <w:tmpl w:val="12C2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0724A3"/>
    <w:multiLevelType w:val="multilevel"/>
    <w:tmpl w:val="836A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C31982"/>
    <w:multiLevelType w:val="multilevel"/>
    <w:tmpl w:val="871C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186E03"/>
    <w:multiLevelType w:val="multilevel"/>
    <w:tmpl w:val="4CCE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092DDB"/>
    <w:multiLevelType w:val="multilevel"/>
    <w:tmpl w:val="C6D4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8E3379"/>
    <w:multiLevelType w:val="multilevel"/>
    <w:tmpl w:val="A626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97565A"/>
    <w:multiLevelType w:val="multilevel"/>
    <w:tmpl w:val="0A62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40E6"/>
    <w:rsid w:val="001E63A0"/>
    <w:rsid w:val="00463671"/>
    <w:rsid w:val="005B40E6"/>
    <w:rsid w:val="00ED79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671"/>
  </w:style>
  <w:style w:type="paragraph" w:styleId="Heading2">
    <w:name w:val="heading 2"/>
    <w:basedOn w:val="Normal"/>
    <w:link w:val="Heading2Char"/>
    <w:uiPriority w:val="9"/>
    <w:qFormat/>
    <w:rsid w:val="005B40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40E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5B40E6"/>
    <w:rPr>
      <w:color w:val="0000FF"/>
      <w:u w:val="single"/>
    </w:rPr>
  </w:style>
  <w:style w:type="character" w:customStyle="1" w:styleId="apple-converted-space">
    <w:name w:val="apple-converted-space"/>
    <w:basedOn w:val="DefaultParagraphFont"/>
    <w:rsid w:val="005B40E6"/>
  </w:style>
  <w:style w:type="paragraph" w:styleId="NormalWeb">
    <w:name w:val="Normal (Web)"/>
    <w:basedOn w:val="Normal"/>
    <w:uiPriority w:val="99"/>
    <w:semiHidden/>
    <w:unhideWhenUsed/>
    <w:rsid w:val="005B40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40E6"/>
    <w:rPr>
      <w:b/>
      <w:bCs/>
    </w:rPr>
  </w:style>
  <w:style w:type="character" w:customStyle="1" w:styleId="gd">
    <w:name w:val="gd"/>
    <w:basedOn w:val="DefaultParagraphFont"/>
    <w:rsid w:val="005B40E6"/>
  </w:style>
  <w:style w:type="character" w:customStyle="1" w:styleId="ilad">
    <w:name w:val="il_ad"/>
    <w:basedOn w:val="DefaultParagraphFont"/>
    <w:rsid w:val="005B40E6"/>
  </w:style>
  <w:style w:type="character" w:styleId="Emphasis">
    <w:name w:val="Emphasis"/>
    <w:basedOn w:val="DefaultParagraphFont"/>
    <w:uiPriority w:val="20"/>
    <w:qFormat/>
    <w:rsid w:val="005B40E6"/>
    <w:rPr>
      <w:i/>
      <w:iCs/>
    </w:rPr>
  </w:style>
  <w:style w:type="paragraph" w:styleId="BalloonText">
    <w:name w:val="Balloon Text"/>
    <w:basedOn w:val="Normal"/>
    <w:link w:val="BalloonTextChar"/>
    <w:uiPriority w:val="99"/>
    <w:semiHidden/>
    <w:unhideWhenUsed/>
    <w:rsid w:val="005B4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0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766427">
      <w:bodyDiv w:val="1"/>
      <w:marLeft w:val="0"/>
      <w:marRight w:val="0"/>
      <w:marTop w:val="0"/>
      <w:marBottom w:val="0"/>
      <w:divBdr>
        <w:top w:val="none" w:sz="0" w:space="0" w:color="auto"/>
        <w:left w:val="none" w:sz="0" w:space="0" w:color="auto"/>
        <w:bottom w:val="none" w:sz="0" w:space="0" w:color="auto"/>
        <w:right w:val="none" w:sz="0" w:space="0" w:color="auto"/>
      </w:divBdr>
      <w:divsChild>
        <w:div w:id="771702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1730</Words>
  <Characters>9865</Characters>
  <Application>Microsoft Office Word</Application>
  <DocSecurity>0</DocSecurity>
  <Lines>82</Lines>
  <Paragraphs>23</Paragraphs>
  <ScaleCrop>false</ScaleCrop>
  <Company/>
  <LinksUpToDate>false</LinksUpToDate>
  <CharactersWithSpaces>11572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2015-03-02T06:53:00Z</dcterms:created>
  <dcterms:modified xsi:type="dcterms:W3CDTF">2015-03-02T07:00:00Z</dcterms:modified>
</cp:coreProperties>
</file>