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FD9" w:rsidRPr="00F076C8" w:rsidRDefault="004056CC" w:rsidP="007F14A2">
      <w:pPr>
        <w:shd w:val="clear" w:color="auto" w:fill="FFFFFF"/>
        <w:spacing w:after="0" w:line="240" w:lineRule="atLeast"/>
        <w:textAlignment w:val="baseline"/>
        <w:rPr>
          <w:rFonts w:ascii="Lucida Calligraphy" w:eastAsia="Times New Roman" w:hAnsi="Lucida Calligraphy" w:cs="Helvetica"/>
          <w:b/>
          <w:bCs/>
          <w:sz w:val="24"/>
          <w:szCs w:val="24"/>
          <w:u w:val="single"/>
          <w:bdr w:val="none" w:sz="0" w:space="0" w:color="auto" w:frame="1"/>
        </w:rPr>
      </w:pPr>
      <w:r w:rsidRPr="00F076C8">
        <w:rPr>
          <w:rFonts w:ascii="Lucida Calligraphy" w:eastAsia="Times New Roman" w:hAnsi="Lucida Calligraphy" w:cs="Helvetica"/>
          <w:b/>
          <w:bCs/>
          <w:sz w:val="24"/>
          <w:szCs w:val="24"/>
          <w:u w:val="single"/>
          <w:bdr w:val="none" w:sz="0" w:space="0" w:color="auto" w:frame="1"/>
        </w:rPr>
        <w:t xml:space="preserve">Summary of </w:t>
      </w:r>
      <w:r w:rsidR="00946FD9" w:rsidRPr="00F076C8">
        <w:rPr>
          <w:rFonts w:ascii="Lucida Calligraphy" w:eastAsia="Times New Roman" w:hAnsi="Lucida Calligraphy" w:cs="Helvetica"/>
          <w:b/>
          <w:bCs/>
          <w:sz w:val="24"/>
          <w:szCs w:val="24"/>
          <w:u w:val="single"/>
          <w:bdr w:val="none" w:sz="0" w:space="0" w:color="auto" w:frame="1"/>
        </w:rPr>
        <w:t>MCA Circulars</w:t>
      </w:r>
    </w:p>
    <w:p w:rsidR="008A4C64" w:rsidRPr="00F076C8" w:rsidRDefault="008A4C64" w:rsidP="009B27C8">
      <w:pPr>
        <w:shd w:val="clear" w:color="auto" w:fill="FFFFFF"/>
        <w:spacing w:after="0" w:line="240" w:lineRule="atLeast"/>
        <w:textAlignment w:val="baseline"/>
        <w:rPr>
          <w:rFonts w:ascii="Book Antiqua" w:eastAsia="Times New Roman" w:hAnsi="Book Antiqua" w:cs="Helvetica"/>
          <w:b/>
          <w:bCs/>
          <w:sz w:val="24"/>
          <w:szCs w:val="24"/>
          <w:bdr w:val="none" w:sz="0" w:space="0" w:color="auto" w:frame="1"/>
        </w:rPr>
      </w:pPr>
    </w:p>
    <w:p w:rsidR="00D04F35" w:rsidRDefault="00D04F35" w:rsidP="00277DDF">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p>
    <w:p w:rsidR="000A02B9" w:rsidRPr="00D04F35" w:rsidRDefault="00D04F35" w:rsidP="00277DDF">
      <w:pPr>
        <w:autoSpaceDE w:val="0"/>
        <w:autoSpaceDN w:val="0"/>
        <w:adjustRightInd w:val="0"/>
        <w:spacing w:after="0" w:line="240" w:lineRule="auto"/>
        <w:rPr>
          <w:rFonts w:ascii="Book Antiqua" w:eastAsia="Times New Roman" w:hAnsi="Book Antiqua" w:cs="Helvetica"/>
          <w:b/>
          <w:bCs/>
          <w:color w:val="0000FF"/>
          <w:sz w:val="24"/>
          <w:szCs w:val="24"/>
          <w:u w:val="single"/>
          <w:bdr w:val="none" w:sz="0" w:space="0" w:color="auto" w:frame="1"/>
        </w:rPr>
      </w:pPr>
      <w:r w:rsidRPr="00D04F35">
        <w:rPr>
          <w:rFonts w:ascii="Book Antiqua" w:eastAsia="Times New Roman" w:hAnsi="Book Antiqua" w:cs="Helvetica"/>
          <w:b/>
          <w:bCs/>
          <w:color w:val="0000FF"/>
          <w:sz w:val="24"/>
          <w:szCs w:val="24"/>
          <w:u w:val="single"/>
          <w:bdr w:val="none" w:sz="0" w:space="0" w:color="auto" w:frame="1"/>
        </w:rPr>
        <w:t>General Circulars from 28.03.2014 To 17.09.2014</w:t>
      </w:r>
    </w:p>
    <w:p w:rsidR="00D04F35" w:rsidRDefault="00D04F35" w:rsidP="00277DDF">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p>
    <w:p w:rsidR="00D04F35" w:rsidRDefault="00D04F35" w:rsidP="00277DDF">
      <w:pPr>
        <w:autoSpaceDE w:val="0"/>
        <w:autoSpaceDN w:val="0"/>
        <w:adjustRightInd w:val="0"/>
        <w:spacing w:after="0" w:line="240" w:lineRule="auto"/>
        <w:rPr>
          <w:rFonts w:ascii="Book Antiqua" w:eastAsia="Times New Roman" w:hAnsi="Book Antiqua" w:cs="Helvetica"/>
          <w:b/>
          <w:bCs/>
          <w:sz w:val="24"/>
          <w:szCs w:val="24"/>
          <w:bdr w:val="none" w:sz="0" w:space="0" w:color="auto" w:frame="1"/>
        </w:rPr>
      </w:pPr>
    </w:p>
    <w:p w:rsidR="008A4C64" w:rsidRPr="008F40B8" w:rsidRDefault="00277DDF" w:rsidP="00277DDF">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 xml:space="preserve">General Circular No.36/2014 dated 17.09.2014, Clarification with regard to provisions of Corporate Social Responsibility (CSR) under section 135 of the Companies Act, </w:t>
      </w:r>
      <w:r w:rsidRPr="008F40B8">
        <w:rPr>
          <w:rFonts w:ascii="Book Antiqua" w:eastAsia="Times New Roman" w:hAnsi="Book Antiqua" w:cs="Helvetica"/>
          <w:b/>
          <w:bCs/>
          <w:color w:val="0000FF"/>
          <w:sz w:val="24"/>
          <w:szCs w:val="24"/>
          <w:bdr w:val="none" w:sz="0" w:space="0" w:color="auto" w:frame="1"/>
        </w:rPr>
        <w:br/>
        <w:t>2013.</w:t>
      </w:r>
    </w:p>
    <w:p w:rsidR="00277DDF" w:rsidRDefault="00277DDF" w:rsidP="00277DDF">
      <w:pPr>
        <w:autoSpaceDE w:val="0"/>
        <w:autoSpaceDN w:val="0"/>
        <w:adjustRightInd w:val="0"/>
        <w:spacing w:after="0" w:line="240" w:lineRule="auto"/>
        <w:rPr>
          <w:rFonts w:ascii="Book Antiqua" w:eastAsia="Times New Roman" w:hAnsi="Book Antiqua" w:cs="Helvetica"/>
          <w:b/>
          <w:bCs/>
          <w:sz w:val="24"/>
          <w:szCs w:val="24"/>
          <w:bdr w:val="none" w:sz="0" w:space="0" w:color="auto" w:frame="1"/>
        </w:rPr>
      </w:pPr>
    </w:p>
    <w:p w:rsidR="00277DDF" w:rsidRDefault="00277DDF" w:rsidP="00277DDF">
      <w:pPr>
        <w:widowControl w:val="0"/>
        <w:tabs>
          <w:tab w:val="left" w:pos="7915"/>
        </w:tabs>
        <w:autoSpaceDE w:val="0"/>
        <w:autoSpaceDN w:val="0"/>
        <w:adjustRightInd w:val="0"/>
        <w:spacing w:after="0" w:line="253" w:lineRule="exact"/>
        <w:jc w:val="both"/>
        <w:rPr>
          <w:rFonts w:ascii="Times New Roman" w:eastAsia="Calibri" w:hAnsi="Times New Roman" w:cs="Times New Roman"/>
          <w:color w:val="000000"/>
          <w:w w:val="109"/>
        </w:rPr>
      </w:pPr>
      <w:r>
        <w:rPr>
          <w:rFonts w:ascii="Times New Roman" w:eastAsia="Calibri" w:hAnsi="Times New Roman" w:cs="Times New Roman"/>
          <w:color w:val="000000"/>
          <w:w w:val="109"/>
        </w:rPr>
        <w:t>In continuation of the Genera</w:t>
      </w:r>
      <w:r>
        <w:rPr>
          <w:rFonts w:ascii="Times New Roman" w:hAnsi="Times New Roman"/>
          <w:color w:val="000000"/>
          <w:w w:val="109"/>
        </w:rPr>
        <w:t xml:space="preserve">l Circular No. 21 of 2014 dated </w:t>
      </w:r>
      <w:r>
        <w:rPr>
          <w:rFonts w:ascii="Times New Roman" w:eastAsia="Calibri" w:hAnsi="Times New Roman" w:cs="Times New Roman"/>
          <w:color w:val="000000"/>
          <w:w w:val="109"/>
        </w:rPr>
        <w:t>18.06.2014,</w:t>
      </w:r>
      <w:r>
        <w:rPr>
          <w:rFonts w:ascii="Times New Roman" w:hAnsi="Times New Roman"/>
          <w:color w:val="000000"/>
          <w:w w:val="109"/>
        </w:rPr>
        <w:t xml:space="preserve"> </w:t>
      </w:r>
      <w:r>
        <w:rPr>
          <w:rFonts w:ascii="Times New Roman" w:eastAsia="Calibri" w:hAnsi="Times New Roman" w:cs="Times New Roman"/>
          <w:color w:val="000000"/>
          <w:w w:val="109"/>
        </w:rPr>
        <w:t>the following clarifications are hereby issued:</w:t>
      </w:r>
      <w:r>
        <w:rPr>
          <w:rFonts w:ascii="Times New Roman" w:hAnsi="Times New Roman"/>
          <w:color w:val="000000"/>
          <w:w w:val="109"/>
        </w:rPr>
        <w:tab/>
      </w:r>
    </w:p>
    <w:p w:rsidR="00277DDF" w:rsidRDefault="00277DDF" w:rsidP="00277DDF">
      <w:pPr>
        <w:widowControl w:val="0"/>
        <w:autoSpaceDE w:val="0"/>
        <w:autoSpaceDN w:val="0"/>
        <w:adjustRightInd w:val="0"/>
        <w:spacing w:after="0" w:line="253" w:lineRule="exact"/>
        <w:ind w:left="2726"/>
        <w:rPr>
          <w:rFonts w:ascii="Times New Roman" w:eastAsia="Calibri" w:hAnsi="Times New Roman" w:cs="Times New Roman"/>
          <w:color w:val="000000"/>
          <w:w w:val="109"/>
        </w:rPr>
      </w:pPr>
    </w:p>
    <w:p w:rsidR="00277DDF" w:rsidRPr="00277DDF" w:rsidRDefault="00277DDF" w:rsidP="00277DDF">
      <w:pPr>
        <w:pStyle w:val="ListParagraph"/>
        <w:widowControl w:val="0"/>
        <w:numPr>
          <w:ilvl w:val="0"/>
          <w:numId w:val="1"/>
        </w:numPr>
        <w:tabs>
          <w:tab w:val="left" w:pos="3480"/>
        </w:tabs>
        <w:autoSpaceDE w:val="0"/>
        <w:autoSpaceDN w:val="0"/>
        <w:adjustRightInd w:val="0"/>
        <w:spacing w:after="0" w:line="253" w:lineRule="exact"/>
        <w:ind w:left="630" w:hanging="630"/>
        <w:rPr>
          <w:rFonts w:ascii="Times New Roman" w:eastAsia="Calibri" w:hAnsi="Times New Roman" w:cs="Times New Roman"/>
          <w:color w:val="000000"/>
          <w:w w:val="109"/>
        </w:rPr>
      </w:pPr>
      <w:r w:rsidRPr="00277DDF">
        <w:rPr>
          <w:rFonts w:ascii="Times New Roman" w:eastAsia="Calibri" w:hAnsi="Times New Roman" w:cs="Times New Roman"/>
          <w:color w:val="000000"/>
          <w:w w:val="109"/>
        </w:rPr>
        <w:t>Rule 4(6) of the Companies (Corporate Social Responsibility Policy)Rules, 2014 as notified on 27.02.2014 has been amended by notification</w:t>
      </w:r>
      <w:r>
        <w:rPr>
          <w:rFonts w:ascii="Times New Roman" w:hAnsi="Times New Roman"/>
          <w:color w:val="000000"/>
          <w:w w:val="109"/>
        </w:rPr>
        <w:t xml:space="preserve"> </w:t>
      </w:r>
      <w:r w:rsidRPr="00277DDF">
        <w:rPr>
          <w:rFonts w:ascii="Times New Roman" w:eastAsia="Calibri" w:hAnsi="Times New Roman" w:cs="Times New Roman"/>
          <w:color w:val="000000"/>
          <w:w w:val="109"/>
        </w:rPr>
        <w:t>dated 12.09.2014; and</w:t>
      </w:r>
    </w:p>
    <w:p w:rsidR="00277DDF" w:rsidRDefault="00277DDF" w:rsidP="00277DDF">
      <w:pPr>
        <w:widowControl w:val="0"/>
        <w:autoSpaceDE w:val="0"/>
        <w:autoSpaceDN w:val="0"/>
        <w:adjustRightInd w:val="0"/>
        <w:spacing w:after="0" w:line="253" w:lineRule="exact"/>
        <w:ind w:left="2726"/>
        <w:rPr>
          <w:rFonts w:ascii="Times New Roman" w:eastAsia="Calibri" w:hAnsi="Times New Roman" w:cs="Times New Roman"/>
          <w:color w:val="000000"/>
          <w:w w:val="109"/>
        </w:rPr>
      </w:pPr>
    </w:p>
    <w:p w:rsidR="00277DDF" w:rsidRDefault="00277DDF" w:rsidP="00277DDF">
      <w:pPr>
        <w:widowControl w:val="0"/>
        <w:tabs>
          <w:tab w:val="left" w:pos="3475"/>
        </w:tabs>
        <w:autoSpaceDE w:val="0"/>
        <w:autoSpaceDN w:val="0"/>
        <w:adjustRightInd w:val="0"/>
        <w:spacing w:after="0" w:line="253" w:lineRule="exact"/>
        <w:ind w:left="630" w:hanging="630"/>
        <w:rPr>
          <w:rFonts w:ascii="Times New Roman" w:eastAsia="Calibri" w:hAnsi="Times New Roman" w:cs="Times New Roman"/>
          <w:color w:val="000000"/>
          <w:w w:val="109"/>
        </w:rPr>
      </w:pPr>
      <w:r>
        <w:rPr>
          <w:rFonts w:ascii="Times New Roman" w:eastAsia="Calibri" w:hAnsi="Times New Roman" w:cs="Times New Roman"/>
          <w:color w:val="000000"/>
          <w:w w:val="109"/>
        </w:rPr>
        <w:t>(ii)</w:t>
      </w:r>
      <w:r>
        <w:rPr>
          <w:rFonts w:ascii="Times New Roman" w:eastAsia="Calibri" w:hAnsi="Times New Roman" w:cs="Times New Roman"/>
          <w:color w:val="000000"/>
          <w:w w:val="109"/>
        </w:rPr>
        <w:tab/>
      </w:r>
      <w:r>
        <w:rPr>
          <w:rFonts w:ascii="Times New Roman" w:eastAsia="Calibri" w:hAnsi="Times New Roman" w:cs="Times New Roman"/>
          <w:color w:val="000000"/>
          <w:w w:val="110"/>
          <w:position w:val="-2"/>
        </w:rPr>
        <w:t>Consequently, clarification (iv) in General Circular No. 21 of 2014 dated</w:t>
      </w:r>
      <w:r>
        <w:rPr>
          <w:rFonts w:ascii="Times New Roman" w:hAnsi="Times New Roman"/>
          <w:color w:val="000000"/>
          <w:w w:val="110"/>
          <w:position w:val="-2"/>
        </w:rPr>
        <w:t xml:space="preserve"> </w:t>
      </w:r>
      <w:r>
        <w:rPr>
          <w:rFonts w:ascii="Times New Roman" w:eastAsia="Calibri" w:hAnsi="Times New Roman" w:cs="Times New Roman"/>
          <w:color w:val="000000"/>
          <w:w w:val="109"/>
        </w:rPr>
        <w:t>18.06.2014, stands omitted.</w:t>
      </w:r>
    </w:p>
    <w:p w:rsidR="00277DDF" w:rsidRDefault="00277DDF" w:rsidP="00277DDF">
      <w:pPr>
        <w:widowControl w:val="0"/>
        <w:tabs>
          <w:tab w:val="left" w:pos="3480"/>
        </w:tabs>
        <w:autoSpaceDE w:val="0"/>
        <w:autoSpaceDN w:val="0"/>
        <w:adjustRightInd w:val="0"/>
        <w:spacing w:after="0" w:line="253" w:lineRule="exact"/>
        <w:rPr>
          <w:rFonts w:ascii="Times New Roman" w:eastAsia="Calibri" w:hAnsi="Times New Roman" w:cs="Times New Roman"/>
          <w:color w:val="000000"/>
          <w:w w:val="109"/>
        </w:rPr>
      </w:pPr>
      <w:r>
        <w:rPr>
          <w:rFonts w:ascii="Times New Roman" w:hAnsi="Times New Roman"/>
          <w:color w:val="000000"/>
          <w:w w:val="109"/>
        </w:rPr>
        <w:t xml:space="preserve"> </w:t>
      </w:r>
      <w:r>
        <w:rPr>
          <w:rFonts w:ascii="Times New Roman" w:eastAsia="Calibri" w:hAnsi="Times New Roman" w:cs="Times New Roman"/>
          <w:color w:val="000000"/>
          <w:w w:val="109"/>
        </w:rPr>
        <w:t>This issues with the approval of Competent Authority.</w:t>
      </w:r>
    </w:p>
    <w:p w:rsidR="00FF1D5B" w:rsidRDefault="00FF1D5B" w:rsidP="00277DDF">
      <w:pPr>
        <w:widowControl w:val="0"/>
        <w:tabs>
          <w:tab w:val="left" w:pos="3480"/>
        </w:tabs>
        <w:autoSpaceDE w:val="0"/>
        <w:autoSpaceDN w:val="0"/>
        <w:adjustRightInd w:val="0"/>
        <w:spacing w:after="0" w:line="253" w:lineRule="exact"/>
        <w:rPr>
          <w:rFonts w:ascii="Times New Roman" w:eastAsia="Calibri" w:hAnsi="Times New Roman" w:cs="Times New Roman"/>
          <w:color w:val="000000"/>
          <w:w w:val="109"/>
        </w:rPr>
      </w:pPr>
    </w:p>
    <w:p w:rsidR="000A02B9" w:rsidRDefault="000A02B9" w:rsidP="00FF1D5B">
      <w:pPr>
        <w:autoSpaceDE w:val="0"/>
        <w:autoSpaceDN w:val="0"/>
        <w:adjustRightInd w:val="0"/>
        <w:spacing w:after="0" w:line="240" w:lineRule="auto"/>
        <w:rPr>
          <w:rFonts w:ascii="Book Antiqua" w:eastAsia="Times New Roman" w:hAnsi="Book Antiqua" w:cs="Helvetica"/>
          <w:b/>
          <w:bCs/>
          <w:sz w:val="24"/>
          <w:szCs w:val="24"/>
          <w:bdr w:val="none" w:sz="0" w:space="0" w:color="auto" w:frame="1"/>
        </w:rPr>
      </w:pPr>
    </w:p>
    <w:p w:rsidR="00FF1D5B" w:rsidRPr="008F40B8" w:rsidRDefault="00FF1D5B" w:rsidP="00FF1D5B">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General Circular No. 35/2014 dated 27.08.2014, Clarification Accounting Standards (AS) 10 - Capitalization of Cost</w:t>
      </w:r>
    </w:p>
    <w:p w:rsidR="000A02B9" w:rsidRDefault="000A02B9" w:rsidP="00FF1D5B">
      <w:pPr>
        <w:widowControl w:val="0"/>
        <w:autoSpaceDE w:val="0"/>
        <w:autoSpaceDN w:val="0"/>
        <w:adjustRightInd w:val="0"/>
        <w:spacing w:before="132" w:after="0" w:line="276" w:lineRule="exact"/>
        <w:jc w:val="both"/>
        <w:rPr>
          <w:rFonts w:ascii="Times New Roman" w:hAnsi="Times New Roman"/>
          <w:color w:val="000000"/>
          <w:w w:val="109"/>
          <w:sz w:val="24"/>
          <w:szCs w:val="24"/>
        </w:rPr>
      </w:pPr>
    </w:p>
    <w:p w:rsidR="00FF1D5B" w:rsidRPr="00FF1D5B" w:rsidRDefault="00FF1D5B" w:rsidP="00FF1D5B">
      <w:pPr>
        <w:widowControl w:val="0"/>
        <w:autoSpaceDE w:val="0"/>
        <w:autoSpaceDN w:val="0"/>
        <w:adjustRightInd w:val="0"/>
        <w:spacing w:before="132" w:after="0" w:line="276" w:lineRule="exact"/>
        <w:jc w:val="both"/>
        <w:rPr>
          <w:rFonts w:ascii="Times New Roman" w:hAnsi="Times New Roman"/>
          <w:color w:val="000000"/>
          <w:w w:val="108"/>
          <w:sz w:val="24"/>
          <w:szCs w:val="24"/>
        </w:rPr>
      </w:pPr>
      <w:r>
        <w:rPr>
          <w:rFonts w:ascii="Times New Roman" w:eastAsia="Calibri" w:hAnsi="Times New Roman" w:cs="Times New Roman"/>
          <w:color w:val="000000"/>
          <w:w w:val="109"/>
          <w:sz w:val="24"/>
          <w:szCs w:val="24"/>
        </w:rPr>
        <w:t>Government has received a number of representations seeking clarifications on</w:t>
      </w:r>
      <w:r>
        <w:rPr>
          <w:rFonts w:ascii="Times New Roman" w:hAnsi="Times New Roman"/>
          <w:color w:val="000000"/>
          <w:w w:val="109"/>
          <w:sz w:val="24"/>
          <w:szCs w:val="24"/>
        </w:rPr>
        <w:t xml:space="preserve"> </w:t>
      </w:r>
      <w:r>
        <w:rPr>
          <w:rFonts w:ascii="Times New Roman" w:eastAsia="Calibri" w:hAnsi="Times New Roman" w:cs="Times New Roman"/>
          <w:color w:val="000000"/>
          <w:w w:val="104"/>
          <w:sz w:val="24"/>
          <w:szCs w:val="24"/>
        </w:rPr>
        <w:t>capitalization of costs in cases of Competitive Bid power projects. The clarifications sou</w:t>
      </w:r>
      <w:r>
        <w:rPr>
          <w:rFonts w:ascii="Times New Roman" w:hAnsi="Times New Roman"/>
          <w:color w:val="000000"/>
          <w:w w:val="104"/>
          <w:sz w:val="24"/>
          <w:szCs w:val="24"/>
        </w:rPr>
        <w:t>g</w:t>
      </w:r>
      <w:r>
        <w:rPr>
          <w:rFonts w:ascii="Times New Roman" w:eastAsia="Calibri" w:hAnsi="Times New Roman" w:cs="Times New Roman"/>
          <w:color w:val="000000"/>
          <w:w w:val="108"/>
          <w:sz w:val="24"/>
          <w:szCs w:val="24"/>
        </w:rPr>
        <w:t>ht</w:t>
      </w:r>
      <w:r>
        <w:rPr>
          <w:rFonts w:ascii="Times New Roman" w:hAnsi="Times New Roman"/>
          <w:color w:val="000000"/>
          <w:w w:val="108"/>
          <w:sz w:val="24"/>
          <w:szCs w:val="24"/>
        </w:rPr>
        <w:t xml:space="preserve"> </w:t>
      </w:r>
      <w:r>
        <w:rPr>
          <w:rFonts w:ascii="Times New Roman" w:eastAsia="Calibri" w:hAnsi="Times New Roman" w:cs="Times New Roman"/>
          <w:color w:val="000000"/>
          <w:w w:val="109"/>
          <w:sz w:val="24"/>
          <w:szCs w:val="24"/>
        </w:rPr>
        <w:t>were with regard to capitalization of borrowing costs incurred during extended delay</w:t>
      </w:r>
      <w:r>
        <w:rPr>
          <w:rFonts w:ascii="Times New Roman" w:eastAsia="Calibri" w:hAnsi="Times New Roman" w:cs="Times New Roman"/>
          <w:color w:val="000000"/>
          <w:w w:val="108"/>
          <w:sz w:val="24"/>
          <w:szCs w:val="24"/>
        </w:rPr>
        <w:t>in</w:t>
      </w:r>
      <w:r>
        <w:rPr>
          <w:rFonts w:ascii="Times New Roman" w:hAnsi="Times New Roman"/>
          <w:color w:val="000000"/>
          <w:w w:val="108"/>
          <w:sz w:val="24"/>
          <w:szCs w:val="24"/>
        </w:rPr>
        <w:t xml:space="preserve">g </w:t>
      </w:r>
      <w:r>
        <w:rPr>
          <w:rFonts w:ascii="Times New Roman" w:eastAsia="Calibri" w:hAnsi="Times New Roman" w:cs="Times New Roman"/>
          <w:color w:val="000000"/>
          <w:w w:val="109"/>
          <w:sz w:val="24"/>
          <w:szCs w:val="24"/>
        </w:rPr>
        <w:t>commercial production for reasons beyond the developer's- control, and wheth</w:t>
      </w:r>
      <w:r>
        <w:rPr>
          <w:rFonts w:ascii="Times New Roman" w:eastAsia="Calibri" w:hAnsi="Times New Roman" w:cs="Times New Roman"/>
          <w:color w:val="000000"/>
          <w:w w:val="108"/>
          <w:sz w:val="24"/>
          <w:szCs w:val="24"/>
        </w:rPr>
        <w:t>er</w:t>
      </w:r>
      <w:r>
        <w:rPr>
          <w:rFonts w:ascii="Times New Roman" w:hAnsi="Times New Roman"/>
          <w:color w:val="000000"/>
          <w:w w:val="108"/>
          <w:sz w:val="24"/>
          <w:szCs w:val="24"/>
        </w:rPr>
        <w:t xml:space="preserve"> </w:t>
      </w:r>
      <w:r>
        <w:rPr>
          <w:rFonts w:ascii="Times New Roman" w:eastAsia="Calibri" w:hAnsi="Times New Roman" w:cs="Times New Roman"/>
          <w:color w:val="000000"/>
          <w:w w:val="109"/>
          <w:sz w:val="24"/>
          <w:szCs w:val="24"/>
        </w:rPr>
        <w:t>capitalization of power plant should be unit-wise or project-wise. The matter has bee</w:t>
      </w:r>
      <w:r>
        <w:rPr>
          <w:rFonts w:ascii="Times New Roman" w:eastAsia="Calibri" w:hAnsi="Times New Roman" w:cs="Times New Roman"/>
          <w:color w:val="000000"/>
          <w:w w:val="108"/>
          <w:sz w:val="24"/>
          <w:szCs w:val="24"/>
        </w:rPr>
        <w:t>n</w:t>
      </w:r>
      <w:r>
        <w:rPr>
          <w:rFonts w:ascii="Times New Roman" w:hAnsi="Times New Roman"/>
          <w:color w:val="000000"/>
          <w:w w:val="108"/>
          <w:sz w:val="24"/>
          <w:szCs w:val="24"/>
        </w:rPr>
        <w:t xml:space="preserve"> </w:t>
      </w:r>
      <w:r>
        <w:rPr>
          <w:rFonts w:ascii="Times New Roman" w:eastAsia="Calibri" w:hAnsi="Times New Roman" w:cs="Times New Roman"/>
          <w:color w:val="000000"/>
          <w:w w:val="107"/>
          <w:sz w:val="24"/>
          <w:szCs w:val="24"/>
        </w:rPr>
        <w:t>examined in consultation with the Accounting Standards Board (ASB) of the Institute o</w:t>
      </w:r>
      <w:r>
        <w:rPr>
          <w:rFonts w:ascii="Times New Roman" w:eastAsia="Calibri" w:hAnsi="Times New Roman" w:cs="Times New Roman"/>
          <w:color w:val="000000"/>
          <w:w w:val="108"/>
          <w:sz w:val="24"/>
          <w:szCs w:val="24"/>
        </w:rPr>
        <w:t>f</w:t>
      </w:r>
      <w:r>
        <w:rPr>
          <w:rFonts w:ascii="Times New Roman" w:hAnsi="Times New Roman"/>
          <w:color w:val="000000"/>
          <w:w w:val="108"/>
          <w:sz w:val="24"/>
          <w:szCs w:val="24"/>
        </w:rPr>
        <w:t xml:space="preserve"> </w:t>
      </w:r>
      <w:r>
        <w:rPr>
          <w:rFonts w:ascii="Times New Roman" w:eastAsia="Calibri" w:hAnsi="Times New Roman" w:cs="Times New Roman"/>
          <w:color w:val="000000"/>
          <w:w w:val="108"/>
          <w:sz w:val="24"/>
          <w:szCs w:val="24"/>
        </w:rPr>
        <w:t>Chartered Accountants of India (ICAI).</w:t>
      </w:r>
    </w:p>
    <w:p w:rsidR="00FF1D5B" w:rsidRDefault="00FF1D5B" w:rsidP="00FF1D5B">
      <w:pPr>
        <w:widowControl w:val="0"/>
        <w:autoSpaceDE w:val="0"/>
        <w:autoSpaceDN w:val="0"/>
        <w:adjustRightInd w:val="0"/>
        <w:spacing w:before="132" w:after="0" w:line="276" w:lineRule="exact"/>
        <w:jc w:val="both"/>
        <w:rPr>
          <w:rFonts w:ascii="Times New Roman" w:hAnsi="Times New Roman"/>
          <w:color w:val="000000"/>
          <w:w w:val="109"/>
          <w:sz w:val="24"/>
          <w:szCs w:val="24"/>
        </w:rPr>
      </w:pPr>
      <w:r w:rsidRPr="00FF1D5B">
        <w:rPr>
          <w:rFonts w:ascii="Times New Roman" w:eastAsia="Calibri" w:hAnsi="Times New Roman" w:cs="Times New Roman"/>
          <w:color w:val="000000"/>
          <w:w w:val="109"/>
          <w:sz w:val="24"/>
          <w:szCs w:val="24"/>
        </w:rPr>
        <w:t>Accounting Standards AS- 10 and AS- 16 prescribe the principles of capitalization</w:t>
      </w:r>
      <w:r w:rsidRPr="00FF1D5B">
        <w:rPr>
          <w:rFonts w:ascii="Times New Roman" w:hAnsi="Times New Roman"/>
          <w:color w:val="000000"/>
          <w:w w:val="109"/>
          <w:sz w:val="24"/>
          <w:szCs w:val="24"/>
        </w:rPr>
        <w:t xml:space="preserve"> </w:t>
      </w:r>
      <w:r w:rsidRPr="00FF1D5B">
        <w:rPr>
          <w:rFonts w:ascii="Times New Roman" w:eastAsia="Calibri" w:hAnsi="Times New Roman" w:cs="Times New Roman"/>
          <w:color w:val="000000"/>
          <w:w w:val="109"/>
          <w:sz w:val="24"/>
          <w:szCs w:val="24"/>
        </w:rPr>
        <w:t>of various costs based on the underlying concept that only such</w:t>
      </w:r>
      <w:r w:rsidRPr="00FF1D5B">
        <w:rPr>
          <w:rFonts w:ascii="Times New Roman" w:eastAsia="Calibri" w:hAnsi="Times New Roman" w:cs="Times New Roman"/>
          <w:color w:val="000000"/>
          <w:w w:val="109"/>
          <w:sz w:val="24"/>
          <w:szCs w:val="24"/>
        </w:rPr>
        <w:tab/>
        <w:t>expenditure should be</w:t>
      </w:r>
      <w:r w:rsidRPr="00FF1D5B">
        <w:rPr>
          <w:rFonts w:ascii="Times New Roman" w:hAnsi="Times New Roman"/>
          <w:color w:val="000000"/>
          <w:w w:val="109"/>
          <w:sz w:val="24"/>
          <w:szCs w:val="24"/>
        </w:rPr>
        <w:t xml:space="preserve"> </w:t>
      </w:r>
      <w:r w:rsidRPr="00FF1D5B">
        <w:rPr>
          <w:rFonts w:ascii="Times New Roman" w:eastAsia="Calibri" w:hAnsi="Times New Roman" w:cs="Times New Roman"/>
          <w:color w:val="000000"/>
          <w:w w:val="109"/>
          <w:sz w:val="24"/>
          <w:szCs w:val="24"/>
        </w:rPr>
        <w:t>capitalized as form a part of the cost of fixed assets which increase the worth of the assets.</w:t>
      </w:r>
      <w:r w:rsidRPr="00FF1D5B">
        <w:rPr>
          <w:rFonts w:ascii="Times New Roman" w:hAnsi="Times New Roman"/>
          <w:color w:val="000000"/>
          <w:w w:val="109"/>
          <w:sz w:val="24"/>
          <w:szCs w:val="24"/>
        </w:rPr>
        <w:t xml:space="preserve"> </w:t>
      </w:r>
      <w:r w:rsidRPr="00FF1D5B">
        <w:rPr>
          <w:rFonts w:ascii="Times New Roman" w:eastAsia="Calibri" w:hAnsi="Times New Roman" w:cs="Times New Roman"/>
          <w:color w:val="000000"/>
          <w:w w:val="109"/>
          <w:sz w:val="24"/>
          <w:szCs w:val="24"/>
        </w:rPr>
        <w:t>Cost incurred during the extended delay in commencement of commercial production after</w:t>
      </w:r>
      <w:r w:rsidRPr="00FF1D5B">
        <w:rPr>
          <w:rFonts w:ascii="Times New Roman" w:hAnsi="Times New Roman"/>
          <w:color w:val="000000"/>
          <w:w w:val="109"/>
          <w:sz w:val="24"/>
          <w:szCs w:val="24"/>
        </w:rPr>
        <w:t xml:space="preserve"> </w:t>
      </w:r>
      <w:r w:rsidRPr="00FF1D5B">
        <w:rPr>
          <w:rFonts w:ascii="Times New Roman" w:eastAsia="Calibri" w:hAnsi="Times New Roman" w:cs="Times New Roman"/>
          <w:color w:val="000000"/>
          <w:w w:val="109"/>
          <w:sz w:val="24"/>
          <w:szCs w:val="24"/>
        </w:rPr>
        <w:t>the plant is otherwise ready does not increase the worth of fixed assets. Such costs cannot</w:t>
      </w:r>
      <w:r w:rsidRPr="00FF1D5B">
        <w:rPr>
          <w:rFonts w:ascii="Times New Roman" w:hAnsi="Times New Roman"/>
          <w:color w:val="000000"/>
          <w:w w:val="109"/>
          <w:sz w:val="24"/>
          <w:szCs w:val="24"/>
        </w:rPr>
        <w:t xml:space="preserve"> </w:t>
      </w:r>
      <w:r w:rsidRPr="00FF1D5B">
        <w:rPr>
          <w:rFonts w:ascii="Times New Roman" w:eastAsia="Calibri" w:hAnsi="Times New Roman" w:cs="Times New Roman"/>
          <w:color w:val="000000"/>
          <w:w w:val="109"/>
          <w:sz w:val="24"/>
          <w:szCs w:val="24"/>
        </w:rPr>
        <w:t>therefore, be capitalized</w:t>
      </w:r>
    </w:p>
    <w:p w:rsidR="00FF1D5B" w:rsidRDefault="00FF1D5B" w:rsidP="000A02B9">
      <w:pPr>
        <w:widowControl w:val="0"/>
        <w:autoSpaceDE w:val="0"/>
        <w:autoSpaceDN w:val="0"/>
        <w:adjustRightInd w:val="0"/>
        <w:spacing w:before="132" w:after="0" w:line="276" w:lineRule="exact"/>
        <w:jc w:val="both"/>
        <w:rPr>
          <w:rFonts w:ascii="Times New Roman" w:hAnsi="Times New Roman"/>
          <w:color w:val="000000"/>
          <w:w w:val="109"/>
          <w:sz w:val="24"/>
          <w:szCs w:val="24"/>
        </w:rPr>
      </w:pPr>
      <w:r w:rsidRPr="000A02B9">
        <w:rPr>
          <w:rFonts w:ascii="Times New Roman" w:eastAsia="Calibri" w:hAnsi="Times New Roman" w:cs="Times New Roman"/>
          <w:color w:val="000000"/>
          <w:w w:val="109"/>
          <w:sz w:val="24"/>
          <w:szCs w:val="24"/>
        </w:rPr>
        <w:t>Accounting Standard AS</w:t>
      </w:r>
      <w:r w:rsidRPr="000A02B9">
        <w:rPr>
          <w:rFonts w:ascii="Times New Roman" w:hAnsi="Times New Roman"/>
          <w:color w:val="000000"/>
          <w:w w:val="109"/>
          <w:sz w:val="24"/>
          <w:szCs w:val="24"/>
        </w:rPr>
        <w:t xml:space="preserve"> </w:t>
      </w:r>
      <w:r w:rsidRPr="000A02B9">
        <w:rPr>
          <w:rFonts w:ascii="Times New Roman" w:eastAsia="Calibri" w:hAnsi="Times New Roman" w:cs="Times New Roman"/>
          <w:color w:val="000000"/>
          <w:w w:val="109"/>
          <w:sz w:val="24"/>
          <w:szCs w:val="24"/>
        </w:rPr>
        <w:t>16, in</w:t>
      </w:r>
      <w:r w:rsidRPr="000A02B9">
        <w:rPr>
          <w:rFonts w:ascii="Times New Roman" w:hAnsi="Times New Roman"/>
          <w:color w:val="000000"/>
          <w:w w:val="109"/>
          <w:sz w:val="24"/>
          <w:szCs w:val="24"/>
        </w:rPr>
        <w:t>ter alia provides guidance with r</w:t>
      </w:r>
      <w:r w:rsidRPr="000A02B9">
        <w:rPr>
          <w:rFonts w:ascii="Times New Roman" w:eastAsia="Calibri" w:hAnsi="Times New Roman" w:cs="Times New Roman"/>
          <w:color w:val="000000"/>
          <w:w w:val="109"/>
          <w:sz w:val="24"/>
          <w:szCs w:val="24"/>
        </w:rPr>
        <w:t>egard to part</w:t>
      </w:r>
      <w:r w:rsidRPr="000A02B9">
        <w:rPr>
          <w:rFonts w:ascii="Times New Roman" w:hAnsi="Times New Roman"/>
          <w:color w:val="000000"/>
          <w:w w:val="109"/>
          <w:sz w:val="24"/>
          <w:szCs w:val="24"/>
        </w:rPr>
        <w:t xml:space="preserve"> </w:t>
      </w:r>
      <w:r>
        <w:rPr>
          <w:rFonts w:ascii="Times New Roman" w:eastAsia="Calibri" w:hAnsi="Times New Roman" w:cs="Times New Roman"/>
          <w:color w:val="000000"/>
          <w:w w:val="109"/>
          <w:sz w:val="24"/>
          <w:szCs w:val="24"/>
        </w:rPr>
        <w:t xml:space="preserve">capitalization where some units of a project are complete. In case one of the units of the </w:t>
      </w:r>
      <w:r w:rsidRPr="000A02B9">
        <w:rPr>
          <w:rFonts w:ascii="Times New Roman" w:eastAsia="Calibri" w:hAnsi="Times New Roman" w:cs="Times New Roman"/>
          <w:color w:val="000000"/>
          <w:w w:val="109"/>
          <w:sz w:val="24"/>
          <w:szCs w:val="24"/>
        </w:rPr>
        <w:t xml:space="preserve">project is ready for commercial production and is capable of being used while construction </w:t>
      </w:r>
      <w:r>
        <w:rPr>
          <w:rFonts w:ascii="Times New Roman" w:eastAsia="Calibri" w:hAnsi="Times New Roman" w:cs="Times New Roman"/>
          <w:color w:val="000000"/>
          <w:w w:val="109"/>
          <w:sz w:val="24"/>
          <w:szCs w:val="24"/>
        </w:rPr>
        <w:t>continues for the other units, costs should be capitalized in relation to that part once the part is ready for commercial production</w:t>
      </w:r>
    </w:p>
    <w:p w:rsidR="00FF1D5B" w:rsidRPr="00FF1D5B" w:rsidRDefault="00FF1D5B" w:rsidP="000A02B9">
      <w:pPr>
        <w:widowControl w:val="0"/>
        <w:autoSpaceDE w:val="0"/>
        <w:autoSpaceDN w:val="0"/>
        <w:adjustRightInd w:val="0"/>
        <w:spacing w:before="132" w:after="0" w:line="276" w:lineRule="exact"/>
        <w:jc w:val="both"/>
        <w:rPr>
          <w:rFonts w:ascii="Times New Roman" w:hAnsi="Times New Roman"/>
          <w:color w:val="000000"/>
          <w:w w:val="109"/>
          <w:sz w:val="24"/>
          <w:szCs w:val="24"/>
        </w:rPr>
      </w:pPr>
      <w:r>
        <w:rPr>
          <w:rFonts w:ascii="Times New Roman" w:eastAsia="Calibri" w:hAnsi="Times New Roman" w:cs="Times New Roman"/>
          <w:color w:val="000000"/>
          <w:w w:val="109"/>
          <w:sz w:val="24"/>
          <w:szCs w:val="24"/>
        </w:rPr>
        <w:t xml:space="preserve">It is further clarified that AS 10 and AS 16 are applicable irrespective of whether </w:t>
      </w:r>
      <w:r w:rsidRPr="000A02B9">
        <w:rPr>
          <w:rFonts w:ascii="Times New Roman" w:eastAsia="Calibri" w:hAnsi="Times New Roman" w:cs="Times New Roman"/>
          <w:color w:val="000000"/>
          <w:w w:val="109"/>
          <w:sz w:val="24"/>
          <w:szCs w:val="24"/>
        </w:rPr>
        <w:t xml:space="preserve">the power projects are `Cost Plus projects' or `Competitive Bid projects'. This issues with </w:t>
      </w:r>
      <w:r w:rsidRPr="000A02B9">
        <w:rPr>
          <w:rFonts w:ascii="Times New Roman" w:eastAsia="Calibri" w:hAnsi="Times New Roman" w:cs="Times New Roman"/>
          <w:color w:val="000000"/>
          <w:w w:val="109"/>
          <w:sz w:val="24"/>
          <w:szCs w:val="24"/>
        </w:rPr>
        <w:lastRenderedPageBreak/>
        <w:t>approval of the competent authority</w:t>
      </w:r>
      <w:r w:rsidR="00D04F35">
        <w:rPr>
          <w:rFonts w:ascii="Times New Roman" w:hAnsi="Times New Roman"/>
          <w:color w:val="000000"/>
          <w:w w:val="109"/>
          <w:sz w:val="24"/>
          <w:szCs w:val="24"/>
        </w:rPr>
        <w:t>.</w:t>
      </w:r>
    </w:p>
    <w:p w:rsidR="000A02B9" w:rsidRDefault="000A02B9" w:rsidP="006E2A55">
      <w:pPr>
        <w:autoSpaceDE w:val="0"/>
        <w:autoSpaceDN w:val="0"/>
        <w:adjustRightInd w:val="0"/>
        <w:spacing w:after="0" w:line="240" w:lineRule="auto"/>
        <w:rPr>
          <w:rFonts w:ascii="Book Antiqua" w:eastAsia="Times New Roman" w:hAnsi="Book Antiqua" w:cs="Helvetica"/>
          <w:b/>
          <w:bCs/>
          <w:sz w:val="24"/>
          <w:szCs w:val="24"/>
          <w:bdr w:val="none" w:sz="0" w:space="0" w:color="auto" w:frame="1"/>
        </w:rPr>
      </w:pPr>
    </w:p>
    <w:p w:rsidR="000A02B9" w:rsidRDefault="000A02B9" w:rsidP="006E2A55">
      <w:pPr>
        <w:autoSpaceDE w:val="0"/>
        <w:autoSpaceDN w:val="0"/>
        <w:adjustRightInd w:val="0"/>
        <w:spacing w:after="0" w:line="240" w:lineRule="auto"/>
        <w:rPr>
          <w:rFonts w:ascii="Book Antiqua" w:eastAsia="Times New Roman" w:hAnsi="Book Antiqua" w:cs="Helvetica"/>
          <w:b/>
          <w:bCs/>
          <w:sz w:val="24"/>
          <w:szCs w:val="24"/>
          <w:bdr w:val="none" w:sz="0" w:space="0" w:color="auto" w:frame="1"/>
        </w:rPr>
      </w:pPr>
    </w:p>
    <w:p w:rsidR="006E2A55" w:rsidRPr="008F40B8" w:rsidRDefault="006E2A55" w:rsidP="006E2A55">
      <w:pPr>
        <w:autoSpaceDE w:val="0"/>
        <w:autoSpaceDN w:val="0"/>
        <w:adjustRightInd w:val="0"/>
        <w:spacing w:after="0" w:line="240" w:lineRule="auto"/>
        <w:rPr>
          <w:rFonts w:ascii="ConduitITC-Light" w:hAnsi="ConduitITC-Light" w:cs="ConduitITC-Light"/>
          <w:b/>
          <w:color w:val="0000FF"/>
          <w:sz w:val="20"/>
          <w:szCs w:val="20"/>
        </w:rPr>
      </w:pPr>
      <w:r w:rsidRPr="008F40B8">
        <w:rPr>
          <w:rFonts w:ascii="Book Antiqua" w:eastAsia="Times New Roman" w:hAnsi="Book Antiqua" w:cs="Helvetica"/>
          <w:b/>
          <w:bCs/>
          <w:color w:val="0000FF"/>
          <w:sz w:val="24"/>
          <w:szCs w:val="24"/>
          <w:bdr w:val="none" w:sz="0" w:space="0" w:color="auto" w:frame="1"/>
        </w:rPr>
        <w:t>General Circular</w:t>
      </w:r>
      <w:r w:rsidRPr="008F40B8">
        <w:rPr>
          <w:rFonts w:ascii="ConduitITC-Light" w:hAnsi="ConduitITC-Light" w:cs="ConduitITC-Light"/>
          <w:b/>
          <w:color w:val="0000FF"/>
          <w:sz w:val="20"/>
          <w:szCs w:val="20"/>
        </w:rPr>
        <w:t xml:space="preserve"> </w:t>
      </w:r>
      <w:r w:rsidRPr="008F40B8">
        <w:rPr>
          <w:rFonts w:ascii="Book Antiqua" w:eastAsia="Times New Roman" w:hAnsi="Book Antiqua" w:cs="Helvetica"/>
          <w:b/>
          <w:bCs/>
          <w:color w:val="0000FF"/>
          <w:sz w:val="24"/>
          <w:szCs w:val="24"/>
          <w:bdr w:val="none" w:sz="0" w:space="0" w:color="auto" w:frame="1"/>
        </w:rPr>
        <w:t>No 34/2014</w:t>
      </w:r>
      <w:r w:rsidR="00F076C8" w:rsidRPr="008F40B8">
        <w:rPr>
          <w:rFonts w:ascii="Book Antiqua" w:eastAsia="Times New Roman" w:hAnsi="Book Antiqua" w:cs="Helvetica"/>
          <w:b/>
          <w:bCs/>
          <w:color w:val="0000FF"/>
          <w:sz w:val="24"/>
          <w:szCs w:val="24"/>
          <w:bdr w:val="none" w:sz="0" w:space="0" w:color="auto" w:frame="1"/>
        </w:rPr>
        <w:t xml:space="preserve"> dated 12.08.2014,</w:t>
      </w:r>
      <w:r w:rsidRPr="008F40B8">
        <w:rPr>
          <w:rFonts w:ascii="Book Antiqua" w:eastAsia="Times New Roman" w:hAnsi="Book Antiqua" w:cs="Helvetica"/>
          <w:b/>
          <w:bCs/>
          <w:color w:val="0000FF"/>
          <w:sz w:val="24"/>
          <w:szCs w:val="24"/>
          <w:bdr w:val="none" w:sz="0" w:space="0" w:color="auto" w:frame="1"/>
        </w:rPr>
        <w:t xml:space="preserve"> C</w:t>
      </w:r>
      <w:r w:rsidR="00F076C8" w:rsidRPr="008F40B8">
        <w:rPr>
          <w:rFonts w:ascii="Book Antiqua" w:eastAsia="Times New Roman" w:hAnsi="Book Antiqua" w:cs="Helvetica"/>
          <w:b/>
          <w:bCs/>
          <w:color w:val="0000FF"/>
          <w:sz w:val="24"/>
          <w:szCs w:val="24"/>
          <w:bdr w:val="none" w:sz="0" w:space="0" w:color="auto" w:frame="1"/>
        </w:rPr>
        <w:t xml:space="preserve">ompany </w:t>
      </w:r>
      <w:r w:rsidRPr="008F40B8">
        <w:rPr>
          <w:rFonts w:ascii="Book Antiqua" w:eastAsia="Times New Roman" w:hAnsi="Book Antiqua" w:cs="Helvetica"/>
          <w:b/>
          <w:bCs/>
          <w:color w:val="0000FF"/>
          <w:sz w:val="24"/>
          <w:szCs w:val="24"/>
          <w:bdr w:val="none" w:sz="0" w:space="0" w:color="auto" w:frame="1"/>
        </w:rPr>
        <w:t>L</w:t>
      </w:r>
      <w:r w:rsidR="00F076C8" w:rsidRPr="008F40B8">
        <w:rPr>
          <w:rFonts w:ascii="Book Antiqua" w:eastAsia="Times New Roman" w:hAnsi="Book Antiqua" w:cs="Helvetica"/>
          <w:b/>
          <w:bCs/>
          <w:color w:val="0000FF"/>
          <w:sz w:val="24"/>
          <w:szCs w:val="24"/>
          <w:bdr w:val="none" w:sz="0" w:space="0" w:color="auto" w:frame="1"/>
        </w:rPr>
        <w:t xml:space="preserve">aw </w:t>
      </w:r>
      <w:r w:rsidRPr="008F40B8">
        <w:rPr>
          <w:rFonts w:ascii="Book Antiqua" w:eastAsia="Times New Roman" w:hAnsi="Book Antiqua" w:cs="Helvetica"/>
          <w:b/>
          <w:bCs/>
          <w:color w:val="0000FF"/>
          <w:sz w:val="24"/>
          <w:szCs w:val="24"/>
          <w:bdr w:val="none" w:sz="0" w:space="0" w:color="auto" w:frame="1"/>
        </w:rPr>
        <w:t>S</w:t>
      </w:r>
      <w:r w:rsidR="00F076C8" w:rsidRPr="008F40B8">
        <w:rPr>
          <w:rFonts w:ascii="Book Antiqua" w:eastAsia="Times New Roman" w:hAnsi="Book Antiqua" w:cs="Helvetica"/>
          <w:b/>
          <w:bCs/>
          <w:color w:val="0000FF"/>
          <w:sz w:val="24"/>
          <w:szCs w:val="24"/>
          <w:bdr w:val="none" w:sz="0" w:space="0" w:color="auto" w:frame="1"/>
        </w:rPr>
        <w:t xml:space="preserve">ettlement </w:t>
      </w:r>
      <w:r w:rsidRPr="008F40B8">
        <w:rPr>
          <w:rFonts w:ascii="Book Antiqua" w:eastAsia="Times New Roman" w:hAnsi="Book Antiqua" w:cs="Helvetica"/>
          <w:b/>
          <w:bCs/>
          <w:color w:val="0000FF"/>
          <w:sz w:val="24"/>
          <w:szCs w:val="24"/>
          <w:bdr w:val="none" w:sz="0" w:space="0" w:color="auto" w:frame="1"/>
        </w:rPr>
        <w:t>S</w:t>
      </w:r>
      <w:r w:rsidR="00F076C8" w:rsidRPr="008F40B8">
        <w:rPr>
          <w:rFonts w:ascii="Book Antiqua" w:eastAsia="Times New Roman" w:hAnsi="Book Antiqua" w:cs="Helvetica"/>
          <w:b/>
          <w:bCs/>
          <w:color w:val="0000FF"/>
          <w:sz w:val="24"/>
          <w:szCs w:val="24"/>
          <w:bdr w:val="none" w:sz="0" w:space="0" w:color="auto" w:frame="1"/>
        </w:rPr>
        <w:t>cheme</w:t>
      </w:r>
      <w:r w:rsidRPr="008F40B8">
        <w:rPr>
          <w:rFonts w:ascii="Book Antiqua" w:eastAsia="Times New Roman" w:hAnsi="Book Antiqua" w:cs="Helvetica"/>
          <w:b/>
          <w:bCs/>
          <w:color w:val="0000FF"/>
          <w:sz w:val="24"/>
          <w:szCs w:val="24"/>
          <w:bdr w:val="none" w:sz="0" w:space="0" w:color="auto" w:frame="1"/>
        </w:rPr>
        <w:t>, 2014</w:t>
      </w:r>
    </w:p>
    <w:p w:rsidR="0052624F" w:rsidRPr="00F076C8" w:rsidRDefault="0052624F" w:rsidP="006E2A55">
      <w:pPr>
        <w:autoSpaceDE w:val="0"/>
        <w:autoSpaceDN w:val="0"/>
        <w:adjustRightInd w:val="0"/>
        <w:spacing w:after="0" w:line="240" w:lineRule="auto"/>
        <w:rPr>
          <w:rFonts w:ascii="ConduitITC-Light" w:hAnsi="ConduitITC-Light" w:cs="ConduitITC-Light"/>
          <w:sz w:val="20"/>
          <w:szCs w:val="20"/>
        </w:rPr>
      </w:pPr>
    </w:p>
    <w:p w:rsidR="00110E09" w:rsidRDefault="00110E09" w:rsidP="00C27F81">
      <w:pPr>
        <w:autoSpaceDE w:val="0"/>
        <w:autoSpaceDN w:val="0"/>
        <w:adjustRightInd w:val="0"/>
        <w:spacing w:after="0" w:line="240" w:lineRule="auto"/>
        <w:jc w:val="both"/>
        <w:rPr>
          <w:rFonts w:ascii="Times New Roman" w:hAnsi="Times New Roman"/>
          <w:w w:val="112"/>
          <w:sz w:val="24"/>
          <w:szCs w:val="24"/>
        </w:rPr>
      </w:pPr>
    </w:p>
    <w:p w:rsidR="006E2A55" w:rsidRPr="009B27C8" w:rsidRDefault="006E2A55" w:rsidP="00C27F81">
      <w:pPr>
        <w:autoSpaceDE w:val="0"/>
        <w:autoSpaceDN w:val="0"/>
        <w:adjustRightInd w:val="0"/>
        <w:spacing w:after="0" w:line="240" w:lineRule="auto"/>
        <w:jc w:val="both"/>
        <w:rPr>
          <w:rFonts w:ascii="Times New Roman" w:hAnsi="Times New Roman"/>
          <w:w w:val="112"/>
          <w:sz w:val="24"/>
          <w:szCs w:val="24"/>
        </w:rPr>
      </w:pPr>
      <w:r w:rsidRPr="009B27C8">
        <w:rPr>
          <w:rFonts w:ascii="Times New Roman" w:hAnsi="Times New Roman"/>
          <w:w w:val="112"/>
          <w:sz w:val="24"/>
          <w:szCs w:val="24"/>
        </w:rPr>
        <w:t>In order to give an one time opportunity to all the defaulting companies to enable them to make their default good by filing the belated documents and also to directors to</w:t>
      </w:r>
      <w:r w:rsidR="00C27F81">
        <w:rPr>
          <w:rFonts w:ascii="Times New Roman" w:hAnsi="Times New Roman"/>
          <w:w w:val="112"/>
          <w:sz w:val="24"/>
          <w:szCs w:val="24"/>
        </w:rPr>
        <w:t xml:space="preserve"> a</w:t>
      </w:r>
      <w:r w:rsidRPr="009B27C8">
        <w:rPr>
          <w:rFonts w:ascii="Times New Roman" w:hAnsi="Times New Roman"/>
          <w:w w:val="112"/>
          <w:sz w:val="24"/>
          <w:szCs w:val="24"/>
        </w:rPr>
        <w:t>void penal action by way of their disqualifications, the Central Government in exercise of its powers conferred under section 403 &amp; 460 of</w:t>
      </w:r>
      <w:r w:rsidR="00C27F81">
        <w:rPr>
          <w:rFonts w:ascii="Times New Roman" w:hAnsi="Times New Roman"/>
          <w:w w:val="112"/>
          <w:sz w:val="24"/>
          <w:szCs w:val="24"/>
        </w:rPr>
        <w:t xml:space="preserve"> </w:t>
      </w:r>
      <w:r w:rsidRPr="009B27C8">
        <w:rPr>
          <w:rFonts w:ascii="Times New Roman" w:hAnsi="Times New Roman"/>
          <w:w w:val="112"/>
          <w:sz w:val="24"/>
          <w:szCs w:val="24"/>
        </w:rPr>
        <w:t>the Companies Act, 2013 has introduced a scheme namely “Company Law Settlement Scheme 2014”.</w:t>
      </w:r>
    </w:p>
    <w:p w:rsidR="00C27F81" w:rsidRDefault="00C27F81" w:rsidP="00C27F81">
      <w:pPr>
        <w:autoSpaceDE w:val="0"/>
        <w:autoSpaceDN w:val="0"/>
        <w:adjustRightInd w:val="0"/>
        <w:spacing w:after="0" w:line="240" w:lineRule="auto"/>
        <w:jc w:val="both"/>
        <w:rPr>
          <w:rFonts w:ascii="Times New Roman" w:hAnsi="Times New Roman"/>
          <w:w w:val="112"/>
          <w:sz w:val="24"/>
          <w:szCs w:val="24"/>
        </w:rPr>
      </w:pPr>
    </w:p>
    <w:p w:rsidR="006E2A55" w:rsidRPr="009B27C8" w:rsidRDefault="006E2A55" w:rsidP="00C27F81">
      <w:pPr>
        <w:autoSpaceDE w:val="0"/>
        <w:autoSpaceDN w:val="0"/>
        <w:adjustRightInd w:val="0"/>
        <w:spacing w:after="0" w:line="240" w:lineRule="auto"/>
        <w:jc w:val="both"/>
        <w:rPr>
          <w:rFonts w:ascii="Times New Roman" w:hAnsi="Times New Roman"/>
          <w:w w:val="112"/>
          <w:sz w:val="24"/>
          <w:szCs w:val="24"/>
        </w:rPr>
      </w:pPr>
      <w:r w:rsidRPr="009B27C8">
        <w:rPr>
          <w:rFonts w:ascii="Times New Roman" w:hAnsi="Times New Roman"/>
          <w:w w:val="112"/>
          <w:sz w:val="24"/>
          <w:szCs w:val="24"/>
        </w:rPr>
        <w:t>The scheme provides an opportunity to defaulting companies to file belated documents which were due for filing till 30th June, 2014. The Scheme is open from 15th August, 2014 till 15th October, 2014 and only</w:t>
      </w:r>
      <w:r w:rsidR="00C27F81">
        <w:rPr>
          <w:rFonts w:ascii="Times New Roman" w:hAnsi="Times New Roman"/>
          <w:w w:val="112"/>
          <w:sz w:val="24"/>
          <w:szCs w:val="24"/>
        </w:rPr>
        <w:t xml:space="preserve"> </w:t>
      </w:r>
      <w:r w:rsidRPr="009B27C8">
        <w:rPr>
          <w:rFonts w:ascii="Times New Roman" w:hAnsi="Times New Roman"/>
          <w:w w:val="112"/>
          <w:sz w:val="24"/>
          <w:szCs w:val="24"/>
        </w:rPr>
        <w:t>25% of the additional fees is payable with immunity from prosecution and directors will not be disqualified u/s 164(2) of the Companies Act, 2013.</w:t>
      </w:r>
    </w:p>
    <w:p w:rsidR="006E2A55" w:rsidRPr="009B27C8" w:rsidRDefault="006E2A55" w:rsidP="006E2A55">
      <w:pPr>
        <w:autoSpaceDE w:val="0"/>
        <w:autoSpaceDN w:val="0"/>
        <w:adjustRightInd w:val="0"/>
        <w:spacing w:after="0" w:line="240" w:lineRule="auto"/>
        <w:rPr>
          <w:rFonts w:ascii="Times New Roman" w:hAnsi="Times New Roman"/>
          <w:w w:val="112"/>
          <w:sz w:val="24"/>
          <w:szCs w:val="24"/>
        </w:rPr>
      </w:pPr>
    </w:p>
    <w:p w:rsidR="006E2A55" w:rsidRPr="009B27C8" w:rsidRDefault="006E2A55" w:rsidP="006E2A55">
      <w:pPr>
        <w:autoSpaceDE w:val="0"/>
        <w:autoSpaceDN w:val="0"/>
        <w:adjustRightInd w:val="0"/>
        <w:spacing w:after="0" w:line="240" w:lineRule="auto"/>
        <w:rPr>
          <w:rFonts w:ascii="Times New Roman" w:hAnsi="Times New Roman"/>
          <w:w w:val="112"/>
          <w:sz w:val="24"/>
          <w:szCs w:val="24"/>
        </w:rPr>
      </w:pPr>
      <w:r w:rsidRPr="009B27C8">
        <w:rPr>
          <w:rFonts w:ascii="Times New Roman" w:hAnsi="Times New Roman"/>
          <w:w w:val="112"/>
          <w:sz w:val="24"/>
          <w:szCs w:val="24"/>
        </w:rPr>
        <w:t>This Scheme is applicable only on filing Annual Forms</w:t>
      </w:r>
    </w:p>
    <w:p w:rsidR="006E2A55" w:rsidRPr="00F076C8" w:rsidRDefault="006E2A55" w:rsidP="00D04F35">
      <w:pPr>
        <w:shd w:val="clear" w:color="auto" w:fill="FFFFFF"/>
        <w:spacing w:after="0" w:line="240" w:lineRule="atLeast"/>
        <w:textAlignment w:val="baseline"/>
        <w:rPr>
          <w:rFonts w:ascii="Book Antiqua" w:eastAsia="Times New Roman" w:hAnsi="Book Antiqua" w:cs="Helvetica"/>
          <w:b/>
          <w:bCs/>
          <w:sz w:val="24"/>
          <w:szCs w:val="24"/>
          <w:bdr w:val="none" w:sz="0" w:space="0" w:color="auto" w:frame="1"/>
        </w:rPr>
      </w:pPr>
    </w:p>
    <w:p w:rsidR="008A4C64" w:rsidRPr="00D04F35" w:rsidRDefault="008A4C64" w:rsidP="00D04F35">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 xml:space="preserve">General Circular No. 33/2014 </w:t>
      </w:r>
      <w:r w:rsidR="00F076C8" w:rsidRPr="008F40B8">
        <w:rPr>
          <w:rFonts w:ascii="Book Antiqua" w:eastAsia="Times New Roman" w:hAnsi="Book Antiqua" w:cs="Helvetica"/>
          <w:b/>
          <w:bCs/>
          <w:color w:val="0000FF"/>
          <w:sz w:val="24"/>
          <w:szCs w:val="24"/>
          <w:bdr w:val="none" w:sz="0" w:space="0" w:color="auto" w:frame="1"/>
        </w:rPr>
        <w:t xml:space="preserve">Dated 31.07.2014, </w:t>
      </w:r>
      <w:r w:rsidRPr="008F40B8">
        <w:rPr>
          <w:rFonts w:ascii="Book Antiqua" w:eastAsia="Times New Roman" w:hAnsi="Book Antiqua" w:cs="Helvetica"/>
          <w:b/>
          <w:bCs/>
          <w:color w:val="0000FF"/>
          <w:sz w:val="24"/>
          <w:szCs w:val="24"/>
          <w:bdr w:val="none" w:sz="0" w:space="0" w:color="auto" w:frame="1"/>
        </w:rPr>
        <w:t>Clarifications on Section 139(5) and 139 (7) of the Companies</w:t>
      </w:r>
      <w:r w:rsidR="009B27C8" w:rsidRPr="008F40B8">
        <w:rPr>
          <w:rFonts w:ascii="Book Antiqua" w:eastAsia="Times New Roman" w:hAnsi="Book Antiqua" w:cs="Helvetica"/>
          <w:b/>
          <w:bCs/>
          <w:color w:val="0000FF"/>
          <w:sz w:val="24"/>
          <w:szCs w:val="24"/>
          <w:bdr w:val="none" w:sz="0" w:space="0" w:color="auto" w:frame="1"/>
        </w:rPr>
        <w:t xml:space="preserve"> </w:t>
      </w:r>
      <w:r w:rsidRPr="008F40B8">
        <w:rPr>
          <w:rFonts w:ascii="Book Antiqua" w:eastAsia="Times New Roman" w:hAnsi="Book Antiqua" w:cs="Helvetica"/>
          <w:b/>
          <w:bCs/>
          <w:color w:val="0000FF"/>
          <w:sz w:val="24"/>
          <w:szCs w:val="24"/>
          <w:bdr w:val="none" w:sz="0" w:space="0" w:color="auto" w:frame="1"/>
        </w:rPr>
        <w:t>Act, 2013</w:t>
      </w:r>
    </w:p>
    <w:p w:rsidR="008A4C64" w:rsidRPr="009B27C8" w:rsidRDefault="008A4C64" w:rsidP="00C27F81">
      <w:pPr>
        <w:autoSpaceDE w:val="0"/>
        <w:autoSpaceDN w:val="0"/>
        <w:adjustRightInd w:val="0"/>
        <w:spacing w:after="0" w:line="240" w:lineRule="auto"/>
        <w:jc w:val="both"/>
        <w:rPr>
          <w:rFonts w:ascii="Times New Roman" w:hAnsi="Times New Roman"/>
          <w:w w:val="112"/>
          <w:sz w:val="24"/>
          <w:szCs w:val="24"/>
        </w:rPr>
      </w:pPr>
      <w:r w:rsidRPr="009B27C8">
        <w:rPr>
          <w:rFonts w:ascii="Times New Roman" w:hAnsi="Times New Roman"/>
          <w:w w:val="112"/>
          <w:sz w:val="24"/>
          <w:szCs w:val="24"/>
        </w:rPr>
        <w:t>It has been clarified that the new Act does not alter the position with regard to audit of deemed Government companies through C &amp; AG and the definition of control as envisaged in section 2(27) has to be taken into account whether an individual company is covered under section 139(5)/139(7) of the Companies Act, 2013 and it is the primary responsibility of the company concerned to intimate to the C&amp;AG about its incorporation and other details so that relevant Government may also send a and also such a company to share such intimation to the relevant Government so that such Government may send a suitable request to the C&amp;AG.</w:t>
      </w:r>
    </w:p>
    <w:p w:rsidR="008A4C64" w:rsidRPr="00F076C8" w:rsidRDefault="008A4C64" w:rsidP="00C27F81">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8A4C64" w:rsidRPr="008F40B8" w:rsidRDefault="009B27C8" w:rsidP="009B27C8">
      <w:pPr>
        <w:shd w:val="clear" w:color="auto" w:fill="FFFFFF"/>
        <w:spacing w:after="0" w:line="240" w:lineRule="atLeast"/>
        <w:textAlignment w:val="baseline"/>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General Circular No. 3</w:t>
      </w:r>
      <w:r w:rsidR="00467145" w:rsidRPr="008F40B8">
        <w:rPr>
          <w:rFonts w:ascii="Book Antiqua" w:eastAsia="Times New Roman" w:hAnsi="Book Antiqua" w:cs="Helvetica"/>
          <w:b/>
          <w:bCs/>
          <w:color w:val="0000FF"/>
          <w:sz w:val="24"/>
          <w:szCs w:val="24"/>
          <w:bdr w:val="none" w:sz="0" w:space="0" w:color="auto" w:frame="1"/>
        </w:rPr>
        <w:t>2</w:t>
      </w:r>
      <w:r w:rsidRPr="008F40B8">
        <w:rPr>
          <w:rFonts w:ascii="Book Antiqua" w:eastAsia="Times New Roman" w:hAnsi="Book Antiqua" w:cs="Helvetica"/>
          <w:b/>
          <w:bCs/>
          <w:color w:val="0000FF"/>
          <w:sz w:val="24"/>
          <w:szCs w:val="24"/>
          <w:bdr w:val="none" w:sz="0" w:space="0" w:color="auto" w:frame="1"/>
        </w:rPr>
        <w:t xml:space="preserve">/2014 – dated </w:t>
      </w:r>
      <w:r w:rsidR="00467145" w:rsidRPr="008F40B8">
        <w:rPr>
          <w:rFonts w:ascii="Book Antiqua" w:eastAsia="Times New Roman" w:hAnsi="Book Antiqua" w:cs="Helvetica"/>
          <w:b/>
          <w:bCs/>
          <w:color w:val="0000FF"/>
          <w:sz w:val="24"/>
          <w:szCs w:val="24"/>
          <w:bdr w:val="none" w:sz="0" w:space="0" w:color="auto" w:frame="1"/>
        </w:rPr>
        <w:t>23rd</w:t>
      </w:r>
      <w:r w:rsidRPr="008F40B8">
        <w:rPr>
          <w:rFonts w:ascii="Book Antiqua" w:eastAsia="Times New Roman" w:hAnsi="Book Antiqua" w:cs="Helvetica"/>
          <w:b/>
          <w:bCs/>
          <w:color w:val="0000FF"/>
          <w:sz w:val="24"/>
          <w:szCs w:val="24"/>
          <w:bdr w:val="none" w:sz="0" w:space="0" w:color="auto" w:frame="1"/>
        </w:rPr>
        <w:t xml:space="preserve"> July, 2014</w:t>
      </w:r>
    </w:p>
    <w:p w:rsidR="00467145" w:rsidRDefault="00467145" w:rsidP="00467145">
      <w:pPr>
        <w:shd w:val="clear" w:color="auto" w:fill="FFFFFF"/>
        <w:spacing w:after="0" w:line="240" w:lineRule="atLeast"/>
        <w:ind w:right="-270"/>
        <w:textAlignment w:val="baseline"/>
        <w:rPr>
          <w:rFonts w:ascii="Times New Roman" w:hAnsi="Times New Roman"/>
          <w:color w:val="000000"/>
          <w:w w:val="124"/>
          <w:sz w:val="24"/>
          <w:szCs w:val="24"/>
        </w:rPr>
      </w:pPr>
      <w:r>
        <w:rPr>
          <w:rFonts w:ascii="Times New Roman" w:eastAsia="Calibri" w:hAnsi="Times New Roman" w:cs="Times New Roman"/>
          <w:color w:val="000000"/>
          <w:w w:val="126"/>
          <w:sz w:val="24"/>
          <w:szCs w:val="24"/>
        </w:rPr>
        <w:t xml:space="preserve">Clarification on transitional period for resolutions passed </w:t>
      </w:r>
      <w:r>
        <w:rPr>
          <w:rFonts w:ascii="Times New Roman" w:hAnsi="Times New Roman"/>
          <w:color w:val="000000"/>
          <w:w w:val="124"/>
          <w:sz w:val="24"/>
          <w:szCs w:val="24"/>
        </w:rPr>
        <w:t xml:space="preserve">Under the </w:t>
      </w:r>
      <w:r>
        <w:rPr>
          <w:rFonts w:ascii="Times New Roman" w:eastAsia="Calibri" w:hAnsi="Times New Roman" w:cs="Times New Roman"/>
          <w:color w:val="000000"/>
          <w:w w:val="124"/>
          <w:sz w:val="24"/>
          <w:szCs w:val="24"/>
        </w:rPr>
        <w:t>Companies Act, 1956.</w:t>
      </w:r>
    </w:p>
    <w:p w:rsidR="00467145" w:rsidRDefault="00467145" w:rsidP="00C27F81">
      <w:pPr>
        <w:autoSpaceDE w:val="0"/>
        <w:autoSpaceDN w:val="0"/>
        <w:adjustRightInd w:val="0"/>
        <w:spacing w:after="0" w:line="240" w:lineRule="auto"/>
        <w:jc w:val="both"/>
        <w:rPr>
          <w:rFonts w:ascii="Times New Roman" w:hAnsi="Times New Roman"/>
          <w:w w:val="112"/>
          <w:sz w:val="24"/>
          <w:szCs w:val="24"/>
        </w:rPr>
      </w:pPr>
      <w:r w:rsidRPr="00467145">
        <w:rPr>
          <w:rFonts w:ascii="Times New Roman" w:eastAsia="Calibri" w:hAnsi="Times New Roman" w:cs="Times New Roman"/>
          <w:w w:val="112"/>
          <w:sz w:val="24"/>
          <w:szCs w:val="24"/>
        </w:rPr>
        <w:t xml:space="preserve">It has been brought to the notice of the Government that many companies have passed resolutions during financial year 2013-14 under the relevant provisions of the Companies Act, 1956 (Old Act) which are/were at different stages of implementation after coming into force of corresponding provisions of the new Companies Act, 2013 (New Act). Ministry has received suggestions that while section 6 of the General Clauses Act, 1897 protects the validity of such resolutions, it will be advisable if a suitable communication is also issued in the matter by the Ministry by way of </w:t>
      </w:r>
      <w:r w:rsidR="00D04F35" w:rsidRPr="00467145">
        <w:rPr>
          <w:rFonts w:ascii="Times New Roman" w:eastAsia="Calibri" w:hAnsi="Times New Roman" w:cs="Times New Roman"/>
          <w:w w:val="112"/>
          <w:sz w:val="24"/>
          <w:szCs w:val="24"/>
        </w:rPr>
        <w:t>abundant</w:t>
      </w:r>
      <w:r w:rsidRPr="00467145">
        <w:rPr>
          <w:rFonts w:ascii="Times New Roman" w:eastAsia="Calibri" w:hAnsi="Times New Roman" w:cs="Times New Roman"/>
          <w:w w:val="112"/>
          <w:sz w:val="24"/>
          <w:szCs w:val="24"/>
        </w:rPr>
        <w:t xml:space="preserve"> caution.</w:t>
      </w:r>
    </w:p>
    <w:p w:rsidR="00467145" w:rsidRPr="00467145" w:rsidRDefault="00467145" w:rsidP="00C27F81">
      <w:pPr>
        <w:autoSpaceDE w:val="0"/>
        <w:autoSpaceDN w:val="0"/>
        <w:adjustRightInd w:val="0"/>
        <w:spacing w:after="0" w:line="240" w:lineRule="auto"/>
        <w:jc w:val="both"/>
        <w:rPr>
          <w:rFonts w:ascii="Times New Roman" w:eastAsia="Calibri" w:hAnsi="Times New Roman" w:cs="Times New Roman"/>
          <w:w w:val="112"/>
          <w:sz w:val="24"/>
          <w:szCs w:val="24"/>
        </w:rPr>
      </w:pPr>
      <w:r w:rsidRPr="00467145">
        <w:rPr>
          <w:rFonts w:ascii="Times New Roman" w:eastAsia="Calibri" w:hAnsi="Times New Roman" w:cs="Times New Roman"/>
          <w:w w:val="112"/>
          <w:sz w:val="24"/>
          <w:szCs w:val="24"/>
        </w:rPr>
        <w:t>The matter has been examined in the light. of similar issues clarified earlier. It is clarified that resolutions approved or passed by companies under relevant applicable provisions of the Old Act during the period from 1st September,</w:t>
      </w:r>
      <w:r w:rsidRPr="00467145">
        <w:rPr>
          <w:rFonts w:ascii="Times New Roman" w:eastAsia="Calibri" w:hAnsi="Times New Roman" w:cs="Times New Roman"/>
          <w:w w:val="112"/>
          <w:sz w:val="24"/>
          <w:szCs w:val="24"/>
        </w:rPr>
        <w:tab/>
        <w:t>2013</w:t>
      </w:r>
      <w:r w:rsidRPr="00467145">
        <w:rPr>
          <w:rFonts w:ascii="Times New Roman" w:eastAsia="Calibri" w:hAnsi="Times New Roman" w:cs="Times New Roman"/>
          <w:w w:val="112"/>
          <w:sz w:val="24"/>
          <w:szCs w:val="24"/>
        </w:rPr>
        <w:tab/>
        <w:t>to</w:t>
      </w:r>
      <w:r w:rsidRPr="00467145">
        <w:rPr>
          <w:rFonts w:ascii="Times New Roman" w:eastAsia="Calibri" w:hAnsi="Times New Roman" w:cs="Times New Roman"/>
          <w:w w:val="112"/>
          <w:sz w:val="24"/>
          <w:szCs w:val="24"/>
        </w:rPr>
        <w:tab/>
        <w:t>313t March,</w:t>
      </w:r>
      <w:r w:rsidRPr="00467145">
        <w:rPr>
          <w:rFonts w:ascii="Times New Roman" w:eastAsia="Calibri" w:hAnsi="Times New Roman" w:cs="Times New Roman"/>
          <w:w w:val="112"/>
          <w:sz w:val="24"/>
          <w:szCs w:val="24"/>
        </w:rPr>
        <w:tab/>
        <w:t>2014, can be implemented, in</w:t>
      </w:r>
      <w:r>
        <w:rPr>
          <w:rFonts w:ascii="Times New Roman" w:hAnsi="Times New Roman"/>
          <w:w w:val="112"/>
          <w:sz w:val="24"/>
          <w:szCs w:val="24"/>
        </w:rPr>
        <w:t xml:space="preserve"> </w:t>
      </w:r>
      <w:r w:rsidRPr="00467145">
        <w:rPr>
          <w:rFonts w:ascii="Times New Roman" w:eastAsia="Calibri" w:hAnsi="Times New Roman" w:cs="Times New Roman"/>
          <w:w w:val="112"/>
          <w:sz w:val="24"/>
          <w:szCs w:val="24"/>
        </w:rPr>
        <w:t xml:space="preserve">accordance with provisions of the Old Act, </w:t>
      </w:r>
      <w:r w:rsidRPr="00467145">
        <w:rPr>
          <w:rFonts w:ascii="Times New Roman" w:eastAsia="Calibri" w:hAnsi="Times New Roman" w:cs="Times New Roman"/>
          <w:w w:val="112"/>
          <w:sz w:val="24"/>
          <w:szCs w:val="24"/>
        </w:rPr>
        <w:lastRenderedPageBreak/>
        <w:t>notwithstanding the repeal of the relevant provision subject to the conditions (a) that the implementation of the resolution actually commenced before 1st April, 2014 and (b) that this transitional arrang</w:t>
      </w:r>
      <w:r w:rsidR="00625E90">
        <w:rPr>
          <w:rFonts w:ascii="Times New Roman" w:eastAsia="Calibri" w:hAnsi="Times New Roman" w:cs="Times New Roman"/>
          <w:w w:val="112"/>
          <w:sz w:val="24"/>
          <w:szCs w:val="24"/>
        </w:rPr>
        <w:t>e</w:t>
      </w:r>
      <w:r w:rsidRPr="00467145">
        <w:rPr>
          <w:rFonts w:ascii="Times New Roman" w:eastAsia="Calibri" w:hAnsi="Times New Roman" w:cs="Times New Roman"/>
          <w:w w:val="112"/>
          <w:sz w:val="24"/>
          <w:szCs w:val="24"/>
        </w:rPr>
        <w:t xml:space="preserve">ment will be available upto expiry of one year from the </w:t>
      </w:r>
      <w:r w:rsidRPr="00467145">
        <w:rPr>
          <w:rFonts w:ascii="Times New Roman" w:eastAsia="Calibri" w:hAnsi="Times New Roman" w:cs="Times New Roman"/>
          <w:w w:val="112"/>
          <w:sz w:val="24"/>
          <w:szCs w:val="24"/>
        </w:rPr>
        <w:br/>
        <w:t xml:space="preserve">passing of the resolution or six months from the commencement of the corresponding provision in New Act whichever is later. It is also clarified that any amendment of the resolution must be in accordance with the relevant provision of the New Act. </w:t>
      </w:r>
    </w:p>
    <w:p w:rsidR="00467145" w:rsidRPr="00467145" w:rsidRDefault="00467145" w:rsidP="00C27F81">
      <w:pPr>
        <w:autoSpaceDE w:val="0"/>
        <w:autoSpaceDN w:val="0"/>
        <w:adjustRightInd w:val="0"/>
        <w:spacing w:after="0" w:line="240" w:lineRule="auto"/>
        <w:jc w:val="both"/>
        <w:rPr>
          <w:rFonts w:ascii="Times New Roman" w:eastAsia="Calibri" w:hAnsi="Times New Roman" w:cs="Times New Roman"/>
          <w:w w:val="112"/>
          <w:sz w:val="24"/>
          <w:szCs w:val="24"/>
        </w:rPr>
      </w:pPr>
    </w:p>
    <w:p w:rsidR="00467145" w:rsidRPr="00467145" w:rsidRDefault="00467145" w:rsidP="00C27F81">
      <w:pPr>
        <w:autoSpaceDE w:val="0"/>
        <w:autoSpaceDN w:val="0"/>
        <w:adjustRightInd w:val="0"/>
        <w:spacing w:after="0" w:line="240" w:lineRule="auto"/>
        <w:jc w:val="both"/>
        <w:rPr>
          <w:rFonts w:ascii="Times New Roman" w:eastAsia="Calibri" w:hAnsi="Times New Roman" w:cs="Times New Roman"/>
          <w:w w:val="112"/>
          <w:sz w:val="24"/>
          <w:szCs w:val="24"/>
        </w:rPr>
      </w:pPr>
      <w:r w:rsidRPr="00467145">
        <w:rPr>
          <w:rFonts w:ascii="Times New Roman" w:eastAsia="Calibri" w:hAnsi="Times New Roman" w:cs="Times New Roman"/>
          <w:w w:val="112"/>
          <w:sz w:val="24"/>
          <w:szCs w:val="24"/>
        </w:rPr>
        <w:t>This issues with the approval of the competent authority.</w:t>
      </w:r>
    </w:p>
    <w:p w:rsidR="00467145" w:rsidRPr="00467145" w:rsidRDefault="00467145" w:rsidP="00467145">
      <w:pPr>
        <w:autoSpaceDE w:val="0"/>
        <w:autoSpaceDN w:val="0"/>
        <w:adjustRightInd w:val="0"/>
        <w:spacing w:after="0" w:line="240" w:lineRule="auto"/>
        <w:rPr>
          <w:rFonts w:ascii="Times New Roman" w:hAnsi="Times New Roman"/>
          <w:w w:val="112"/>
          <w:sz w:val="24"/>
          <w:szCs w:val="24"/>
        </w:rPr>
      </w:pPr>
    </w:p>
    <w:p w:rsidR="009B27C8" w:rsidRPr="00F076C8" w:rsidRDefault="009B27C8" w:rsidP="009B27C8">
      <w:pPr>
        <w:shd w:val="clear" w:color="auto" w:fill="FFFFFF"/>
        <w:spacing w:after="0" w:line="240" w:lineRule="atLeast"/>
        <w:textAlignment w:val="baseline"/>
        <w:rPr>
          <w:rFonts w:ascii="Book Antiqua" w:eastAsia="Times New Roman" w:hAnsi="Book Antiqua" w:cs="Helvetica"/>
          <w:b/>
          <w:bCs/>
          <w:sz w:val="24"/>
          <w:szCs w:val="24"/>
          <w:bdr w:val="none" w:sz="0" w:space="0" w:color="auto" w:frame="1"/>
        </w:rPr>
      </w:pPr>
    </w:p>
    <w:p w:rsidR="008A4C64" w:rsidRPr="008F40B8" w:rsidRDefault="008A4C64" w:rsidP="008A4C64">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General Circular No. 31/2014 – d</w:t>
      </w:r>
      <w:r w:rsidR="00F076C8" w:rsidRPr="008F40B8">
        <w:rPr>
          <w:rFonts w:ascii="Book Antiqua" w:eastAsia="Times New Roman" w:hAnsi="Book Antiqua" w:cs="Helvetica"/>
          <w:b/>
          <w:bCs/>
          <w:color w:val="0000FF"/>
          <w:sz w:val="24"/>
          <w:szCs w:val="24"/>
          <w:bdr w:val="none" w:sz="0" w:space="0" w:color="auto" w:frame="1"/>
        </w:rPr>
        <w:t>a</w:t>
      </w:r>
      <w:r w:rsidRPr="008F40B8">
        <w:rPr>
          <w:rFonts w:ascii="Book Antiqua" w:eastAsia="Times New Roman" w:hAnsi="Book Antiqua" w:cs="Helvetica"/>
          <w:b/>
          <w:bCs/>
          <w:color w:val="0000FF"/>
          <w:sz w:val="24"/>
          <w:szCs w:val="24"/>
          <w:bdr w:val="none" w:sz="0" w:space="0" w:color="auto" w:frame="1"/>
        </w:rPr>
        <w:t>t</w:t>
      </w:r>
      <w:r w:rsidR="00F076C8" w:rsidRPr="008F40B8">
        <w:rPr>
          <w:rFonts w:ascii="Book Antiqua" w:eastAsia="Times New Roman" w:hAnsi="Book Antiqua" w:cs="Helvetica"/>
          <w:b/>
          <w:bCs/>
          <w:color w:val="0000FF"/>
          <w:sz w:val="24"/>
          <w:szCs w:val="24"/>
          <w:bdr w:val="none" w:sz="0" w:space="0" w:color="auto" w:frame="1"/>
        </w:rPr>
        <w:t>ed</w:t>
      </w:r>
      <w:r w:rsidRPr="008F40B8">
        <w:rPr>
          <w:rFonts w:ascii="Book Antiqua" w:eastAsia="Times New Roman" w:hAnsi="Book Antiqua" w:cs="Helvetica"/>
          <w:b/>
          <w:bCs/>
          <w:color w:val="0000FF"/>
          <w:sz w:val="24"/>
          <w:szCs w:val="24"/>
          <w:bdr w:val="none" w:sz="0" w:space="0" w:color="auto" w:frame="1"/>
        </w:rPr>
        <w:t xml:space="preserve"> 19th July, 2014</w:t>
      </w:r>
    </w:p>
    <w:p w:rsidR="008A4C64" w:rsidRPr="009B27C8" w:rsidRDefault="008A4C64" w:rsidP="008A4C64">
      <w:pPr>
        <w:autoSpaceDE w:val="0"/>
        <w:autoSpaceDN w:val="0"/>
        <w:adjustRightInd w:val="0"/>
        <w:spacing w:after="0" w:line="240" w:lineRule="auto"/>
        <w:rPr>
          <w:rFonts w:ascii="Times New Roman" w:hAnsi="Times New Roman"/>
          <w:w w:val="112"/>
          <w:sz w:val="24"/>
          <w:szCs w:val="24"/>
        </w:rPr>
      </w:pPr>
      <w:r w:rsidRPr="009B27C8">
        <w:rPr>
          <w:rFonts w:ascii="Times New Roman" w:hAnsi="Times New Roman"/>
          <w:w w:val="112"/>
          <w:sz w:val="24"/>
          <w:szCs w:val="24"/>
        </w:rPr>
        <w:t>Extension of validity of reserved names</w:t>
      </w:r>
      <w:r w:rsidR="009B27C8">
        <w:rPr>
          <w:rFonts w:ascii="Times New Roman" w:hAnsi="Times New Roman"/>
          <w:w w:val="112"/>
          <w:sz w:val="24"/>
          <w:szCs w:val="24"/>
        </w:rPr>
        <w:t xml:space="preserve"> </w:t>
      </w:r>
      <w:r w:rsidRPr="009B27C8">
        <w:rPr>
          <w:rFonts w:ascii="Times New Roman" w:hAnsi="Times New Roman"/>
          <w:w w:val="112"/>
          <w:sz w:val="24"/>
          <w:szCs w:val="24"/>
        </w:rPr>
        <w:t>Those companies whose applications for reservation of names have expired on the date of this circular have been given an extended period up to 18th August, 2014.</w:t>
      </w:r>
    </w:p>
    <w:p w:rsidR="00F24033" w:rsidRPr="00F076C8" w:rsidRDefault="00F24033" w:rsidP="008A4C64">
      <w:pPr>
        <w:autoSpaceDE w:val="0"/>
        <w:autoSpaceDN w:val="0"/>
        <w:adjustRightInd w:val="0"/>
        <w:spacing w:after="0" w:line="240" w:lineRule="auto"/>
        <w:rPr>
          <w:rFonts w:ascii="ConduitITC-Light" w:hAnsi="ConduitITC-Light" w:cs="ConduitITC-Light"/>
          <w:sz w:val="20"/>
          <w:szCs w:val="20"/>
        </w:rPr>
      </w:pPr>
    </w:p>
    <w:p w:rsidR="00F24033" w:rsidRPr="008F40B8" w:rsidRDefault="00F24033" w:rsidP="00F24033">
      <w:pPr>
        <w:autoSpaceDE w:val="0"/>
        <w:autoSpaceDN w:val="0"/>
        <w:adjustRightInd w:val="0"/>
        <w:spacing w:after="0" w:line="240" w:lineRule="auto"/>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 xml:space="preserve">General Circular No. 30/2014 </w:t>
      </w:r>
      <w:r w:rsidR="00F076C8" w:rsidRPr="008F40B8">
        <w:rPr>
          <w:rFonts w:ascii="Book Antiqua" w:eastAsia="Times New Roman" w:hAnsi="Book Antiqua" w:cs="Helvetica"/>
          <w:b/>
          <w:bCs/>
          <w:color w:val="0000FF"/>
          <w:sz w:val="24"/>
          <w:szCs w:val="24"/>
          <w:bdr w:val="none" w:sz="0" w:space="0" w:color="auto" w:frame="1"/>
        </w:rPr>
        <w:t>dated</w:t>
      </w:r>
      <w:r w:rsidRPr="008F40B8">
        <w:rPr>
          <w:rFonts w:ascii="Book Antiqua" w:eastAsia="Times New Roman" w:hAnsi="Book Antiqua" w:cs="Helvetica"/>
          <w:b/>
          <w:bCs/>
          <w:color w:val="0000FF"/>
          <w:sz w:val="24"/>
          <w:szCs w:val="24"/>
          <w:bdr w:val="none" w:sz="0" w:space="0" w:color="auto" w:frame="1"/>
        </w:rPr>
        <w:t xml:space="preserve"> 17th July, 2014</w:t>
      </w:r>
    </w:p>
    <w:p w:rsidR="008A4C64" w:rsidRPr="00F076C8" w:rsidRDefault="00F24033" w:rsidP="00F24033">
      <w:pPr>
        <w:autoSpaceDE w:val="0"/>
        <w:autoSpaceDN w:val="0"/>
        <w:adjustRightInd w:val="0"/>
        <w:spacing w:after="0" w:line="240" w:lineRule="auto"/>
        <w:rPr>
          <w:rFonts w:ascii="Times New Roman" w:hAnsi="Times New Roman"/>
          <w:w w:val="112"/>
          <w:sz w:val="24"/>
          <w:szCs w:val="24"/>
        </w:rPr>
      </w:pPr>
      <w:r w:rsidRPr="00F076C8">
        <w:rPr>
          <w:rFonts w:ascii="Times New Roman" w:hAnsi="Times New Roman"/>
          <w:w w:val="112"/>
          <w:sz w:val="24"/>
          <w:szCs w:val="24"/>
        </w:rPr>
        <w:t>Clarifications on matters related to Related Party Transactions</w:t>
      </w:r>
    </w:p>
    <w:p w:rsidR="00F24033" w:rsidRPr="00F076C8" w:rsidRDefault="00F24033" w:rsidP="00C27F81">
      <w:pPr>
        <w:autoSpaceDE w:val="0"/>
        <w:autoSpaceDN w:val="0"/>
        <w:adjustRightInd w:val="0"/>
        <w:spacing w:after="0" w:line="240" w:lineRule="auto"/>
        <w:jc w:val="both"/>
        <w:rPr>
          <w:rFonts w:ascii="Times New Roman" w:hAnsi="Times New Roman"/>
          <w:w w:val="112"/>
          <w:sz w:val="24"/>
          <w:szCs w:val="24"/>
        </w:rPr>
      </w:pPr>
      <w:r w:rsidRPr="00F076C8">
        <w:rPr>
          <w:rFonts w:ascii="Times New Roman" w:hAnsi="Times New Roman"/>
          <w:w w:val="112"/>
          <w:sz w:val="24"/>
          <w:szCs w:val="24"/>
        </w:rPr>
        <w:t>• Under the Second proviso to sub-section (1) of section 180, the term ‘related party’ refers only to such related party as may be a related party in the context of contract or arrangement for which the special resolution is being passed</w:t>
      </w:r>
    </w:p>
    <w:p w:rsidR="00F24033" w:rsidRPr="00F076C8" w:rsidRDefault="00F24033" w:rsidP="00C27F81">
      <w:pPr>
        <w:autoSpaceDE w:val="0"/>
        <w:autoSpaceDN w:val="0"/>
        <w:adjustRightInd w:val="0"/>
        <w:spacing w:after="0" w:line="240" w:lineRule="auto"/>
        <w:jc w:val="both"/>
        <w:rPr>
          <w:rFonts w:ascii="Times New Roman" w:hAnsi="Times New Roman"/>
          <w:w w:val="112"/>
          <w:sz w:val="24"/>
          <w:szCs w:val="24"/>
        </w:rPr>
      </w:pPr>
      <w:r w:rsidRPr="00F076C8">
        <w:rPr>
          <w:rFonts w:ascii="Times New Roman" w:hAnsi="Times New Roman"/>
          <w:w w:val="112"/>
          <w:sz w:val="24"/>
          <w:szCs w:val="24"/>
        </w:rPr>
        <w:t>• Transactions arising out of compromises, arrangement and amalgamations under the Companies Act, 1956/ 2013 will not attract Section 188 of the Companies Act, 2013</w:t>
      </w:r>
    </w:p>
    <w:p w:rsidR="00F24033" w:rsidRPr="00F076C8" w:rsidRDefault="00F24033" w:rsidP="00C27F81">
      <w:pPr>
        <w:autoSpaceDE w:val="0"/>
        <w:autoSpaceDN w:val="0"/>
        <w:adjustRightInd w:val="0"/>
        <w:spacing w:after="0" w:line="240" w:lineRule="auto"/>
        <w:jc w:val="both"/>
        <w:rPr>
          <w:rFonts w:ascii="Times New Roman" w:hAnsi="Times New Roman"/>
          <w:w w:val="112"/>
          <w:sz w:val="24"/>
          <w:szCs w:val="24"/>
        </w:rPr>
      </w:pPr>
      <w:r w:rsidRPr="00F076C8">
        <w:rPr>
          <w:rFonts w:ascii="Times New Roman" w:hAnsi="Times New Roman"/>
          <w:w w:val="112"/>
          <w:sz w:val="24"/>
          <w:szCs w:val="24"/>
        </w:rPr>
        <w:t>• Fresh approvals for past contracts under the Companies Act, 1956 do not require fresh approval under section 188</w:t>
      </w:r>
    </w:p>
    <w:p w:rsidR="00F24033" w:rsidRPr="00F076C8" w:rsidRDefault="00F24033" w:rsidP="00F24033">
      <w:pPr>
        <w:autoSpaceDE w:val="0"/>
        <w:autoSpaceDN w:val="0"/>
        <w:adjustRightInd w:val="0"/>
        <w:spacing w:after="0" w:line="240" w:lineRule="auto"/>
        <w:rPr>
          <w:rFonts w:ascii="ConduitITC-Light" w:hAnsi="ConduitITC-Light" w:cs="ConduitITC-Light"/>
          <w:b/>
          <w:sz w:val="20"/>
          <w:szCs w:val="20"/>
        </w:rPr>
      </w:pPr>
    </w:p>
    <w:p w:rsidR="00F076C8" w:rsidRPr="00F076C8" w:rsidRDefault="00F076C8" w:rsidP="00F076C8">
      <w:pPr>
        <w:shd w:val="clear" w:color="auto" w:fill="FFFFFF"/>
        <w:spacing w:after="0" w:line="240" w:lineRule="atLeast"/>
        <w:textAlignment w:val="baseline"/>
        <w:rPr>
          <w:rFonts w:ascii="Book Antiqua" w:eastAsia="Times New Roman" w:hAnsi="Book Antiqua" w:cs="Helvetica"/>
          <w:b/>
          <w:bCs/>
          <w:sz w:val="24"/>
          <w:szCs w:val="24"/>
          <w:bdr w:val="none" w:sz="0" w:space="0" w:color="auto" w:frame="1"/>
        </w:rPr>
      </w:pPr>
    </w:p>
    <w:p w:rsidR="00F076C8" w:rsidRPr="008F40B8" w:rsidRDefault="00F076C8" w:rsidP="00F076C8">
      <w:pPr>
        <w:shd w:val="clear" w:color="auto" w:fill="FFFFFF"/>
        <w:spacing w:after="0" w:line="240" w:lineRule="atLeast"/>
        <w:textAlignment w:val="baseline"/>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General</w:t>
      </w:r>
      <w:r w:rsidRPr="008F40B8">
        <w:rPr>
          <w:rFonts w:ascii="Book Antiqua" w:eastAsia="Times New Roman" w:hAnsi="Book Antiqua" w:cs="Helvetica"/>
          <w:b/>
          <w:bCs/>
          <w:color w:val="0000FF"/>
          <w:sz w:val="24"/>
          <w:szCs w:val="24"/>
        </w:rPr>
        <w:t> Circular </w:t>
      </w:r>
      <w:r w:rsidRPr="008F40B8">
        <w:rPr>
          <w:rFonts w:ascii="Book Antiqua" w:eastAsia="Times New Roman" w:hAnsi="Book Antiqua" w:cs="Helvetica"/>
          <w:b/>
          <w:bCs/>
          <w:color w:val="0000FF"/>
          <w:sz w:val="24"/>
          <w:szCs w:val="24"/>
          <w:bdr w:val="none" w:sz="0" w:space="0" w:color="auto" w:frame="1"/>
        </w:rPr>
        <w:t>No. 29/2014 dated July 11, 2014. (</w:t>
      </w:r>
      <w:r w:rsidRPr="008F40B8">
        <w:rPr>
          <w:rFonts w:ascii="Times New Roman" w:eastAsia="Calibri" w:hAnsi="Times New Roman" w:cs="Times New Roman"/>
          <w:color w:val="0000FF"/>
          <w:w w:val="123"/>
          <w:sz w:val="24"/>
          <w:szCs w:val="24"/>
        </w:rPr>
        <w:t>Registration of names of the Companies shall be in consonance</w:t>
      </w:r>
      <w:r w:rsidRPr="008F40B8">
        <w:rPr>
          <w:rFonts w:ascii="Times New Roman" w:hAnsi="Times New Roman"/>
          <w:color w:val="0000FF"/>
          <w:w w:val="123"/>
          <w:sz w:val="24"/>
          <w:szCs w:val="24"/>
        </w:rPr>
        <w:t xml:space="preserve"> </w:t>
      </w:r>
      <w:r w:rsidRPr="008F40B8">
        <w:rPr>
          <w:rFonts w:ascii="Times New Roman" w:eastAsia="Calibri" w:hAnsi="Times New Roman" w:cs="Times New Roman"/>
          <w:color w:val="0000FF"/>
          <w:w w:val="126"/>
          <w:sz w:val="24"/>
          <w:szCs w:val="24"/>
        </w:rPr>
        <w:t>with the provisions of the Emblems and Names (Prevention of</w:t>
      </w:r>
      <w:r w:rsidRPr="008F40B8">
        <w:rPr>
          <w:rFonts w:ascii="Times New Roman" w:hAnsi="Times New Roman"/>
          <w:color w:val="0000FF"/>
          <w:w w:val="126"/>
          <w:sz w:val="24"/>
          <w:szCs w:val="24"/>
        </w:rPr>
        <w:t xml:space="preserve"> </w:t>
      </w:r>
      <w:r w:rsidRPr="008F40B8">
        <w:rPr>
          <w:rFonts w:ascii="Times New Roman" w:eastAsia="Calibri" w:hAnsi="Times New Roman" w:cs="Times New Roman"/>
          <w:color w:val="0000FF"/>
          <w:w w:val="116"/>
          <w:sz w:val="24"/>
          <w:szCs w:val="24"/>
        </w:rPr>
        <w:t>Improper Use) Act, 1950</w:t>
      </w:r>
      <w:r w:rsidRPr="008F40B8">
        <w:rPr>
          <w:rFonts w:ascii="Book Antiqua" w:eastAsia="Times New Roman" w:hAnsi="Book Antiqua" w:cs="Helvetica"/>
          <w:b/>
          <w:bCs/>
          <w:color w:val="0000FF"/>
          <w:sz w:val="24"/>
          <w:szCs w:val="24"/>
          <w:bdr w:val="none" w:sz="0" w:space="0" w:color="auto" w:frame="1"/>
        </w:rPr>
        <w:t>)</w:t>
      </w:r>
    </w:p>
    <w:p w:rsidR="00F076C8" w:rsidRPr="00F076C8" w:rsidRDefault="00F076C8" w:rsidP="00C27F81">
      <w:pPr>
        <w:autoSpaceDE w:val="0"/>
        <w:autoSpaceDN w:val="0"/>
        <w:adjustRightInd w:val="0"/>
        <w:spacing w:after="0" w:line="240" w:lineRule="auto"/>
        <w:jc w:val="both"/>
        <w:rPr>
          <w:rFonts w:ascii="ConduitITC-Light" w:hAnsi="ConduitITC-Light" w:cs="ConduitITC-Light"/>
          <w:b/>
          <w:sz w:val="20"/>
          <w:szCs w:val="20"/>
        </w:rPr>
      </w:pPr>
      <w:r w:rsidRPr="00F076C8">
        <w:rPr>
          <w:rFonts w:ascii="Times New Roman" w:eastAsia="Calibri" w:hAnsi="Times New Roman" w:cs="Times New Roman"/>
          <w:w w:val="112"/>
          <w:sz w:val="24"/>
          <w:szCs w:val="24"/>
        </w:rPr>
        <w:t xml:space="preserve">In continuation of this Ministry's circular No. 02/2014 and 26/2014 dated </w:t>
      </w:r>
      <w:r w:rsidRPr="00F076C8">
        <w:rPr>
          <w:rFonts w:ascii="Times New Roman" w:eastAsia="Calibri" w:hAnsi="Times New Roman" w:cs="Times New Roman"/>
          <w:w w:val="111"/>
          <w:sz w:val="24"/>
          <w:szCs w:val="24"/>
        </w:rPr>
        <w:t xml:space="preserve">11.02.2014 and 27.06.2014 respectively, it is hereby directed that while allotting </w:t>
      </w:r>
      <w:r w:rsidRPr="00F076C8">
        <w:rPr>
          <w:rFonts w:ascii="Times New Roman" w:eastAsia="Calibri" w:hAnsi="Times New Roman" w:cs="Times New Roman"/>
          <w:w w:val="122"/>
        </w:rPr>
        <w:t xml:space="preserve">names to Companies/Limited Liability Partnerships, the Registrar of Companies </w:t>
      </w:r>
      <w:r w:rsidRPr="00F076C8">
        <w:rPr>
          <w:rFonts w:ascii="Times New Roman" w:eastAsia="Calibri" w:hAnsi="Times New Roman" w:cs="Times New Roman"/>
          <w:w w:val="127"/>
          <w:sz w:val="24"/>
          <w:szCs w:val="24"/>
        </w:rPr>
        <w:t xml:space="preserve">concerned should exercise due care to ensure that the names are not in </w:t>
      </w:r>
      <w:r w:rsidRPr="00F076C8">
        <w:rPr>
          <w:rFonts w:ascii="Times New Roman" w:eastAsia="Calibri" w:hAnsi="Times New Roman" w:cs="Times New Roman"/>
          <w:w w:val="127"/>
          <w:sz w:val="24"/>
          <w:szCs w:val="24"/>
        </w:rPr>
        <w:br/>
      </w:r>
      <w:r w:rsidRPr="00F076C8">
        <w:rPr>
          <w:rFonts w:ascii="Times New Roman" w:eastAsia="Calibri" w:hAnsi="Times New Roman" w:cs="Times New Roman"/>
          <w:w w:val="119"/>
          <w:sz w:val="24"/>
          <w:szCs w:val="24"/>
        </w:rPr>
        <w:t xml:space="preserve">contravention of the provisions of the Emblems and Names </w:t>
      </w:r>
      <w:r w:rsidRPr="00F076C8">
        <w:rPr>
          <w:rFonts w:ascii="Times New Roman" w:eastAsia="Calibri" w:hAnsi="Times New Roman" w:cs="Times New Roman"/>
          <w:w w:val="116"/>
          <w:sz w:val="24"/>
          <w:szCs w:val="24"/>
        </w:rPr>
        <w:t>(Prevention of</w:t>
      </w:r>
      <w:r w:rsidRPr="00F076C8">
        <w:rPr>
          <w:rFonts w:ascii="Times New Roman" w:hAnsi="Times New Roman"/>
          <w:w w:val="116"/>
          <w:sz w:val="24"/>
          <w:szCs w:val="24"/>
        </w:rPr>
        <w:t xml:space="preserve"> </w:t>
      </w:r>
      <w:r w:rsidRPr="00F076C8">
        <w:rPr>
          <w:rFonts w:ascii="Times New Roman" w:eastAsia="Calibri" w:hAnsi="Times New Roman" w:cs="Times New Roman"/>
          <w:w w:val="116"/>
          <w:sz w:val="24"/>
          <w:szCs w:val="24"/>
        </w:rPr>
        <w:t xml:space="preserve">Improper Use) Act, 1.950. To this end it is necessary that Registrars are fully </w:t>
      </w:r>
      <w:r w:rsidRPr="00F076C8">
        <w:rPr>
          <w:rFonts w:ascii="Times New Roman" w:eastAsia="Calibri" w:hAnsi="Times New Roman" w:cs="Times New Roman"/>
          <w:w w:val="108"/>
          <w:sz w:val="24"/>
          <w:szCs w:val="24"/>
        </w:rPr>
        <w:t>familiar with the provisions of the said Act</w:t>
      </w:r>
    </w:p>
    <w:p w:rsidR="008A4C64" w:rsidRPr="00F076C8" w:rsidRDefault="008A4C64" w:rsidP="00946FD9">
      <w:pPr>
        <w:shd w:val="clear" w:color="auto" w:fill="FFFFFF"/>
        <w:spacing w:after="0" w:line="240" w:lineRule="atLeast"/>
        <w:jc w:val="center"/>
        <w:textAlignment w:val="baseline"/>
        <w:rPr>
          <w:rFonts w:ascii="Book Antiqua" w:eastAsia="Times New Roman" w:hAnsi="Book Antiqua" w:cs="Helvetica"/>
          <w:b/>
          <w:bCs/>
          <w:sz w:val="24"/>
          <w:szCs w:val="24"/>
          <w:bdr w:val="none" w:sz="0" w:space="0" w:color="auto" w:frame="1"/>
        </w:rPr>
      </w:pPr>
    </w:p>
    <w:p w:rsidR="006E2A55" w:rsidRPr="008F40B8" w:rsidRDefault="006E2A55" w:rsidP="006E2A55">
      <w:pPr>
        <w:shd w:val="clear" w:color="auto" w:fill="FFFFFF"/>
        <w:spacing w:after="0" w:line="240" w:lineRule="atLeast"/>
        <w:textAlignment w:val="baseline"/>
        <w:rPr>
          <w:rFonts w:ascii="Book Antiqua" w:eastAsia="Times New Roman" w:hAnsi="Book Antiqua" w:cs="Helvetica"/>
          <w:b/>
          <w:bCs/>
          <w:color w:val="0000FF"/>
          <w:sz w:val="24"/>
          <w:szCs w:val="24"/>
          <w:bdr w:val="none" w:sz="0" w:space="0" w:color="auto" w:frame="1"/>
        </w:rPr>
      </w:pPr>
      <w:r w:rsidRPr="008F40B8">
        <w:rPr>
          <w:rFonts w:ascii="Book Antiqua" w:eastAsia="Times New Roman" w:hAnsi="Book Antiqua" w:cs="Helvetica"/>
          <w:b/>
          <w:bCs/>
          <w:color w:val="0000FF"/>
          <w:sz w:val="24"/>
          <w:szCs w:val="24"/>
          <w:bdr w:val="none" w:sz="0" w:space="0" w:color="auto" w:frame="1"/>
        </w:rPr>
        <w:t>General</w:t>
      </w:r>
      <w:r w:rsidRPr="008F40B8">
        <w:rPr>
          <w:rFonts w:ascii="Book Antiqua" w:eastAsia="Times New Roman" w:hAnsi="Book Antiqua" w:cs="Helvetica"/>
          <w:b/>
          <w:bCs/>
          <w:color w:val="0000FF"/>
          <w:sz w:val="24"/>
          <w:szCs w:val="24"/>
        </w:rPr>
        <w:t> Circular </w:t>
      </w:r>
      <w:r w:rsidRPr="008F40B8">
        <w:rPr>
          <w:rFonts w:ascii="Book Antiqua" w:eastAsia="Times New Roman" w:hAnsi="Book Antiqua" w:cs="Helvetica"/>
          <w:b/>
          <w:bCs/>
          <w:color w:val="0000FF"/>
          <w:sz w:val="24"/>
          <w:szCs w:val="24"/>
          <w:bdr w:val="none" w:sz="0" w:space="0" w:color="auto" w:frame="1"/>
        </w:rPr>
        <w:t>No. 28/2014* dated July 9, 2014. (Clarification on Form MGT-14 through STP Mode)</w:t>
      </w:r>
    </w:p>
    <w:p w:rsidR="006E2A55" w:rsidRPr="00F076C8" w:rsidRDefault="006E2A55" w:rsidP="00C27F81">
      <w:pPr>
        <w:autoSpaceDE w:val="0"/>
        <w:autoSpaceDN w:val="0"/>
        <w:adjustRightInd w:val="0"/>
        <w:spacing w:after="0" w:line="240" w:lineRule="auto"/>
        <w:jc w:val="both"/>
        <w:rPr>
          <w:rFonts w:ascii="Times New Roman" w:hAnsi="Times New Roman"/>
          <w:w w:val="112"/>
          <w:sz w:val="24"/>
          <w:szCs w:val="24"/>
        </w:rPr>
      </w:pPr>
      <w:r w:rsidRPr="00F076C8">
        <w:rPr>
          <w:rFonts w:ascii="Times New Roman" w:hAnsi="Times New Roman"/>
          <w:w w:val="112"/>
          <w:sz w:val="24"/>
          <w:szCs w:val="24"/>
        </w:rPr>
        <w:t>In order to simplify procedures and with a view to timely disposal of E- Forms in the office of Registrars of Companies and keeping in view the penal provisions for false declaration as contained in Sec 448 read with 447</w:t>
      </w:r>
      <w:r w:rsidR="00D04F35" w:rsidRPr="00F076C8">
        <w:rPr>
          <w:rFonts w:ascii="Times New Roman" w:hAnsi="Times New Roman"/>
          <w:w w:val="112"/>
          <w:sz w:val="24"/>
          <w:szCs w:val="24"/>
        </w:rPr>
        <w:t>, the</w:t>
      </w:r>
      <w:r w:rsidRPr="00F076C8">
        <w:rPr>
          <w:rFonts w:ascii="Times New Roman" w:hAnsi="Times New Roman"/>
          <w:w w:val="112"/>
          <w:sz w:val="24"/>
          <w:szCs w:val="24"/>
        </w:rPr>
        <w:t xml:space="preserve"> following E- Forms with the conditions mentioned along with the conditions mentioned along with will be processed and taken on record using the straight through process mode. </w:t>
      </w:r>
    </w:p>
    <w:p w:rsidR="0052624F" w:rsidRPr="00F076C8" w:rsidRDefault="0052624F" w:rsidP="00F076C8">
      <w:pPr>
        <w:autoSpaceDE w:val="0"/>
        <w:autoSpaceDN w:val="0"/>
        <w:adjustRightInd w:val="0"/>
        <w:spacing w:after="0" w:line="240" w:lineRule="auto"/>
        <w:rPr>
          <w:rFonts w:ascii="Times New Roman" w:hAnsi="Times New Roman"/>
          <w:w w:val="112"/>
          <w:sz w:val="24"/>
          <w:szCs w:val="24"/>
        </w:rPr>
      </w:pPr>
    </w:p>
    <w:p w:rsidR="0052624F" w:rsidRPr="00F076C8" w:rsidRDefault="0052624F" w:rsidP="00F076C8">
      <w:pPr>
        <w:autoSpaceDE w:val="0"/>
        <w:autoSpaceDN w:val="0"/>
        <w:adjustRightInd w:val="0"/>
        <w:spacing w:after="0" w:line="240" w:lineRule="auto"/>
        <w:rPr>
          <w:rFonts w:ascii="Times New Roman" w:hAnsi="Times New Roman"/>
          <w:w w:val="112"/>
          <w:sz w:val="24"/>
          <w:szCs w:val="24"/>
        </w:rPr>
      </w:pPr>
      <w:r w:rsidRPr="00F076C8">
        <w:rPr>
          <w:rFonts w:ascii="Times New Roman" w:hAnsi="Times New Roman"/>
          <w:w w:val="112"/>
          <w:sz w:val="24"/>
          <w:szCs w:val="24"/>
        </w:rPr>
        <w:lastRenderedPageBreak/>
        <w:t>All cases except for change of Name, Change of Object resolution for further issue of Capital and Conversion of Companies will be STP Mode.</w:t>
      </w:r>
    </w:p>
    <w:p w:rsidR="00F076C8" w:rsidRPr="00F076C8" w:rsidRDefault="00F076C8" w:rsidP="006E2A55">
      <w:pPr>
        <w:shd w:val="clear" w:color="auto" w:fill="FFFFFF"/>
        <w:spacing w:after="0" w:line="240" w:lineRule="atLeast"/>
        <w:textAlignment w:val="baseline"/>
        <w:rPr>
          <w:rFonts w:ascii="Book Antiqua" w:eastAsia="Times New Roman" w:hAnsi="Book Antiqua" w:cs="Helvetica"/>
          <w:b/>
          <w:bCs/>
          <w:sz w:val="24"/>
          <w:szCs w:val="24"/>
          <w:bdr w:val="none" w:sz="0" w:space="0" w:color="auto" w:frame="1"/>
        </w:rPr>
      </w:pPr>
    </w:p>
    <w:p w:rsidR="004056CC" w:rsidRPr="00F076C8" w:rsidRDefault="00946FD9" w:rsidP="00946FD9">
      <w:pPr>
        <w:shd w:val="clear" w:color="auto" w:fill="FFFFFF"/>
        <w:spacing w:after="0" w:line="240" w:lineRule="atLeast"/>
        <w:jc w:val="center"/>
        <w:textAlignment w:val="baseline"/>
        <w:rPr>
          <w:rFonts w:ascii="Lucida Calligraphy" w:eastAsia="Times New Roman" w:hAnsi="Lucida Calligraphy" w:cs="Helvetica"/>
          <w:b/>
          <w:bCs/>
          <w:sz w:val="24"/>
          <w:szCs w:val="24"/>
          <w:u w:val="single"/>
          <w:bdr w:val="none" w:sz="0" w:space="0" w:color="auto" w:frame="1"/>
        </w:rPr>
      </w:pPr>
      <w:r w:rsidRPr="00F076C8">
        <w:rPr>
          <w:rFonts w:ascii="Book Antiqua" w:eastAsia="Times New Roman" w:hAnsi="Book Antiqua" w:cs="Helvetica"/>
          <w:b/>
          <w:bCs/>
          <w:sz w:val="24"/>
          <w:szCs w:val="24"/>
          <w:bdr w:val="none" w:sz="0" w:space="0" w:color="auto" w:frame="1"/>
        </w:rPr>
        <w:t xml:space="preserve"> </w:t>
      </w: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t>General</w:t>
      </w:r>
      <w:r w:rsidRPr="00935209">
        <w:rPr>
          <w:rFonts w:ascii="Book Antiqua" w:eastAsia="Times New Roman" w:hAnsi="Book Antiqua" w:cs="Helvetica"/>
          <w:b/>
          <w:bCs/>
          <w:color w:val="0000FF"/>
          <w:sz w:val="24"/>
          <w:szCs w:val="24"/>
        </w:rPr>
        <w:t> Circular </w:t>
      </w:r>
      <w:r w:rsidRPr="00935209">
        <w:rPr>
          <w:rFonts w:ascii="Book Antiqua" w:eastAsia="Times New Roman" w:hAnsi="Book Antiqua" w:cs="Helvetica"/>
          <w:b/>
          <w:bCs/>
          <w:color w:val="0000FF"/>
          <w:sz w:val="24"/>
          <w:szCs w:val="24"/>
          <w:bdr w:val="none" w:sz="0" w:space="0" w:color="auto" w:frame="1"/>
        </w:rPr>
        <w:t>No. 27/2014* dated June 30, 2014. (DPT-4)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Extension of 2 month upto 31-08-2014 without any additional fee for filling statement under form DPT-4 with the Registrar in terms of Section-403. (Form- DPT-4 is relating to Deposits). </w:t>
      </w:r>
      <w:r w:rsidRPr="00F076C8">
        <w:rPr>
          <w:rFonts w:ascii="Book Antiqua" w:eastAsia="Times New Roman" w:hAnsi="Book Antiqua" w:cs="Helvetica"/>
          <w:sz w:val="24"/>
          <w:szCs w:val="24"/>
          <w:u w:val="single"/>
          <w:bdr w:val="none" w:sz="0" w:space="0" w:color="auto" w:frame="1"/>
        </w:rPr>
        <w:t>(Article relating to DPT-4 filling is already issued by me)</w:t>
      </w:r>
    </w:p>
    <w:p w:rsidR="00212802" w:rsidRPr="00F076C8" w:rsidRDefault="00EA1FD2" w:rsidP="00212802">
      <w:pPr>
        <w:shd w:val="clear" w:color="auto" w:fill="FFFFFF"/>
        <w:spacing w:after="24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xml:space="preserve"> </w:t>
      </w:r>
      <w:r w:rsidR="00212802" w:rsidRPr="00F076C8">
        <w:rPr>
          <w:rFonts w:ascii="Book Antiqua" w:eastAsia="Times New Roman" w:hAnsi="Book Antiqua" w:cs="Helvetica"/>
          <w:sz w:val="24"/>
          <w:szCs w:val="24"/>
        </w:rPr>
        <w:br/>
      </w: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t>General Circular No. 26/2014* dated June 27, 2014 (</w:t>
      </w:r>
      <w:r w:rsidRPr="00935209">
        <w:rPr>
          <w:rFonts w:ascii="Book Antiqua" w:eastAsia="Times New Roman" w:hAnsi="Book Antiqua" w:cs="Helvetica"/>
          <w:b/>
          <w:bCs/>
          <w:color w:val="0000FF"/>
          <w:sz w:val="24"/>
          <w:szCs w:val="24"/>
        </w:rPr>
        <w:t>Commodity Exchange</w:t>
      </w:r>
      <w:r w:rsidRPr="00935209">
        <w:rPr>
          <w:rFonts w:ascii="Book Antiqua" w:eastAsia="Times New Roman" w:hAnsi="Book Antiqua" w:cs="Helvetica"/>
          <w:b/>
          <w:bCs/>
          <w:color w:val="0000FF"/>
          <w:sz w:val="24"/>
          <w:szCs w:val="24"/>
          <w:bdr w:val="none" w:sz="0" w:space="0" w:color="auto" w:frame="1"/>
        </w:rPr>
        <w: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xml:space="preserve">     Clarifies that the use of the word </w:t>
      </w:r>
      <w:r w:rsidRPr="00935209">
        <w:rPr>
          <w:rFonts w:ascii="Book Antiqua" w:eastAsia="Times New Roman" w:hAnsi="Book Antiqua" w:cs="Helvetica"/>
          <w:color w:val="0000FF"/>
          <w:sz w:val="24"/>
          <w:szCs w:val="24"/>
        </w:rPr>
        <w:t>"Commodity Exchange"</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The Word may be allowed only where a </w:t>
      </w:r>
      <w:r w:rsidRPr="00935209">
        <w:rPr>
          <w:rFonts w:ascii="Book Antiqua" w:eastAsia="Times New Roman" w:hAnsi="Book Antiqua" w:cs="Helvetica"/>
          <w:b/>
          <w:bCs/>
          <w:i/>
          <w:iCs/>
          <w:color w:val="0000FF"/>
          <w:sz w:val="24"/>
          <w:szCs w:val="24"/>
          <w:u w:val="single"/>
          <w:bdr w:val="none" w:sz="0" w:space="0" w:color="auto" w:frame="1"/>
        </w:rPr>
        <w:t>"No Objection Certificate"</w:t>
      </w:r>
      <w:r w:rsidRPr="00F076C8">
        <w:rPr>
          <w:rFonts w:ascii="Book Antiqua" w:eastAsia="Times New Roman" w:hAnsi="Book Antiqua" w:cs="Helvetica"/>
          <w:sz w:val="24"/>
          <w:szCs w:val="24"/>
        </w:rPr>
        <w:t> from the </w:t>
      </w:r>
      <w:r w:rsidRPr="00F076C8">
        <w:rPr>
          <w:rFonts w:ascii="Book Antiqua" w:eastAsia="Times New Roman" w:hAnsi="Book Antiqua" w:cs="Helvetica"/>
          <w:sz w:val="24"/>
          <w:szCs w:val="24"/>
          <w:u w:val="single"/>
          <w:bdr w:val="none" w:sz="0" w:space="0" w:color="auto" w:frame="1"/>
        </w:rPr>
        <w:t>Forward Markets Commission (FMC</w:t>
      </w:r>
      <w:r w:rsidRPr="00F076C8">
        <w:rPr>
          <w:rFonts w:ascii="Book Antiqua" w:eastAsia="Times New Roman" w:hAnsi="Book Antiqua" w:cs="Helvetica"/>
          <w:sz w:val="24"/>
          <w:szCs w:val="24"/>
        </w:rPr>
        <w:t>) is furnished by the applicant.</w:t>
      </w:r>
    </w:p>
    <w:p w:rsidR="00212802" w:rsidRPr="00F076C8" w:rsidRDefault="00212802" w:rsidP="00212802">
      <w:pPr>
        <w:spacing w:after="0" w:line="240" w:lineRule="auto"/>
        <w:rPr>
          <w:rFonts w:ascii="Times New Roman" w:eastAsia="Times New Roman" w:hAnsi="Times New Roman" w:cs="Times New Roman"/>
          <w:sz w:val="24"/>
          <w:szCs w:val="24"/>
        </w:rPr>
      </w:pP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The certificate from Forward Markets Commission will </w:t>
      </w:r>
      <w:r w:rsidRPr="00F076C8">
        <w:rPr>
          <w:rFonts w:ascii="Book Antiqua" w:eastAsia="Times New Roman" w:hAnsi="Book Antiqua" w:cs="Helvetica"/>
          <w:sz w:val="24"/>
          <w:szCs w:val="24"/>
          <w:u w:val="single"/>
          <w:bdr w:val="none" w:sz="0" w:space="0" w:color="auto" w:frame="1"/>
        </w:rPr>
        <w:t>also be required in cases</w:t>
      </w:r>
      <w:r w:rsidRPr="00F076C8">
        <w:rPr>
          <w:rFonts w:ascii="Book Antiqua" w:eastAsia="Times New Roman" w:hAnsi="Book Antiqua" w:cs="Helvetica"/>
          <w:sz w:val="24"/>
          <w:szCs w:val="24"/>
        </w:rPr>
        <w:t> of companies registered with the words "Commodity Exchange' </w:t>
      </w:r>
      <w:r w:rsidRPr="00F076C8">
        <w:rPr>
          <w:rFonts w:ascii="Book Antiqua" w:eastAsia="Times New Roman" w:hAnsi="Book Antiqua" w:cs="Helvetica"/>
          <w:sz w:val="24"/>
          <w:szCs w:val="24"/>
          <w:u w:val="single"/>
          <w:bdr w:val="none" w:sz="0" w:space="0" w:color="auto" w:frame="1"/>
        </w:rPr>
        <w:t>before the issue of this circular.</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212802"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t>General Circular No. 25/2014* dated June 26, 2014(Residence Requirement)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Clarifies that the </w:t>
      </w:r>
      <w:r w:rsidRPr="00935209">
        <w:rPr>
          <w:rFonts w:ascii="Book Antiqua" w:eastAsia="Times New Roman" w:hAnsi="Book Antiqua" w:cs="Helvetica"/>
          <w:b/>
          <w:bCs/>
          <w:color w:val="0000FF"/>
          <w:sz w:val="24"/>
          <w:szCs w:val="24"/>
          <w:u w:val="single"/>
          <w:bdr w:val="none" w:sz="0" w:space="0" w:color="auto" w:frame="1"/>
        </w:rPr>
        <w:t>'RESIDENCY REQUIREMENT'</w:t>
      </w:r>
      <w:r w:rsidRPr="00F076C8">
        <w:rPr>
          <w:rFonts w:ascii="Book Antiqua" w:eastAsia="Times New Roman" w:hAnsi="Book Antiqua" w:cs="Helvetica"/>
          <w:sz w:val="24"/>
          <w:szCs w:val="24"/>
        </w:rPr>
        <w:t> This would be reckoned from the date of commencement of section 14 of the Act i.e. 1st April, 2014.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The first previous calendar year, for compliance with these provisions would, therefore, be Calendar year 2014. Therefore, on a </w:t>
      </w:r>
      <w:r w:rsidRPr="00935209">
        <w:rPr>
          <w:rFonts w:ascii="Book Antiqua" w:eastAsia="Times New Roman" w:hAnsi="Book Antiqua" w:cs="Helvetica"/>
          <w:color w:val="0000FF"/>
          <w:sz w:val="24"/>
          <w:szCs w:val="24"/>
          <w:u w:val="single"/>
          <w:bdr w:val="none" w:sz="0" w:space="0" w:color="auto" w:frame="1"/>
        </w:rPr>
        <w:t>proportionate basis</w:t>
      </w:r>
      <w:r w:rsidRPr="00F076C8">
        <w:rPr>
          <w:rFonts w:ascii="Book Antiqua" w:eastAsia="Times New Roman" w:hAnsi="Book Antiqua" w:cs="Helvetica"/>
          <w:sz w:val="24"/>
          <w:szCs w:val="24"/>
        </w:rPr>
        <w:t>, the number of days for which the director(s) would need to be resident in India, during Calendar year 2014, </w:t>
      </w:r>
      <w:r w:rsidRPr="00935209">
        <w:rPr>
          <w:rFonts w:ascii="Book Antiqua" w:eastAsia="Times New Roman" w:hAnsi="Book Antiqua" w:cs="Helvetica"/>
          <w:color w:val="0000FF"/>
          <w:sz w:val="24"/>
          <w:szCs w:val="24"/>
          <w:u w:val="single"/>
          <w:bdr w:val="none" w:sz="0" w:space="0" w:color="auto" w:frame="1"/>
        </w:rPr>
        <w:t>shall exceed 136 days.</w:t>
      </w:r>
      <w:r w:rsidRPr="00F076C8">
        <w:rPr>
          <w:rFonts w:ascii="Book Antiqua" w:eastAsia="Times New Roman" w:hAnsi="Book Antiqua" w:cs="Helvetica"/>
          <w:sz w:val="24"/>
          <w:szCs w:val="24"/>
          <w:u w:val="single"/>
        </w:rPr>
        <w:t> </w:t>
      </w:r>
      <w:r w:rsidRPr="00F076C8">
        <w:rPr>
          <w:rFonts w:ascii="Book Antiqua" w:eastAsia="Times New Roman" w:hAnsi="Book Antiqua" w:cs="Helvetica"/>
          <w:sz w:val="24"/>
          <w:szCs w:val="24"/>
          <w:u w:val="single"/>
          <w:bdr w:val="none" w:sz="0" w:space="0" w:color="auto" w:frame="1"/>
        </w:rPr>
        <w:t>(Because</w:t>
      </w:r>
      <w:r w:rsidRPr="00F076C8">
        <w:rPr>
          <w:rFonts w:ascii="Book Antiqua" w:eastAsia="Times New Roman" w:hAnsi="Book Antiqua" w:cs="Helvetica"/>
          <w:sz w:val="24"/>
          <w:szCs w:val="24"/>
          <w:u w:val="single"/>
        </w:rPr>
        <w:t> </w:t>
      </w:r>
      <w:r w:rsidRPr="00F076C8">
        <w:rPr>
          <w:rFonts w:ascii="Book Antiqua" w:eastAsia="Times New Roman" w:hAnsi="Book Antiqua" w:cs="Helvetica"/>
          <w:sz w:val="24"/>
          <w:szCs w:val="24"/>
        </w:rPr>
        <w:t>Act is effective from 1</w:t>
      </w:r>
      <w:r w:rsidRPr="00F076C8">
        <w:rPr>
          <w:rFonts w:ascii="Book Antiqua" w:eastAsia="Times New Roman" w:hAnsi="Book Antiqua" w:cs="Helvetica"/>
          <w:sz w:val="24"/>
          <w:szCs w:val="24"/>
          <w:bdr w:val="none" w:sz="0" w:space="0" w:color="auto" w:frame="1"/>
          <w:vertAlign w:val="superscript"/>
        </w:rPr>
        <w:t>st</w:t>
      </w:r>
      <w:r w:rsidRPr="00F076C8">
        <w:rPr>
          <w:rFonts w:ascii="Book Antiqua" w:eastAsia="Times New Roman" w:hAnsi="Book Antiqua" w:cs="Helvetica"/>
          <w:sz w:val="24"/>
          <w:szCs w:val="24"/>
        </w:rPr>
        <w:t> April, 2014 so we counted 136 from 1</w:t>
      </w:r>
      <w:r w:rsidRPr="00F076C8">
        <w:rPr>
          <w:rFonts w:ascii="Book Antiqua" w:eastAsia="Times New Roman" w:hAnsi="Book Antiqua" w:cs="Helvetica"/>
          <w:sz w:val="24"/>
          <w:szCs w:val="24"/>
          <w:bdr w:val="none" w:sz="0" w:space="0" w:color="auto" w:frame="1"/>
          <w:vertAlign w:val="superscript"/>
        </w:rPr>
        <w:t>st</w:t>
      </w:r>
      <w:r w:rsidRPr="00F076C8">
        <w:rPr>
          <w:rFonts w:ascii="Book Antiqua" w:eastAsia="Times New Roman" w:hAnsi="Book Antiqua" w:cs="Helvetica"/>
          <w:sz w:val="24"/>
          <w:szCs w:val="24"/>
        </w:rPr>
        <w:t> April 2014 to 31</w:t>
      </w:r>
      <w:r w:rsidRPr="00F076C8">
        <w:rPr>
          <w:rFonts w:ascii="Book Antiqua" w:eastAsia="Times New Roman" w:hAnsi="Book Antiqua" w:cs="Helvetica"/>
          <w:sz w:val="24"/>
          <w:szCs w:val="24"/>
          <w:bdr w:val="none" w:sz="0" w:space="0" w:color="auto" w:frame="1"/>
          <w:vertAlign w:val="superscript"/>
        </w:rPr>
        <w:t>st</w:t>
      </w:r>
      <w:r w:rsidRPr="00F076C8">
        <w:rPr>
          <w:rFonts w:ascii="Book Antiqua" w:eastAsia="Times New Roman" w:hAnsi="Book Antiqua" w:cs="Helvetica"/>
          <w:sz w:val="24"/>
          <w:szCs w:val="24"/>
        </w:rPr>
        <w:t> December, 2014)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935209">
        <w:rPr>
          <w:rFonts w:ascii="Book Antiqua" w:eastAsia="Times New Roman" w:hAnsi="Book Antiqua" w:cs="Helvetica"/>
          <w:b/>
          <w:bCs/>
          <w:color w:val="0000FF"/>
          <w:sz w:val="24"/>
          <w:szCs w:val="24"/>
          <w:u w:val="single"/>
          <w:bdr w:val="none" w:sz="0" w:space="0" w:color="auto" w:frame="1"/>
        </w:rPr>
        <w:t>Regarding Newly Incorporated Companies</w:t>
      </w:r>
      <w:r w:rsidRPr="00F076C8">
        <w:rPr>
          <w:rFonts w:ascii="Book Antiqua" w:eastAsia="Times New Roman" w:hAnsi="Book Antiqua" w:cs="Helvetica"/>
          <w:sz w:val="24"/>
          <w:szCs w:val="24"/>
        </w:rPr>
        <w:t> it is clarified that companies incorporated between 1.4.2014 to 30.09.2014 should have a </w:t>
      </w:r>
      <w:r w:rsidRPr="00F076C8">
        <w:rPr>
          <w:rFonts w:ascii="Book Antiqua" w:eastAsia="Times New Roman" w:hAnsi="Book Antiqua" w:cs="Helvetica"/>
          <w:sz w:val="24"/>
          <w:szCs w:val="24"/>
          <w:u w:val="single"/>
          <w:bdr w:val="none" w:sz="0" w:space="0" w:color="auto" w:frame="1"/>
        </w:rPr>
        <w:t>resident director</w:t>
      </w:r>
      <w:r w:rsidRPr="00F076C8">
        <w:rPr>
          <w:rFonts w:ascii="Book Antiqua" w:eastAsia="Times New Roman" w:hAnsi="Book Antiqua" w:cs="Helvetica"/>
          <w:sz w:val="24"/>
          <w:szCs w:val="24"/>
        </w:rPr>
        <w:t> either at the incorporation stage itself or within six months of their incorporation.</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b/>
          <w:bCs/>
          <w:sz w:val="24"/>
          <w:szCs w:val="24"/>
          <w:u w:val="single"/>
          <w:bdr w:val="none" w:sz="0" w:space="0" w:color="auto" w:frame="1"/>
        </w:rPr>
        <w:t>Companies incorporated after 30.9.2014</w:t>
      </w:r>
      <w:r w:rsidRPr="00F076C8">
        <w:rPr>
          <w:rFonts w:ascii="Book Antiqua" w:eastAsia="Times New Roman" w:hAnsi="Book Antiqua" w:cs="Helvetica"/>
          <w:sz w:val="24"/>
          <w:szCs w:val="24"/>
        </w:rPr>
        <w:t> need to have the resident director from the date of incorporation itself.</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F076C8">
      <w:pPr>
        <w:spacing w:after="0" w:line="240" w:lineRule="auto"/>
        <w:rPr>
          <w:rFonts w:ascii="Times New Roman" w:eastAsia="Times New Roman" w:hAnsi="Times New Roman" w:cs="Times New Roman"/>
          <w:sz w:val="24"/>
          <w:szCs w:val="24"/>
        </w:rPr>
      </w:pP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r w:rsidRPr="00935209">
        <w:rPr>
          <w:rFonts w:ascii="Book Antiqua" w:eastAsia="Times New Roman" w:hAnsi="Book Antiqua" w:cs="Helvetica"/>
          <w:b/>
          <w:bCs/>
          <w:color w:val="0000FF"/>
          <w:sz w:val="24"/>
          <w:szCs w:val="24"/>
          <w:bdr w:val="none" w:sz="0" w:space="0" w:color="auto" w:frame="1"/>
        </w:rPr>
        <w:t>General Circular No. 24/2014* dated June 25, 2014</w:t>
      </w:r>
      <w:r w:rsidRPr="00935209">
        <w:rPr>
          <w:rFonts w:ascii="Book Antiqua" w:eastAsia="Times New Roman" w:hAnsi="Book Antiqua" w:cs="Helvetica"/>
          <w:color w:val="0000FF"/>
          <w:sz w:val="24"/>
          <w:szCs w:val="24"/>
        </w:rPr>
        <w:t>: (</w:t>
      </w:r>
      <w:r w:rsidRPr="00935209">
        <w:rPr>
          <w:rFonts w:ascii="Book Antiqua" w:eastAsia="Times New Roman" w:hAnsi="Book Antiqua" w:cs="Helvetica"/>
          <w:b/>
          <w:bCs/>
          <w:color w:val="0000FF"/>
          <w:sz w:val="24"/>
          <w:szCs w:val="24"/>
          <w:bdr w:val="none" w:sz="0" w:space="0" w:color="auto" w:frame="1"/>
        </w:rPr>
        <w:t xml:space="preserve">Holding of shares in fiduciary </w:t>
      </w:r>
      <w:r w:rsidR="00D04F35" w:rsidRPr="00935209">
        <w:rPr>
          <w:rFonts w:ascii="Book Antiqua" w:eastAsia="Times New Roman" w:hAnsi="Book Antiqua" w:cs="Helvetica"/>
          <w:b/>
          <w:bCs/>
          <w:color w:val="0000FF"/>
          <w:sz w:val="24"/>
          <w:szCs w:val="24"/>
          <w:bdr w:val="none" w:sz="0" w:space="0" w:color="auto" w:frame="1"/>
        </w:rPr>
        <w:t>Capacity</w:t>
      </w:r>
      <w:r w:rsidRPr="00935209">
        <w:rPr>
          <w:rFonts w:ascii="Book Antiqua" w:eastAsia="Times New Roman" w:hAnsi="Book Antiqua" w:cs="Helvetica"/>
          <w:b/>
          <w:bCs/>
          <w:color w:val="0000FF"/>
          <w:sz w:val="24"/>
          <w:szCs w:val="24"/>
          <w:bdr w:val="none" w:sz="0" w:space="0" w:color="auto" w:frame="1"/>
        </w:rPr>
        <w:t>)</w:t>
      </w:r>
      <w:r w:rsidRPr="00935209">
        <w:rPr>
          <w:rFonts w:ascii="Book Antiqua" w:eastAsia="Times New Roman" w:hAnsi="Book Antiqua" w:cs="Helvetica"/>
          <w:color w:val="0000FF"/>
          <w:sz w:val="24"/>
          <w:szCs w:val="24"/>
        </w:rPr>
        <w:br/>
      </w:r>
      <w:r w:rsidRPr="00F076C8">
        <w:rPr>
          <w:rFonts w:ascii="Book Antiqua" w:eastAsia="Times New Roman" w:hAnsi="Book Antiqua" w:cs="Helvetica"/>
          <w:sz w:val="24"/>
          <w:szCs w:val="24"/>
        </w:rPr>
        <w:t>Clarifies that the shares held by a company in another company in a 'fiduciary capacity' </w:t>
      </w:r>
      <w:r w:rsidRPr="00F076C8">
        <w:rPr>
          <w:rFonts w:ascii="Book Antiqua" w:eastAsia="Times New Roman" w:hAnsi="Book Antiqua" w:cs="Helvetica"/>
          <w:sz w:val="24"/>
          <w:szCs w:val="24"/>
          <w:u w:val="single"/>
          <w:bdr w:val="none" w:sz="0" w:space="0" w:color="auto" w:frame="1"/>
        </w:rPr>
        <w:t>shall not be counted for the purpose</w:t>
      </w:r>
      <w:r w:rsidRPr="00F076C8">
        <w:rPr>
          <w:rFonts w:ascii="Book Antiqua" w:eastAsia="Times New Roman" w:hAnsi="Book Antiqua" w:cs="Helvetica"/>
          <w:sz w:val="24"/>
          <w:szCs w:val="24"/>
        </w:rPr>
        <w:t> of determining the relationship of 'associate company' under section 2(6) of the Companies Act, 2013.</w:t>
      </w:r>
    </w:p>
    <w:p w:rsidR="00212802"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935209" w:rsidRPr="00F076C8" w:rsidRDefault="00935209"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lastRenderedPageBreak/>
        <w:t>General Circular No. 23/2014* dated June 25, 2014: (Status of Company Incorporated outside India)</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Clarifies that there is no bar in the new Act for a company incorporated outside India to incorporate a subsidiary either as a public company or a private company.</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u w:val="single"/>
          <w:bdr w:val="none" w:sz="0" w:space="0" w:color="auto" w:frame="1"/>
        </w:rPr>
        <w:t>An existing company</w:t>
      </w:r>
      <w:r w:rsidRPr="00F076C8">
        <w:rPr>
          <w:rFonts w:ascii="Book Antiqua" w:eastAsia="Times New Roman" w:hAnsi="Book Antiqua" w:cs="Helvetica"/>
          <w:sz w:val="24"/>
          <w:szCs w:val="24"/>
        </w:rPr>
        <w:t>, being a subsidiary of a company incorporated outside India, registered under the Companies Act, 1956, either as private company or a public company by virtue of section 4(7) of that Act, w</w:t>
      </w:r>
      <w:r w:rsidRPr="00F076C8">
        <w:rPr>
          <w:rFonts w:ascii="Book Antiqua" w:eastAsia="Times New Roman" w:hAnsi="Book Antiqua" w:cs="Helvetica"/>
          <w:sz w:val="24"/>
          <w:szCs w:val="24"/>
          <w:u w:val="single"/>
          <w:bdr w:val="none" w:sz="0" w:space="0" w:color="auto" w:frame="1"/>
        </w:rPr>
        <w:t>ill continue as a private company or public company as the case may be, without any change in the incorporation status of such company.</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t>General Circular No. 22/2014* dated June 25, 2014: (Annual Return)</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Clarifies that Form MGT-7 shall not apply to annual returns in respect of companies whose financial year ended on or before 1st April, 2014 and for annual returns pertaining to earlier years. </w:t>
      </w:r>
      <w:r w:rsidRPr="00935209">
        <w:rPr>
          <w:rFonts w:ascii="Book Antiqua" w:eastAsia="Times New Roman" w:hAnsi="Book Antiqua" w:cs="Helvetica"/>
          <w:b/>
          <w:bCs/>
          <w:color w:val="0000FF"/>
          <w:sz w:val="24"/>
          <w:szCs w:val="24"/>
          <w:bdr w:val="none" w:sz="0" w:space="0" w:color="auto" w:frame="1"/>
        </w:rPr>
        <w:t>These companies may file their returns in the relevant Form (Schedule –V) applicable under the Companies Act, 1956</w:t>
      </w:r>
      <w:r w:rsidRPr="00935209">
        <w:rPr>
          <w:rFonts w:ascii="Book Antiqua" w:eastAsia="Times New Roman" w:hAnsi="Book Antiqua" w:cs="Helvetica"/>
          <w:color w:val="0000FF"/>
          <w:sz w:val="24"/>
          <w:szCs w:val="24"/>
        </w:rPr>
        <w: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935209"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935209">
        <w:rPr>
          <w:rFonts w:ascii="Book Antiqua" w:eastAsia="Times New Roman" w:hAnsi="Book Antiqua" w:cs="Helvetica"/>
          <w:b/>
          <w:bCs/>
          <w:color w:val="0000FF"/>
          <w:sz w:val="24"/>
          <w:szCs w:val="24"/>
          <w:bdr w:val="none" w:sz="0" w:space="0" w:color="auto" w:frame="1"/>
        </w:rPr>
        <w:t>General Circular No. 21/2014* dated June 18, 2014: (CSR)</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In relation to Clarifications with regard to provisions of Corporate Social Responsibility under section 135 of the Companies Act, 2013" clarifies that the entries in the said Schedule VII must be interpreted liberally so as to capture the essence of the subjects enumerated in the said Schedule.</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1.</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The items enlisted in the amended Schedule VII of the Act, are broad-based and are intended to cover a wide range of activities.</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2.</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CSR activities should be undertaken by the companies in project/ programme mode. One-off events shall not qualify.</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3.</w:t>
      </w:r>
      <w:r w:rsidRPr="00F076C8">
        <w:rPr>
          <w:rFonts w:ascii="Times New Roman" w:eastAsia="Times New Roman" w:hAnsi="Times New Roman" w:cs="Times New Roman"/>
          <w:sz w:val="14"/>
          <w:szCs w:val="14"/>
        </w:rPr>
        <w:t>     </w:t>
      </w:r>
      <w:r w:rsidRPr="00935209">
        <w:rPr>
          <w:rFonts w:ascii="Times New Roman" w:eastAsia="Times New Roman" w:hAnsi="Times New Roman" w:cs="Times New Roman"/>
          <w:color w:val="0000FF"/>
          <w:sz w:val="14"/>
        </w:rPr>
        <w:t> </w:t>
      </w:r>
      <w:r w:rsidRPr="00935209">
        <w:rPr>
          <w:rFonts w:ascii="Book Antiqua" w:eastAsia="Times New Roman" w:hAnsi="Book Antiqua" w:cs="Helvetica"/>
          <w:color w:val="0000FF"/>
          <w:sz w:val="24"/>
          <w:szCs w:val="24"/>
          <w:u w:val="single"/>
          <w:bdr w:val="none" w:sz="0" w:space="0" w:color="auto" w:frame="1"/>
        </w:rPr>
        <w:t>Expenses incurred by companies for the fulfillment of any Act/ Statute of regulations (such as Labour Laws, Land Acquisition Act etc.)</w:t>
      </w:r>
      <w:r w:rsidRPr="00935209">
        <w:rPr>
          <w:rFonts w:ascii="Book Antiqua" w:eastAsia="Times New Roman" w:hAnsi="Book Antiqua" w:cs="Helvetica"/>
          <w:color w:val="0000FF"/>
          <w:sz w:val="24"/>
          <w:szCs w:val="24"/>
          <w:u w:val="single"/>
        </w:rPr>
        <w:t> </w:t>
      </w:r>
      <w:r w:rsidRPr="00935209">
        <w:rPr>
          <w:rFonts w:ascii="Book Antiqua" w:eastAsia="Times New Roman" w:hAnsi="Book Antiqua" w:cs="Helvetica"/>
          <w:b/>
          <w:bCs/>
          <w:color w:val="0000FF"/>
          <w:sz w:val="24"/>
          <w:szCs w:val="24"/>
          <w:u w:val="single"/>
          <w:bdr w:val="none" w:sz="0" w:space="0" w:color="auto" w:frame="1"/>
        </w:rPr>
        <w:t>would not</w:t>
      </w:r>
      <w:r w:rsidRPr="00935209">
        <w:rPr>
          <w:rFonts w:ascii="Book Antiqua" w:eastAsia="Times New Roman" w:hAnsi="Book Antiqua" w:cs="Helvetica"/>
          <w:color w:val="0000FF"/>
          <w:sz w:val="24"/>
          <w:szCs w:val="24"/>
          <w:u w:val="single"/>
        </w:rPr>
        <w:t> </w:t>
      </w:r>
      <w:r w:rsidRPr="00935209">
        <w:rPr>
          <w:rFonts w:ascii="Book Antiqua" w:eastAsia="Times New Roman" w:hAnsi="Book Antiqua" w:cs="Helvetica"/>
          <w:color w:val="0000FF"/>
          <w:sz w:val="24"/>
          <w:szCs w:val="24"/>
          <w:u w:val="single"/>
          <w:bdr w:val="none" w:sz="0" w:space="0" w:color="auto" w:frame="1"/>
        </w:rPr>
        <w:t>count as CSR expenditure</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4.</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u w:val="single"/>
          <w:bdr w:val="none" w:sz="0" w:space="0" w:color="auto" w:frame="1"/>
        </w:rPr>
        <w:t>Salaries paid by the companies to regular CSR staff</w:t>
      </w:r>
      <w:r w:rsidRPr="00F076C8">
        <w:rPr>
          <w:rFonts w:ascii="Book Antiqua" w:eastAsia="Times New Roman" w:hAnsi="Book Antiqua" w:cs="Helvetica"/>
          <w:sz w:val="24"/>
          <w:szCs w:val="24"/>
          <w:u w:val="single"/>
        </w:rPr>
        <w:t> </w:t>
      </w:r>
      <w:r w:rsidRPr="00F076C8">
        <w:rPr>
          <w:rFonts w:ascii="Book Antiqua" w:eastAsia="Times New Roman" w:hAnsi="Book Antiqua" w:cs="Helvetica"/>
          <w:sz w:val="24"/>
          <w:szCs w:val="24"/>
        </w:rPr>
        <w:t>as well as to volunteers of the companies (in proportion to companies time/hours spent specifically on CSR</w:t>
      </w:r>
      <w:r w:rsidRPr="00F076C8">
        <w:rPr>
          <w:rFonts w:ascii="Book Antiqua" w:eastAsia="Times New Roman" w:hAnsi="Book Antiqua" w:cs="Helvetica"/>
          <w:sz w:val="24"/>
          <w:szCs w:val="24"/>
          <w:u w:val="single"/>
          <w:bdr w:val="none" w:sz="0" w:space="0" w:color="auto" w:frame="1"/>
        </w:rPr>
        <w:t>)</w:t>
      </w:r>
      <w:r w:rsidRPr="00F076C8">
        <w:rPr>
          <w:rFonts w:ascii="Book Antiqua" w:eastAsia="Times New Roman" w:hAnsi="Book Antiqua" w:cs="Helvetica"/>
          <w:sz w:val="24"/>
          <w:szCs w:val="24"/>
          <w:u w:val="single"/>
        </w:rPr>
        <w:t> </w:t>
      </w:r>
      <w:r w:rsidRPr="00F076C8">
        <w:rPr>
          <w:rFonts w:ascii="Book Antiqua" w:eastAsia="Times New Roman" w:hAnsi="Book Antiqua" w:cs="Helvetica"/>
          <w:b/>
          <w:bCs/>
          <w:sz w:val="24"/>
          <w:szCs w:val="24"/>
          <w:u w:val="single"/>
          <w:bdr w:val="none" w:sz="0" w:space="0" w:color="auto" w:frame="1"/>
        </w:rPr>
        <w:t>can be factored</w:t>
      </w:r>
      <w:r w:rsidRPr="00F076C8">
        <w:rPr>
          <w:rFonts w:ascii="Book Antiqua" w:eastAsia="Times New Roman" w:hAnsi="Book Antiqua" w:cs="Helvetica"/>
          <w:sz w:val="24"/>
          <w:szCs w:val="24"/>
          <w:u w:val="single"/>
        </w:rPr>
        <w:t> </w:t>
      </w:r>
      <w:r w:rsidRPr="00F076C8">
        <w:rPr>
          <w:rFonts w:ascii="Book Antiqua" w:eastAsia="Times New Roman" w:hAnsi="Book Antiqua" w:cs="Helvetica"/>
          <w:sz w:val="24"/>
          <w:szCs w:val="24"/>
          <w:u w:val="single"/>
          <w:bdr w:val="none" w:sz="0" w:space="0" w:color="auto" w:frame="1"/>
        </w:rPr>
        <w:t>into CSR project cost as part of the CSR expenditure.</w:t>
      </w:r>
    </w:p>
    <w:p w:rsidR="00212802" w:rsidRPr="00F076C8" w:rsidRDefault="00212802" w:rsidP="00212802">
      <w:pPr>
        <w:shd w:val="clear" w:color="auto" w:fill="FFFFFF"/>
        <w:spacing w:after="0" w:line="240" w:lineRule="atLeast"/>
        <w:ind w:left="720" w:hanging="36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5.</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w:t>
      </w:r>
      <w:r w:rsidRPr="00F076C8">
        <w:rPr>
          <w:rFonts w:ascii="Book Antiqua" w:eastAsia="Times New Roman" w:hAnsi="Book Antiqua" w:cs="Helvetica"/>
          <w:sz w:val="24"/>
          <w:szCs w:val="24"/>
          <w:u w:val="single"/>
          <w:bdr w:val="none" w:sz="0" w:space="0" w:color="auto" w:frame="1"/>
        </w:rPr>
        <w:t>Any financial year</w:t>
      </w:r>
      <w:r w:rsidRPr="00F076C8">
        <w:rPr>
          <w:rFonts w:ascii="Book Antiqua" w:eastAsia="Times New Roman" w:hAnsi="Book Antiqua" w:cs="Helvetica"/>
          <w:sz w:val="24"/>
          <w:szCs w:val="24"/>
        </w:rPr>
        <w:t>" referred under Sub-Section (1) of Section 135 of the Act read with Rule 3(2) of Companies CSR Rule, 2014, </w:t>
      </w:r>
      <w:r w:rsidRPr="00F076C8">
        <w:rPr>
          <w:rFonts w:ascii="Book Antiqua" w:eastAsia="Times New Roman" w:hAnsi="Book Antiqua" w:cs="Helvetica"/>
          <w:sz w:val="24"/>
          <w:szCs w:val="24"/>
          <w:u w:val="single"/>
          <w:bdr w:val="none" w:sz="0" w:space="0" w:color="auto" w:frame="1"/>
        </w:rPr>
        <w:t>implies 'any of the three preceding financial years'.</w:t>
      </w:r>
    </w:p>
    <w:p w:rsidR="00212802" w:rsidRPr="00F076C8" w:rsidRDefault="00212802" w:rsidP="00212802">
      <w:pPr>
        <w:shd w:val="clear" w:color="auto" w:fill="FFFFFF"/>
        <w:spacing w:after="0" w:line="240" w:lineRule="atLeast"/>
        <w:ind w:left="720"/>
        <w:jc w:val="both"/>
        <w:textAlignment w:val="baseline"/>
        <w:rPr>
          <w:rFonts w:ascii="Book Antiqua" w:eastAsia="Times New Roman" w:hAnsi="Book Antiqua" w:cs="Helvetica"/>
          <w:sz w:val="24"/>
          <w:szCs w:val="24"/>
        </w:rPr>
      </w:pPr>
      <w:r w:rsidRPr="00F076C8">
        <w:rPr>
          <w:rFonts w:ascii="Book Antiqua" w:eastAsia="Times New Roman" w:hAnsi="Book Antiqua" w:cs="Helvetica"/>
          <w:sz w:val="24"/>
          <w:szCs w:val="24"/>
        </w:rPr>
        <w:t>Expenditure incurred by Foreign Holding Company for CSR activities in India will qualify as CSR spend of the Indian subsidiary if, the CSR expenditures are routed through Indian subsidiaries and if the Indian subsidiary is required to do so as per the Act.</w:t>
      </w:r>
    </w:p>
    <w:p w:rsidR="00212802" w:rsidRPr="00F076C8" w:rsidRDefault="00212802" w:rsidP="00212802">
      <w:pPr>
        <w:shd w:val="clear" w:color="auto" w:fill="FFFFFF"/>
        <w:spacing w:after="0" w:line="240" w:lineRule="atLeast"/>
        <w:ind w:left="720" w:hanging="360"/>
        <w:jc w:val="both"/>
        <w:textAlignment w:val="baseline"/>
        <w:rPr>
          <w:rFonts w:ascii="Book Antiqua" w:eastAsia="Times New Roman" w:hAnsi="Book Antiqua" w:cs="Helvetica"/>
          <w:sz w:val="24"/>
          <w:szCs w:val="24"/>
        </w:rPr>
      </w:pPr>
      <w:r w:rsidRPr="00F076C8">
        <w:rPr>
          <w:rFonts w:ascii="Book Antiqua" w:eastAsia="Times New Roman" w:hAnsi="Book Antiqua" w:cs="Helvetica"/>
          <w:sz w:val="24"/>
          <w:szCs w:val="24"/>
        </w:rPr>
        <w:lastRenderedPageBreak/>
        <w:t>6.   Contribution to Corpus of a Trust/ society/ section 8 companies etc. will qualify as CSR expenditure as long as (a) the Trust/ society/ section 8 companies etc. is created exclusively for undertaking CSR activities or (b) where the corpus is created exclusively for a purpose directly relatable to a subject covered in Schedule VII of the Act.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20/2014* dated June 17, 2014</w:t>
      </w:r>
      <w:r w:rsidRPr="00BA6CD3">
        <w:rPr>
          <w:rFonts w:ascii="Book Antiqua" w:eastAsia="Times New Roman" w:hAnsi="Book Antiqua" w:cs="Helvetica"/>
          <w:color w:val="0000FF"/>
          <w:sz w:val="24"/>
          <w:szCs w:val="24"/>
        </w:rPr>
        <w:t>: (Provision of E-Voting)</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Clarification on Rules prescribed under Companies Act, 2013 -</w:t>
      </w:r>
      <w:r w:rsidRPr="00F076C8">
        <w:rPr>
          <w:rFonts w:ascii="Book Antiqua" w:eastAsia="Times New Roman" w:hAnsi="Book Antiqua" w:cs="Helvetica"/>
          <w:sz w:val="24"/>
          <w:szCs w:val="24"/>
          <w:u w:val="single"/>
          <w:bdr w:val="none" w:sz="0" w:space="0" w:color="auto" w:frame="1"/>
        </w:rPr>
        <w:t>Clarification with regard to Voting Rights through Electronic Means-reg.</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Section 108 read with rule 20 of the Companies (Management and Administration) Rules, 2014: "Exercise of right to vote by members by electronic means (e-means)."</w:t>
      </w:r>
      <w:r w:rsidRPr="00F076C8">
        <w:rPr>
          <w:rFonts w:ascii="Book Antiqua" w:eastAsia="Times New Roman" w:hAnsi="Book Antiqua" w:cs="Helvetica"/>
          <w:sz w:val="24"/>
          <w:szCs w:val="24"/>
        </w:rPr>
        <w:br/>
      </w:r>
      <w:r w:rsidRPr="00F076C8">
        <w:rPr>
          <w:rFonts w:ascii="Book Antiqua" w:eastAsia="Times New Roman" w:hAnsi="Book Antiqua" w:cs="Helvetica"/>
          <w:sz w:val="24"/>
          <w:szCs w:val="24"/>
        </w:rPr>
        <w:br/>
        <w:t>The provisions seek to ensure wider shareholder's participation in the decision making process in companies. </w:t>
      </w:r>
      <w:r w:rsidRPr="00F076C8">
        <w:rPr>
          <w:rFonts w:ascii="Book Antiqua" w:eastAsia="Times New Roman" w:hAnsi="Book Antiqua" w:cs="Helvetica"/>
          <w:sz w:val="24"/>
          <w:szCs w:val="24"/>
          <w:u w:val="single"/>
          <w:bdr w:val="none" w:sz="0" w:space="0" w:color="auto" w:frame="1"/>
        </w:rPr>
        <w:t>It has been decided not to treat the relevant provisions mandatory till 31st December, 2014.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The relevant provisions pertains to compliance with procedural requirements, engagement of Depository Agencies and the need for clarity on matter like demand for poll/postal ballot etc will take some more time.</w:t>
      </w:r>
    </w:p>
    <w:p w:rsidR="00212802" w:rsidRPr="00F076C8" w:rsidRDefault="00212802" w:rsidP="00212802">
      <w:pPr>
        <w:shd w:val="clear" w:color="auto" w:fill="FFFFFF"/>
        <w:spacing w:after="240" w:line="240" w:lineRule="atLeast"/>
        <w:jc w:val="both"/>
        <w:textAlignment w:val="baseline"/>
        <w:rPr>
          <w:rFonts w:ascii="Helvetica" w:eastAsia="Times New Roman" w:hAnsi="Helvetic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19/2014* dated June 12, 2014:</w:t>
      </w:r>
      <w:r w:rsidRPr="00BA6CD3">
        <w:rPr>
          <w:rFonts w:ascii="Book Antiqua" w:eastAsia="Times New Roman" w:hAnsi="Book Antiqua" w:cs="Helvetica"/>
          <w:b/>
          <w:bCs/>
          <w:color w:val="0000FF"/>
          <w:sz w:val="24"/>
          <w:szCs w:val="24"/>
        </w:rPr>
        <w:t> </w:t>
      </w:r>
      <w:r w:rsidRPr="00BA6CD3">
        <w:rPr>
          <w:rFonts w:ascii="Book Antiqua" w:eastAsia="Times New Roman" w:hAnsi="Book Antiqua" w:cs="Helvetica"/>
          <w:color w:val="0000FF"/>
          <w:sz w:val="24"/>
          <w:szCs w:val="24"/>
        </w:rPr>
        <w:t> </w:t>
      </w:r>
      <w:r w:rsidRPr="00BA6CD3">
        <w:rPr>
          <w:rFonts w:ascii="Book Antiqua" w:eastAsia="Times New Roman" w:hAnsi="Book Antiqua" w:cs="Helvetica"/>
          <w:color w:val="0000FF"/>
          <w:sz w:val="24"/>
          <w:szCs w:val="24"/>
          <w:u w:val="single"/>
          <w:bdr w:val="none" w:sz="0" w:space="0" w:color="auto" w:frame="1"/>
        </w:rPr>
        <w:t>Clarification on matters relating to share capital and debentures</w:t>
      </w: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Any share transfer forms </w:t>
      </w:r>
      <w:r w:rsidRPr="00F076C8">
        <w:rPr>
          <w:rFonts w:ascii="Book Antiqua" w:eastAsia="Times New Roman" w:hAnsi="Book Antiqua" w:cs="Helvetica"/>
          <w:sz w:val="24"/>
          <w:szCs w:val="24"/>
          <w:u w:val="single"/>
          <w:bdr w:val="none" w:sz="0" w:space="0" w:color="auto" w:frame="1"/>
        </w:rPr>
        <w:t>executed before April 1, 2014</w:t>
      </w:r>
      <w:r w:rsidRPr="00F076C8">
        <w:rPr>
          <w:rFonts w:ascii="Book Antiqua" w:eastAsia="Times New Roman" w:hAnsi="Book Antiqua" w:cs="Helvetica"/>
          <w:sz w:val="24"/>
          <w:szCs w:val="24"/>
        </w:rPr>
        <w:t> and </w:t>
      </w:r>
      <w:r w:rsidRPr="00F076C8">
        <w:rPr>
          <w:rFonts w:ascii="Book Antiqua" w:eastAsia="Times New Roman" w:hAnsi="Book Antiqua" w:cs="Helvetica"/>
          <w:sz w:val="24"/>
          <w:szCs w:val="24"/>
          <w:u w:val="single"/>
          <w:bdr w:val="none" w:sz="0" w:space="0" w:color="auto" w:frame="1"/>
        </w:rPr>
        <w:t>submitted</w:t>
      </w:r>
      <w:r w:rsidRPr="00F076C8">
        <w:rPr>
          <w:rFonts w:ascii="Book Antiqua" w:eastAsia="Times New Roman" w:hAnsi="Book Antiqua" w:cs="Helvetica"/>
          <w:sz w:val="24"/>
          <w:szCs w:val="24"/>
        </w:rPr>
        <w:t> duly to the company </w:t>
      </w:r>
      <w:r w:rsidRPr="00F076C8">
        <w:rPr>
          <w:rFonts w:ascii="Book Antiqua" w:eastAsia="Times New Roman" w:hAnsi="Book Antiqua" w:cs="Helvetica"/>
          <w:sz w:val="24"/>
          <w:szCs w:val="24"/>
          <w:u w:val="single"/>
          <w:bdr w:val="none" w:sz="0" w:space="0" w:color="auto" w:frame="1"/>
        </w:rPr>
        <w:t>within the prescribed time</w:t>
      </w:r>
      <w:r w:rsidRPr="00F076C8">
        <w:rPr>
          <w:rFonts w:ascii="Book Antiqua" w:eastAsia="Times New Roman" w:hAnsi="Book Antiqua" w:cs="Helvetica"/>
          <w:sz w:val="24"/>
          <w:szCs w:val="24"/>
        </w:rPr>
        <w:t>, under the relevant section of the Companies Act, 1956; </w:t>
      </w:r>
      <w:r w:rsidRPr="00F076C8">
        <w:rPr>
          <w:rFonts w:ascii="Book Antiqua" w:eastAsia="Times New Roman" w:hAnsi="Book Antiqua" w:cs="Helvetica"/>
          <w:sz w:val="24"/>
          <w:szCs w:val="24"/>
          <w:u w:val="single"/>
          <w:bdr w:val="none" w:sz="0" w:space="0" w:color="auto" w:frame="1"/>
        </w:rPr>
        <w:t>needs to be accepted by the companies for registration of</w:t>
      </w:r>
      <w:r w:rsidRPr="00F076C8">
        <w:rPr>
          <w:rFonts w:ascii="Book Antiqua" w:eastAsia="Times New Roman" w:hAnsi="Book Antiqua" w:cs="Helvetica"/>
          <w:sz w:val="24"/>
          <w:szCs w:val="24"/>
          <w:u w:val="single"/>
        </w:rPr>
        <w:t> transfers</w:t>
      </w:r>
      <w:r w:rsidRPr="00F076C8">
        <w:rPr>
          <w:rFonts w:ascii="Book Antiqua" w:eastAsia="Times New Roman" w:hAnsi="Book Antiqua" w:cs="Helvetica"/>
          <w:sz w:val="24"/>
          <w:szCs w:val="24"/>
        </w:rPr>
        <w:t>.</w:t>
      </w: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In case of </w:t>
      </w:r>
      <w:r w:rsidRPr="00F076C8">
        <w:rPr>
          <w:rFonts w:ascii="Book Antiqua" w:eastAsia="Times New Roman" w:hAnsi="Book Antiqua" w:cs="Helvetica"/>
          <w:sz w:val="24"/>
          <w:szCs w:val="24"/>
          <w:u w:val="single"/>
          <w:bdr w:val="none" w:sz="0" w:space="0" w:color="auto" w:frame="1"/>
        </w:rPr>
        <w:t>delay in submission</w:t>
      </w:r>
      <w:r w:rsidRPr="00F076C8">
        <w:rPr>
          <w:rFonts w:ascii="Book Antiqua" w:eastAsia="Times New Roman" w:hAnsi="Book Antiqua" w:cs="Helvetica"/>
          <w:sz w:val="24"/>
          <w:szCs w:val="24"/>
        </w:rPr>
        <w:t>, the </w:t>
      </w:r>
      <w:r w:rsidRPr="00F076C8">
        <w:rPr>
          <w:rFonts w:ascii="Book Antiqua" w:eastAsia="Times New Roman" w:hAnsi="Book Antiqua" w:cs="Helvetica"/>
          <w:sz w:val="24"/>
          <w:szCs w:val="24"/>
          <w:u w:val="single"/>
          <w:bdr w:val="none" w:sz="0" w:space="0" w:color="auto" w:frame="1"/>
        </w:rPr>
        <w:t>company needs to satisfy itself suitably</w:t>
      </w:r>
      <w:r w:rsidRPr="00F076C8">
        <w:rPr>
          <w:rFonts w:ascii="Book Antiqua" w:eastAsia="Times New Roman" w:hAnsi="Book Antiqua" w:cs="Helvetica"/>
          <w:sz w:val="24"/>
          <w:szCs w:val="24"/>
        </w:rPr>
        <w:t> with regard to justification in delay. In case a </w:t>
      </w:r>
      <w:r w:rsidRPr="00F076C8">
        <w:rPr>
          <w:rFonts w:ascii="Book Antiqua" w:eastAsia="Times New Roman" w:hAnsi="Book Antiqua" w:cs="Helvetica"/>
          <w:sz w:val="24"/>
          <w:szCs w:val="24"/>
          <w:u w:val="single"/>
          <w:bdr w:val="none" w:sz="0" w:space="0" w:color="auto" w:frame="1"/>
        </w:rPr>
        <w:t>company decides not to accept</w:t>
      </w:r>
      <w:r w:rsidRPr="00F076C8">
        <w:rPr>
          <w:rFonts w:ascii="Book Antiqua" w:eastAsia="Times New Roman" w:hAnsi="Book Antiqua" w:cs="Helvetica"/>
          <w:sz w:val="24"/>
          <w:szCs w:val="24"/>
        </w:rPr>
        <w:t> the share transfer form, it </w:t>
      </w:r>
      <w:r w:rsidRPr="00F076C8">
        <w:rPr>
          <w:rFonts w:ascii="Book Antiqua" w:eastAsia="Times New Roman" w:hAnsi="Book Antiqua" w:cs="Helvetica"/>
          <w:sz w:val="24"/>
          <w:szCs w:val="24"/>
          <w:u w:val="single"/>
          <w:bdr w:val="none" w:sz="0" w:space="0" w:color="auto" w:frame="1"/>
        </w:rPr>
        <w:t>shall convey</w:t>
      </w:r>
      <w:r w:rsidRPr="00F076C8">
        <w:rPr>
          <w:rFonts w:ascii="Book Antiqua" w:eastAsia="Times New Roman" w:hAnsi="Book Antiqua" w:cs="Helvetica"/>
          <w:sz w:val="24"/>
          <w:szCs w:val="24"/>
        </w:rPr>
        <w:t> the </w:t>
      </w:r>
      <w:r w:rsidRPr="00BA6CD3">
        <w:rPr>
          <w:rFonts w:ascii="Book Antiqua" w:eastAsia="Times New Roman" w:hAnsi="Book Antiqua" w:cs="Helvetica"/>
          <w:b/>
          <w:bCs/>
          <w:color w:val="0000FF"/>
          <w:sz w:val="24"/>
          <w:szCs w:val="24"/>
          <w:bdr w:val="none" w:sz="0" w:space="0" w:color="auto" w:frame="1"/>
        </w:rPr>
        <w:t>reasons for such non-acceptance</w:t>
      </w:r>
      <w:r w:rsidRPr="00F076C8">
        <w:rPr>
          <w:rFonts w:ascii="Book Antiqua" w:eastAsia="Times New Roman" w:hAnsi="Book Antiqua" w:cs="Helvetica"/>
          <w:sz w:val="24"/>
          <w:szCs w:val="24"/>
        </w:rPr>
        <w:t> within time provided under Section 56(4)(c) of the Act.</w:t>
      </w: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Committee of Directors may exercise powers, subject to any regulations imposed by the Board in this regard with regard to issue of duplicate share certificates.</w:t>
      </w:r>
    </w:p>
    <w:p w:rsidR="00212802" w:rsidRPr="00F076C8" w:rsidRDefault="00212802" w:rsidP="00212802">
      <w:pPr>
        <w:shd w:val="clear" w:color="auto" w:fill="FFFFFF"/>
        <w:spacing w:after="24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Book Antiqua" w:eastAsia="Times New Roman" w:hAnsi="Book Antiqu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18/2014* dated June 11, 2014</w:t>
      </w:r>
      <w:r w:rsidRPr="00BA6CD3">
        <w:rPr>
          <w:rFonts w:ascii="Book Antiqua" w:eastAsia="Times New Roman" w:hAnsi="Book Antiqua" w:cs="Helvetica"/>
          <w:color w:val="0000FF"/>
          <w:sz w:val="24"/>
          <w:szCs w:val="24"/>
          <w:u w:val="single"/>
          <w:bdr w:val="none" w:sz="0" w:space="0" w:color="auto" w:frame="1"/>
        </w:rPr>
        <w:t>(Conversion of Company from Public to Private)</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Clarifies that with respect to </w:t>
      </w:r>
      <w:r w:rsidRPr="00F076C8">
        <w:rPr>
          <w:rFonts w:ascii="Book Antiqua" w:eastAsia="Times New Roman" w:hAnsi="Book Antiqua" w:cs="Helvetica"/>
          <w:sz w:val="24"/>
          <w:szCs w:val="24"/>
          <w:u w:val="single"/>
          <w:bdr w:val="none" w:sz="0" w:space="0" w:color="auto" w:frame="1"/>
        </w:rPr>
        <w:t>difficulties b</w:t>
      </w:r>
      <w:r w:rsidRPr="00F076C8">
        <w:rPr>
          <w:rFonts w:ascii="Book Antiqua" w:eastAsia="Times New Roman" w:hAnsi="Book Antiqua" w:cs="Helvetica"/>
          <w:sz w:val="24"/>
          <w:szCs w:val="24"/>
        </w:rPr>
        <w:t>eing faced in </w:t>
      </w:r>
      <w:r w:rsidRPr="00F076C8">
        <w:rPr>
          <w:rFonts w:ascii="Book Antiqua" w:eastAsia="Times New Roman" w:hAnsi="Book Antiqua" w:cs="Helvetica"/>
          <w:sz w:val="24"/>
          <w:szCs w:val="24"/>
          <w:u w:val="single"/>
          <w:bdr w:val="none" w:sz="0" w:space="0" w:color="auto" w:frame="1"/>
        </w:rPr>
        <w:t>filing Form No. INC-27</w:t>
      </w:r>
      <w:r w:rsidRPr="00F076C8">
        <w:rPr>
          <w:rFonts w:ascii="Book Antiqua" w:eastAsia="Times New Roman" w:hAnsi="Book Antiqua" w:cs="Helvetica"/>
          <w:sz w:val="24"/>
          <w:szCs w:val="24"/>
        </w:rPr>
        <w:t> for conversion of companies from public to private under the Companies Act, 2013 - the relevant provisions of Companies Act, 2013 have not yet been notified. The Companies Act, 1956 is in force for the said provisions/ purpose and powers stand delegated to Registrar of Companies, as before.</w:t>
      </w:r>
    </w:p>
    <w:p w:rsidR="00212802"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sz w:val="24"/>
          <w:szCs w:val="24"/>
        </w:rPr>
        <w:lastRenderedPageBreak/>
        <w:br/>
      </w:r>
    </w:p>
    <w:p w:rsidR="00212802"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17/2014* dated June 11, 2014</w:t>
      </w:r>
      <w:r w:rsidR="00BA6CD3">
        <w:rPr>
          <w:rFonts w:ascii="Book Antiqua" w:eastAsia="Times New Roman" w:hAnsi="Book Antiqua" w:cs="Helvetica"/>
          <w:b/>
          <w:bCs/>
          <w:color w:val="0000FF"/>
          <w:sz w:val="24"/>
          <w:szCs w:val="24"/>
          <w:bdr w:val="none" w:sz="0" w:space="0" w:color="auto" w:frame="1"/>
        </w:rPr>
        <w:t xml:space="preserve"> </w:t>
      </w:r>
      <w:r w:rsidRPr="00BA6CD3">
        <w:rPr>
          <w:rFonts w:ascii="Book Antiqua" w:eastAsia="Times New Roman" w:hAnsi="Book Antiqua" w:cs="Helvetica"/>
          <w:b/>
          <w:bCs/>
          <w:color w:val="0000FF"/>
          <w:sz w:val="24"/>
          <w:szCs w:val="24"/>
          <w:bdr w:val="none" w:sz="0" w:space="0" w:color="auto" w:frame="1"/>
        </w:rPr>
        <w:t>(</w:t>
      </w:r>
      <w:r w:rsidRPr="00BA6CD3">
        <w:rPr>
          <w:rFonts w:ascii="Book Antiqua" w:eastAsia="Times New Roman" w:hAnsi="Book Antiqua" w:cs="Helvetica"/>
          <w:color w:val="0000FF"/>
          <w:sz w:val="24"/>
          <w:szCs w:val="24"/>
          <w:u w:val="single"/>
          <w:bdr w:val="none" w:sz="0" w:space="0" w:color="auto" w:frame="1"/>
        </w:rPr>
        <w:t>Form MGT-10)</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Clarifies that Form MGT-10 has to be filled physically and certified by a practicing professional thereon and thereafter filed as an attachment to eForm GNL-2 till the time eForm MGT-10 is made available.</w:t>
      </w:r>
    </w:p>
    <w:p w:rsidR="00212802" w:rsidRPr="00BA6CD3" w:rsidRDefault="00212802" w:rsidP="00BA6CD3">
      <w:pPr>
        <w:shd w:val="clear" w:color="auto" w:fill="FFFFFF"/>
        <w:spacing w:after="0" w:line="240" w:lineRule="atLeast"/>
        <w:jc w:val="both"/>
        <w:textAlignment w:val="baseline"/>
        <w:rPr>
          <w:rFonts w:ascii="Helvetica" w:eastAsia="Times New Roman" w:hAnsi="Helvetica" w:cs="Helvetica"/>
          <w:color w:val="0000FF"/>
          <w:sz w:val="24"/>
          <w:szCs w:val="24"/>
        </w:rPr>
      </w:pPr>
      <w:r w:rsidRPr="00F076C8">
        <w:rPr>
          <w:rFonts w:ascii="Book Antiqua" w:eastAsia="Times New Roman" w:hAnsi="Book Antiqua" w:cs="Helvetica"/>
          <w:sz w:val="24"/>
          <w:szCs w:val="24"/>
        </w:rPr>
        <w:br/>
      </w:r>
      <w:r w:rsidRPr="00BA6CD3">
        <w:rPr>
          <w:rFonts w:ascii="Book Antiqua" w:eastAsia="Times New Roman" w:hAnsi="Book Antiqua" w:cs="Helvetica"/>
          <w:b/>
          <w:bCs/>
          <w:color w:val="0000FF"/>
          <w:sz w:val="24"/>
          <w:szCs w:val="24"/>
          <w:bdr w:val="none" w:sz="0" w:space="0" w:color="auto" w:frame="1"/>
        </w:rPr>
        <w:t>*General Circular No. 16/2014* dated June 10, 2014:</w:t>
      </w:r>
      <w:r w:rsidRPr="00BA6CD3">
        <w:rPr>
          <w:rFonts w:ascii="Book Antiqua" w:eastAsia="Times New Roman" w:hAnsi="Book Antiqua" w:cs="Helvetica"/>
          <w:b/>
          <w:bCs/>
          <w:color w:val="0000FF"/>
          <w:sz w:val="24"/>
          <w:szCs w:val="24"/>
        </w:rPr>
        <w:t> </w:t>
      </w:r>
      <w:r w:rsidRPr="00BA6CD3">
        <w:rPr>
          <w:rFonts w:ascii="Book Antiqua" w:eastAsia="Times New Roman" w:hAnsi="Book Antiqua" w:cs="Helvetica"/>
          <w:color w:val="0000FF"/>
          <w:sz w:val="24"/>
          <w:szCs w:val="24"/>
          <w:u w:val="single"/>
          <w:bdr w:val="none" w:sz="0" w:space="0" w:color="auto" w:frame="1"/>
        </w:rPr>
        <w:t>(Non Requirement of PAN by foreign director or subscriber)</w:t>
      </w: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Clarifies that a Resident Director shall have to furnish PAN details at the time of incorporation of a company.</w:t>
      </w:r>
    </w:p>
    <w:p w:rsidR="00212802" w:rsidRPr="00F076C8" w:rsidRDefault="00212802" w:rsidP="00212802">
      <w:pPr>
        <w:shd w:val="clear" w:color="auto" w:fill="FFFFFF"/>
        <w:spacing w:after="0" w:line="240" w:lineRule="atLeast"/>
        <w:ind w:left="360" w:hanging="36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A Foreign National who shall be a subscriber/promoter, and does not possess PAN shall submit a </w:t>
      </w:r>
      <w:r w:rsidRPr="00F076C8">
        <w:rPr>
          <w:rFonts w:ascii="Book Antiqua" w:eastAsia="Times New Roman" w:hAnsi="Book Antiqua" w:cs="Helvetica"/>
          <w:sz w:val="24"/>
          <w:szCs w:val="24"/>
          <w:u w:val="single"/>
        </w:rPr>
        <w:t>declaration</w:t>
      </w:r>
      <w:r w:rsidRPr="00F076C8">
        <w:rPr>
          <w:rFonts w:ascii="Book Antiqua" w:eastAsia="Times New Roman" w:hAnsi="Book Antiqua" w:cs="Helvetica"/>
          <w:sz w:val="24"/>
          <w:szCs w:val="24"/>
        </w:rPr>
        <w:t> in the said regard as an </w:t>
      </w:r>
      <w:r w:rsidRPr="00F076C8">
        <w:rPr>
          <w:rFonts w:ascii="Book Antiqua" w:eastAsia="Times New Roman" w:hAnsi="Book Antiqua" w:cs="Helvetica"/>
          <w:sz w:val="24"/>
          <w:szCs w:val="24"/>
          <w:u w:val="single"/>
          <w:bdr w:val="none" w:sz="0" w:space="0" w:color="auto" w:frame="1"/>
        </w:rPr>
        <w:t>attachment to Form INC-7.</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15/2014* dated June 09, 2014(</w:t>
      </w:r>
      <w:r w:rsidRPr="00BA6CD3">
        <w:rPr>
          <w:rFonts w:ascii="Book Antiqua" w:eastAsia="Times New Roman" w:hAnsi="Book Antiqua" w:cs="Helvetica"/>
          <w:color w:val="0000FF"/>
          <w:sz w:val="24"/>
          <w:szCs w:val="24"/>
          <w:u w:val="single"/>
          <w:bdr w:val="none" w:sz="0" w:space="0" w:color="auto" w:frame="1"/>
        </w:rPr>
        <w:t>Register under MBP-2)</w:t>
      </w:r>
    </w:p>
    <w:p w:rsidR="00BA6CD3" w:rsidRDefault="00212802" w:rsidP="00BA6CD3">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sz w:val="24"/>
          <w:szCs w:val="24"/>
        </w:rPr>
        <w:t>Clarifies that </w:t>
      </w:r>
      <w:r w:rsidRPr="00F076C8">
        <w:rPr>
          <w:rFonts w:ascii="Book Antiqua" w:eastAsia="Times New Roman" w:hAnsi="Book Antiqua" w:cs="Helvetica"/>
          <w:sz w:val="24"/>
          <w:szCs w:val="24"/>
          <w:u w:val="single"/>
          <w:bdr w:val="none" w:sz="0" w:space="0" w:color="auto" w:frame="1"/>
        </w:rPr>
        <w:t>register maintained under section 372A(5)</w:t>
      </w:r>
      <w:r w:rsidRPr="00F076C8">
        <w:rPr>
          <w:rFonts w:ascii="Book Antiqua" w:eastAsia="Times New Roman" w:hAnsi="Book Antiqua" w:cs="Helvetica"/>
          <w:sz w:val="24"/>
          <w:szCs w:val="24"/>
        </w:rPr>
        <w:t> of the Companies Act, </w:t>
      </w:r>
      <w:r w:rsidRPr="00F076C8">
        <w:rPr>
          <w:rFonts w:ascii="Book Antiqua" w:eastAsia="Times New Roman" w:hAnsi="Book Antiqua" w:cs="Helvetica"/>
          <w:sz w:val="24"/>
          <w:szCs w:val="24"/>
          <w:u w:val="single"/>
          <w:bdr w:val="none" w:sz="0" w:space="0" w:color="auto" w:frame="1"/>
        </w:rPr>
        <w:t>1956 may continue</w:t>
      </w:r>
      <w:r w:rsidRPr="00F076C8">
        <w:rPr>
          <w:rFonts w:ascii="Book Antiqua" w:eastAsia="Times New Roman" w:hAnsi="Book Antiqua" w:cs="Helvetica"/>
          <w:sz w:val="24"/>
          <w:szCs w:val="24"/>
        </w:rPr>
        <w:t> as per requirements under these provisions and the new format</w:t>
      </w:r>
      <w:r w:rsidR="00BA6CD3">
        <w:rPr>
          <w:rFonts w:ascii="Book Antiqua" w:eastAsia="Times New Roman" w:hAnsi="Book Antiqua" w:cs="Helvetica"/>
          <w:sz w:val="24"/>
          <w:szCs w:val="24"/>
        </w:rPr>
        <w:t xml:space="preserve"> </w:t>
      </w:r>
      <w:r w:rsidRPr="00D04F35">
        <w:rPr>
          <w:rFonts w:ascii="Book Antiqua" w:eastAsia="Times New Roman" w:hAnsi="Book Antiqua" w:cs="Helvetica"/>
          <w:sz w:val="24"/>
          <w:szCs w:val="24"/>
        </w:rPr>
        <w:t>prescribed vide </w:t>
      </w:r>
      <w:r w:rsidRPr="00D04F35">
        <w:rPr>
          <w:rFonts w:ascii="Book Antiqua" w:eastAsia="Times New Roman" w:hAnsi="Book Antiqua" w:cs="Helvetica"/>
          <w:sz w:val="24"/>
          <w:szCs w:val="24"/>
          <w:bdr w:val="none" w:sz="0" w:space="0" w:color="auto" w:frame="1"/>
        </w:rPr>
        <w:t xml:space="preserve">Form MBP2 shall be used for particulars entered in such registers </w:t>
      </w:r>
      <w:r w:rsidR="00BA6CD3" w:rsidRPr="00D04F35">
        <w:rPr>
          <w:rFonts w:ascii="Book Antiqua" w:eastAsia="Times New Roman" w:hAnsi="Book Antiqua" w:cs="Helvetica"/>
          <w:sz w:val="24"/>
          <w:szCs w:val="24"/>
          <w:bdr w:val="none" w:sz="0" w:space="0" w:color="auto" w:frame="1"/>
        </w:rPr>
        <w:t>on and from April 01, 2014.</w:t>
      </w:r>
      <w:r w:rsidRPr="00D04F35">
        <w:rPr>
          <w:rFonts w:ascii="Book Antiqua" w:eastAsia="Times New Roman" w:hAnsi="Book Antiqua" w:cs="Helvetica"/>
          <w:sz w:val="24"/>
          <w:szCs w:val="24"/>
        </w:rPr>
        <w:br/>
      </w:r>
      <w:r w:rsidRPr="00F076C8">
        <w:rPr>
          <w:rFonts w:ascii="Book Antiqua" w:eastAsia="Times New Roman" w:hAnsi="Book Antiqua" w:cs="Helvetica"/>
          <w:sz w:val="24"/>
          <w:szCs w:val="24"/>
        </w:rPr>
        <w:br/>
      </w:r>
    </w:p>
    <w:p w:rsidR="00212802" w:rsidRPr="00BA6CD3" w:rsidRDefault="00212802" w:rsidP="00BA6CD3">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14/2014* dated June 09, 2014</w:t>
      </w:r>
      <w:r w:rsidRPr="00BA6CD3">
        <w:rPr>
          <w:rFonts w:ascii="Book Antiqua" w:eastAsia="Times New Roman" w:hAnsi="Book Antiqua" w:cs="Helvetica"/>
          <w:color w:val="0000FF"/>
          <w:sz w:val="24"/>
          <w:szCs w:val="24"/>
        </w:rPr>
        <w:t>: </w:t>
      </w:r>
      <w:r w:rsidRPr="00BA6CD3">
        <w:rPr>
          <w:rFonts w:ascii="Book Antiqua" w:eastAsia="Times New Roman" w:hAnsi="Book Antiqua" w:cs="Helvetica"/>
          <w:color w:val="0000FF"/>
          <w:sz w:val="24"/>
          <w:szCs w:val="24"/>
          <w:u w:val="single"/>
          <w:bdr w:val="none" w:sz="0" w:space="0" w:color="auto" w:frame="1"/>
        </w:rPr>
        <w:t>Clarifies that only Appointment of Independent Directors under the new Act would need to be finalized through a letter of appointment.</w:t>
      </w:r>
    </w:p>
    <w:p w:rsidR="00212802" w:rsidRPr="00F076C8" w:rsidRDefault="00212802" w:rsidP="00212802">
      <w:pPr>
        <w:shd w:val="clear" w:color="auto" w:fill="FFFFFF"/>
        <w:spacing w:after="0" w:line="240" w:lineRule="atLeast"/>
        <w:ind w:left="180" w:hanging="18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rPr>
        <w:t>In view of the provisions of Section 188 which take away transactions in the ordinary course of  business at arm's length price, from the </w:t>
      </w:r>
      <w:r w:rsidRPr="00F076C8">
        <w:rPr>
          <w:rFonts w:ascii="Book Antiqua" w:eastAsia="Times New Roman" w:hAnsi="Book Antiqua" w:cs="Helvetica"/>
          <w:sz w:val="24"/>
          <w:szCs w:val="24"/>
          <w:u w:val="single"/>
          <w:bdr w:val="none" w:sz="0" w:space="0" w:color="auto" w:frame="1"/>
        </w:rPr>
        <w:t>purview of related party transactions, an "ID" will not be said to have a pecuniary relationship</w:t>
      </w:r>
      <w:r w:rsidRPr="00F076C8">
        <w:rPr>
          <w:rFonts w:ascii="Book Antiqua" w:eastAsia="Times New Roman" w:hAnsi="Book Antiqua" w:cs="Helvetica"/>
          <w:sz w:val="24"/>
          <w:szCs w:val="24"/>
        </w:rPr>
        <w: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ind w:left="180" w:hanging="18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u w:val="single"/>
          <w:bdr w:val="none" w:sz="0" w:space="0" w:color="auto" w:frame="1"/>
        </w:rPr>
        <w:t>It also does not include receipt of remuneration</w:t>
      </w:r>
      <w:r w:rsidRPr="00F076C8">
        <w:rPr>
          <w:rFonts w:ascii="Book Antiqua" w:eastAsia="Times New Roman" w:hAnsi="Book Antiqua" w:cs="Helvetica"/>
          <w:sz w:val="24"/>
          <w:szCs w:val="24"/>
        </w:rPr>
        <w:t>, from one or more companies as sitting fees, reimbursement of expenses for participation in the Board and other meetings and profit related commission approved by the members, </w:t>
      </w:r>
      <w:r w:rsidRPr="00F076C8">
        <w:rPr>
          <w:rFonts w:ascii="Book Antiqua" w:eastAsia="Times New Roman" w:hAnsi="Book Antiqua" w:cs="Helvetica"/>
          <w:sz w:val="24"/>
          <w:szCs w:val="24"/>
          <w:u w:val="single"/>
          <w:bdr w:val="none" w:sz="0" w:space="0" w:color="auto" w:frame="1"/>
        </w:rPr>
        <w:t>in accordance with the provisions of the Act. {Section 149(6)(c)}</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ind w:left="270" w:hanging="63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b/>
          <w:bCs/>
          <w:sz w:val="24"/>
          <w:szCs w:val="24"/>
          <w:u w:val="single"/>
          <w:bdr w:val="none" w:sz="0" w:space="0" w:color="auto" w:frame="1"/>
        </w:rPr>
        <w:t>Terms:</w:t>
      </w:r>
      <w:r w:rsidRPr="00F076C8">
        <w:rPr>
          <w:rFonts w:ascii="Book Antiqua" w:eastAsia="Times New Roman" w:hAnsi="Book Antiqua" w:cs="Helvetica"/>
          <w:sz w:val="24"/>
          <w:szCs w:val="24"/>
        </w:rPr>
        <w:br/>
        <w:t>Section 149(10) provides for a term of "</w:t>
      </w:r>
      <w:r w:rsidRPr="00F076C8">
        <w:rPr>
          <w:rFonts w:ascii="Book Antiqua" w:eastAsia="Times New Roman" w:hAnsi="Book Antiqua" w:cs="Helvetica"/>
          <w:sz w:val="24"/>
          <w:szCs w:val="24"/>
          <w:u w:val="single"/>
          <w:bdr w:val="none" w:sz="0" w:space="0" w:color="auto" w:frame="1"/>
        </w:rPr>
        <w:t>upto five consecutive years"</w:t>
      </w:r>
      <w:r w:rsidRPr="00F076C8">
        <w:rPr>
          <w:rFonts w:ascii="Book Antiqua" w:eastAsia="Times New Roman" w:hAnsi="Book Antiqua" w:cs="Helvetica"/>
          <w:sz w:val="24"/>
          <w:szCs w:val="24"/>
        </w:rPr>
        <w:t> for an ID and </w:t>
      </w:r>
      <w:r w:rsidRPr="00F076C8">
        <w:rPr>
          <w:rFonts w:ascii="Book Antiqua" w:eastAsia="Times New Roman" w:hAnsi="Book Antiqua" w:cs="Helvetica"/>
          <w:b/>
          <w:bCs/>
          <w:sz w:val="24"/>
          <w:szCs w:val="24"/>
          <w:u w:val="single"/>
          <w:bdr w:val="none" w:sz="0" w:space="0" w:color="auto" w:frame="1"/>
        </w:rPr>
        <w:t>any  term of less than five years, shall constitute as one term</w:t>
      </w:r>
      <w:r w:rsidRPr="00F076C8">
        <w:rPr>
          <w:rFonts w:ascii="Book Antiqua" w:eastAsia="Times New Roman" w:hAnsi="Book Antiqua" w:cs="Helvetica"/>
          <w:sz w:val="24"/>
          <w:szCs w:val="24"/>
        </w:rPr>
        <w:t> under Section 149(10) of the Act.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197A01">
      <w:pPr>
        <w:shd w:val="clear" w:color="auto" w:fill="FFFFFF"/>
        <w:spacing w:after="0" w:line="240" w:lineRule="atLeast"/>
        <w:ind w:left="180" w:hanging="18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rPr>
        <w:t>Further, under Section 149(11), </w:t>
      </w:r>
      <w:r w:rsidRPr="00F076C8">
        <w:rPr>
          <w:rFonts w:ascii="Book Antiqua" w:eastAsia="Times New Roman" w:hAnsi="Book Antiqua" w:cs="Helvetica"/>
          <w:sz w:val="24"/>
          <w:szCs w:val="24"/>
          <w:u w:val="single"/>
          <w:bdr w:val="none" w:sz="0" w:space="0" w:color="auto" w:frame="1"/>
        </w:rPr>
        <w:t>no person can</w:t>
      </w:r>
      <w:r w:rsidRPr="00F076C8">
        <w:rPr>
          <w:rFonts w:ascii="Book Antiqua" w:eastAsia="Times New Roman" w:hAnsi="Book Antiqua" w:cs="Helvetica"/>
          <w:sz w:val="24"/>
          <w:szCs w:val="24"/>
        </w:rPr>
        <w:t> hold office of ID for more than </w:t>
      </w:r>
      <w:r w:rsidRPr="00F076C8">
        <w:rPr>
          <w:rFonts w:ascii="Book Antiqua" w:eastAsia="Times New Roman" w:hAnsi="Book Antiqua" w:cs="Helvetica"/>
          <w:sz w:val="24"/>
          <w:szCs w:val="24"/>
          <w:u w:val="single"/>
          <w:bdr w:val="none" w:sz="0" w:space="0" w:color="auto" w:frame="1"/>
        </w:rPr>
        <w:t>"two consecutive terms</w:t>
      </w:r>
      <w:r w:rsidRPr="00F076C8">
        <w:rPr>
          <w:rFonts w:ascii="Book Antiqua" w:eastAsia="Times New Roman" w:hAnsi="Book Antiqua" w:cs="Helvetica"/>
          <w:sz w:val="24"/>
          <w:szCs w:val="24"/>
        </w:rPr>
        <w:t xml:space="preserve">", and shall have to demit office, even if the total number of years in </w:t>
      </w:r>
      <w:r w:rsidRPr="00F076C8">
        <w:rPr>
          <w:rFonts w:ascii="Book Antiqua" w:eastAsia="Times New Roman" w:hAnsi="Book Antiqua" w:cs="Helvetica"/>
          <w:sz w:val="24"/>
          <w:szCs w:val="24"/>
        </w:rPr>
        <w:lastRenderedPageBreak/>
        <w:t>the two consecutive terms is less than ten years. He shall be eligible for re-appointment only after the requisite cooling off period of three years.</w:t>
      </w:r>
    </w:p>
    <w:p w:rsidR="00197A01"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b/>
          <w:bCs/>
          <w:sz w:val="24"/>
          <w:szCs w:val="24"/>
          <w:bdr w:val="none" w:sz="0" w:space="0" w:color="auto" w:frame="1"/>
        </w:rPr>
        <w:br/>
      </w:r>
    </w:p>
    <w:p w:rsidR="00197A01" w:rsidRPr="00F076C8" w:rsidRDefault="00197A01"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13/2014* dated May 23, 2014(Extension for reserve of Name)</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There is a further </w:t>
      </w:r>
      <w:r w:rsidRPr="00F076C8">
        <w:rPr>
          <w:rFonts w:ascii="Book Antiqua" w:eastAsia="Times New Roman" w:hAnsi="Book Antiqua" w:cs="Helvetica"/>
          <w:sz w:val="24"/>
          <w:szCs w:val="24"/>
          <w:u w:val="single"/>
          <w:bdr w:val="none" w:sz="0" w:space="0" w:color="auto" w:frame="1"/>
        </w:rPr>
        <w:t>extension of validity period for names reserved as on March 31, 2014</w:t>
      </w:r>
      <w:r w:rsidRPr="00F076C8">
        <w:rPr>
          <w:rFonts w:ascii="Book Antiqua" w:eastAsia="Times New Roman" w:hAnsi="Book Antiqua" w:cs="Helvetica"/>
          <w:sz w:val="24"/>
          <w:szCs w:val="24"/>
        </w:rPr>
        <w:t> by another 15 days from the date of the above-mentioned circular i.e. </w:t>
      </w:r>
      <w:r w:rsidRPr="00F076C8">
        <w:rPr>
          <w:rFonts w:ascii="Book Antiqua" w:eastAsia="Times New Roman" w:hAnsi="Book Antiqua" w:cs="Helvetica"/>
          <w:sz w:val="24"/>
          <w:szCs w:val="24"/>
          <w:u w:val="single"/>
          <w:bdr w:val="none" w:sz="0" w:space="0" w:color="auto" w:frame="1"/>
        </w:rPr>
        <w:t>till June 5, 2014</w:t>
      </w:r>
      <w:r w:rsidRPr="00F076C8">
        <w:rPr>
          <w:rFonts w:ascii="Book Antiqua" w:eastAsia="Times New Roman" w:hAnsi="Book Antiqua" w:cs="Helvetica"/>
          <w:sz w:val="24"/>
          <w:szCs w:val="24"/>
        </w:rPr>
        <w:t>.</w:t>
      </w:r>
      <w:r w:rsidRPr="00F076C8">
        <w:rPr>
          <w:rFonts w:ascii="Book Antiqua" w:eastAsia="Times New Roman" w:hAnsi="Book Antiqua" w:cs="Helvetica"/>
          <w:sz w:val="24"/>
          <w:szCs w:val="24"/>
        </w:rPr>
        <w:br/>
        <w:t>The same is in continuation with General Circular No 11/2014.</w:t>
      </w:r>
    </w:p>
    <w:p w:rsidR="00197A01"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sz w:val="24"/>
          <w:szCs w:val="24"/>
        </w:rPr>
        <w:br/>
      </w: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12/2014* dated May 22, 2014</w:t>
      </w:r>
      <w:r w:rsidRPr="00BA6CD3">
        <w:rPr>
          <w:rFonts w:ascii="Book Antiqua" w:eastAsia="Times New Roman" w:hAnsi="Book Antiqua" w:cs="Helvetica"/>
          <w:color w:val="0000FF"/>
          <w:sz w:val="24"/>
          <w:szCs w:val="24"/>
          <w:u w:val="single"/>
          <w:bdr w:val="none" w:sz="0" w:space="0" w:color="auto" w:frame="1"/>
        </w:rPr>
        <w:t>(PAN requirement for foreigner)</w:t>
      </w:r>
    </w:p>
    <w:p w:rsidR="00212802" w:rsidRPr="00F076C8" w:rsidRDefault="00212802" w:rsidP="00197A01">
      <w:pPr>
        <w:shd w:val="clear" w:color="auto" w:fill="FFFFFF"/>
        <w:spacing w:after="0" w:line="240" w:lineRule="atLeast"/>
        <w:ind w:left="270" w:hanging="27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00197A01"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Clarifies that PAN details are mandatory only for those foreign nationals who are required to possess "PAN" in terms of provisions of the Income Tax Act, 1961 on the date of application for incorporation.</w:t>
      </w:r>
    </w:p>
    <w:p w:rsidR="00212802" w:rsidRPr="00F076C8" w:rsidRDefault="00212802" w:rsidP="00197A01">
      <w:pPr>
        <w:shd w:val="clear" w:color="auto" w:fill="FFFFFF"/>
        <w:spacing w:after="0" w:line="240" w:lineRule="atLeast"/>
        <w:ind w:left="270" w:hanging="270"/>
        <w:jc w:val="both"/>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rPr>
        <w:t>Where the intending Director who is a Foreign National is not required to compulsorily possess PAN, it will be sufficient for such a person to furnish his/her passport number, along with undertaking stating that provisions of mandatory applicability of PAN are not applicable to the person concerned.</w:t>
      </w:r>
    </w:p>
    <w:p w:rsidR="00197A01" w:rsidRPr="00F076C8" w:rsidRDefault="00212802" w:rsidP="00212802">
      <w:pPr>
        <w:shd w:val="clear" w:color="auto" w:fill="FFFFFF"/>
        <w:spacing w:after="0" w:line="240" w:lineRule="atLeast"/>
        <w:jc w:val="both"/>
        <w:textAlignment w:val="baseline"/>
        <w:rPr>
          <w:rFonts w:ascii="Book Antiqua" w:eastAsia="Times New Roman" w:hAnsi="Book Antiqua" w:cs="Helvetica"/>
          <w:sz w:val="24"/>
          <w:szCs w:val="24"/>
        </w:rPr>
      </w:pPr>
      <w:r w:rsidRPr="00F076C8">
        <w:rPr>
          <w:rFonts w:ascii="Book Antiqua" w:eastAsia="Times New Roman" w:hAnsi="Book Antiqua" w:cs="Helvetica"/>
          <w:sz w:val="24"/>
          <w:szCs w:val="24"/>
        </w:rPr>
        <w:br/>
        <w:t> </w:t>
      </w:r>
    </w:p>
    <w:p w:rsidR="00197A01" w:rsidRPr="00F076C8" w:rsidRDefault="00197A01" w:rsidP="00212802">
      <w:pPr>
        <w:shd w:val="clear" w:color="auto" w:fill="FFFFFF"/>
        <w:spacing w:after="0" w:line="240" w:lineRule="atLeast"/>
        <w:jc w:val="both"/>
        <w:textAlignment w:val="baseline"/>
        <w:rPr>
          <w:rFonts w:ascii="Book Antiqua" w:eastAsia="Times New Roman" w:hAnsi="Book Antiqu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11/2014* dated May 12, 2014</w:t>
      </w:r>
      <w:r w:rsidRPr="00BA6CD3">
        <w:rPr>
          <w:rFonts w:ascii="Book Antiqua" w:eastAsia="Times New Roman" w:hAnsi="Book Antiqua" w:cs="Helvetica"/>
          <w:color w:val="0000FF"/>
          <w:sz w:val="24"/>
          <w:szCs w:val="24"/>
          <w:u w:val="single"/>
          <w:bdr w:val="none" w:sz="0" w:space="0" w:color="auto" w:frame="1"/>
        </w:rPr>
        <w:t>(Extention for reserve of name)</w:t>
      </w:r>
    </w:p>
    <w:p w:rsidR="00212802" w:rsidRPr="00F076C8" w:rsidRDefault="00212802" w:rsidP="00BA6CD3">
      <w:pPr>
        <w:shd w:val="clear" w:color="auto" w:fill="FFFFFF"/>
        <w:spacing w:after="0" w:line="240" w:lineRule="atLeast"/>
        <w:ind w:left="180" w:hanging="18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Mentioned a one time opportunity for extension of period of Reservation of names.</w:t>
      </w:r>
    </w:p>
    <w:p w:rsidR="00212802" w:rsidRPr="00F076C8" w:rsidRDefault="00197A01" w:rsidP="00BA6CD3">
      <w:pPr>
        <w:shd w:val="clear" w:color="auto" w:fill="FFFFFF"/>
        <w:spacing w:after="0" w:line="240" w:lineRule="atLeast"/>
        <w:ind w:left="180" w:hanging="18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xml:space="preserve">  </w:t>
      </w:r>
      <w:r w:rsidR="00212802" w:rsidRPr="00F076C8">
        <w:rPr>
          <w:rFonts w:ascii="Book Antiqua" w:eastAsia="Times New Roman" w:hAnsi="Book Antiqua" w:cs="Helvetica"/>
          <w:sz w:val="24"/>
          <w:szCs w:val="24"/>
        </w:rPr>
        <w:t>For those stakeholders, whose expiry of 60 days period of reservation of names for incorporation of companies, was falling in the period April 1, 2014 to April 28, 2014; the validity of such names have been extended till May 31, 2014. Those stakeholders, falling in this category, are advised by MCA, to file the relevant E-forms under Companies Act, 2013 before May 31, 2014.</w:t>
      </w:r>
    </w:p>
    <w:p w:rsidR="00197A01" w:rsidRPr="00F076C8" w:rsidRDefault="00212802" w:rsidP="00197A01">
      <w:pPr>
        <w:shd w:val="clear" w:color="auto" w:fill="FFFFFF"/>
        <w:spacing w:after="0" w:line="240" w:lineRule="atLeast"/>
        <w:ind w:left="270" w:hanging="270"/>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sz w:val="24"/>
          <w:szCs w:val="24"/>
        </w:rPr>
        <w:br/>
      </w:r>
    </w:p>
    <w:p w:rsidR="00212802" w:rsidRPr="00BA6CD3" w:rsidRDefault="00212802" w:rsidP="00BA6CD3">
      <w:pPr>
        <w:shd w:val="clear" w:color="auto" w:fill="FFFFFF"/>
        <w:spacing w:after="0" w:line="240" w:lineRule="atLeast"/>
        <w:ind w:left="270" w:hanging="270"/>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10/2014* dated May 07, 2014:</w:t>
      </w:r>
      <w:r w:rsidRPr="00BA6CD3">
        <w:rPr>
          <w:rFonts w:ascii="Book Antiqua" w:eastAsia="Times New Roman" w:hAnsi="Book Antiqua" w:cs="Helvetica"/>
          <w:b/>
          <w:bCs/>
          <w:color w:val="0000FF"/>
          <w:sz w:val="24"/>
          <w:szCs w:val="24"/>
        </w:rPr>
        <w:t> </w:t>
      </w:r>
      <w:r w:rsidRPr="00BA6CD3">
        <w:rPr>
          <w:rFonts w:ascii="Book Antiqua" w:eastAsia="Times New Roman" w:hAnsi="Book Antiqua" w:cs="Helvetica"/>
          <w:color w:val="0000FF"/>
          <w:sz w:val="24"/>
          <w:szCs w:val="24"/>
          <w:u w:val="single"/>
          <w:bdr w:val="none" w:sz="0" w:space="0" w:color="auto" w:frame="1"/>
        </w:rPr>
        <w:t>Certification of E-forms/non e-forms under Companies Act, 2013 by the Practicing Professionals</w:t>
      </w:r>
      <w:r w:rsidRPr="00BA6CD3">
        <w:rPr>
          <w:rFonts w:ascii="Book Antiqua" w:eastAsia="Times New Roman" w:hAnsi="Book Antiqua" w:cs="Helvetica"/>
          <w:color w:val="0000FF"/>
          <w:sz w:val="24"/>
          <w:szCs w:val="24"/>
        </w:rPr>
        <w: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*CAUTION : Further Stringency : Section 447, 448, 449 of Companies Act,2013*</w:t>
      </w:r>
      <w:r w:rsidRPr="00F076C8">
        <w:rPr>
          <w:rFonts w:ascii="Book Antiqua" w:eastAsia="Times New Roman" w:hAnsi="Book Antiqua" w:cs="Helvetica"/>
          <w:sz w:val="24"/>
          <w:szCs w:val="24"/>
        </w:rPr>
        <w:br/>
        <w:t> *"Where any instance of filing of documents, application or return or petition etc. </w:t>
      </w:r>
      <w:r w:rsidRPr="00F076C8">
        <w:rPr>
          <w:rFonts w:ascii="Book Antiqua" w:eastAsia="Times New Roman" w:hAnsi="Book Antiqua" w:cs="Helvetica"/>
          <w:sz w:val="24"/>
          <w:szCs w:val="24"/>
          <w:u w:val="single"/>
          <w:bdr w:val="none" w:sz="0" w:space="0" w:color="auto" w:frame="1"/>
        </w:rPr>
        <w:t>containing false or misleading information or omission of material fact or incomplete information is observed</w:t>
      </w:r>
      <w:r w:rsidRPr="00F076C8">
        <w:rPr>
          <w:rFonts w:ascii="Book Antiqua" w:eastAsia="Times New Roman" w:hAnsi="Book Antiqua" w:cs="Helvetica"/>
          <w:sz w:val="24"/>
          <w:szCs w:val="24"/>
        </w:rPr>
        <w:t>, the Regional Director or the Registrar as the case may be, shall </w:t>
      </w:r>
      <w:r w:rsidRPr="00F076C8">
        <w:rPr>
          <w:rFonts w:ascii="Book Antiqua" w:eastAsia="Times New Roman" w:hAnsi="Book Antiqua" w:cs="Helvetica"/>
          <w:sz w:val="24"/>
          <w:szCs w:val="24"/>
          <w:u w:val="single"/>
          <w:bdr w:val="none" w:sz="0" w:space="0" w:color="auto" w:frame="1"/>
        </w:rPr>
        <w:t>conduct a quick inquiry against the professionals who certified the form and signatory thereof including an officer in default</w:t>
      </w:r>
      <w:r w:rsidRPr="00F076C8">
        <w:rPr>
          <w:rFonts w:ascii="Book Antiqua" w:eastAsia="Times New Roman" w:hAnsi="Book Antiqua" w:cs="Helvetica"/>
          <w:sz w:val="24"/>
          <w:szCs w:val="24"/>
        </w:rPr>
        <w:t> who appears prima facie responsible for submitting false or misleading or incorrect information pursuant to requirement of above said Rules; 15 days notice may be given for the purpose.*</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lastRenderedPageBreak/>
        <w:br/>
        <w:t> *The Regional Director or the Registrar will submit his/her report in respect of the inquiry initiated, irrespective of the outcome, to the E-Governance cell of the Ministry within 15 days of the expiry of period given for submission of an explanation with recommendation in initiating action u/s 447 and.448 of the Companies Act, 2013 wherever applicable and also regarding referral of the matter to the concemed professional Institute for initiating disciplinary proceedings.*</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br/>
        <w:t>*The E-Gov cell of the Ministry shall process each case so referred and issue necessary instructions to the Regional Director/ Registrar of Companies for initiating action u/s 448 and 449 of the Act wherever prima facie cases have been made out. The E-Gov cell will thereafter refer such cases to the concerned Institute for conducting disciplinary proceedings against the errant member as well as debar the concerned professional from filing any document on the MCA portal in future."*</w:t>
      </w:r>
      <w:r w:rsidRPr="00F076C8">
        <w:rPr>
          <w:rFonts w:ascii="Book Antiqua" w:eastAsia="Times New Roman" w:hAnsi="Book Antiqua" w:cs="Helvetica"/>
          <w:sz w:val="24"/>
          <w:szCs w:val="24"/>
        </w:rPr>
        <w:br/>
        <w:t>  </w:t>
      </w: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p>
    <w:p w:rsidR="00212802" w:rsidRPr="00D04F35"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D04F35">
        <w:rPr>
          <w:rFonts w:ascii="Book Antiqua" w:eastAsia="Times New Roman" w:hAnsi="Book Antiqua" w:cs="Helvetica"/>
          <w:b/>
          <w:bCs/>
          <w:color w:val="0000FF"/>
          <w:sz w:val="24"/>
          <w:szCs w:val="24"/>
          <w:bdr w:val="none" w:sz="0" w:space="0" w:color="auto" w:frame="1"/>
        </w:rPr>
        <w:t>General Circular No. 09/2014* dated April 25, 2014</w:t>
      </w:r>
      <w:r w:rsidRPr="00D04F35">
        <w:rPr>
          <w:rFonts w:ascii="Book Antiqua" w:eastAsia="Times New Roman" w:hAnsi="Book Antiqua" w:cs="Helvetica"/>
          <w:color w:val="0000FF"/>
          <w:sz w:val="24"/>
          <w:szCs w:val="24"/>
          <w:u w:val="single"/>
        </w:rPr>
        <w:t> </w:t>
      </w:r>
      <w:r w:rsidRPr="00D04F35">
        <w:rPr>
          <w:rFonts w:ascii="Book Antiqua" w:eastAsia="Times New Roman" w:hAnsi="Book Antiqua" w:cs="Helvetica"/>
          <w:color w:val="0000FF"/>
          <w:sz w:val="24"/>
          <w:szCs w:val="24"/>
          <w:u w:val="single"/>
          <w:bdr w:val="none" w:sz="0" w:space="0" w:color="auto" w:frame="1"/>
        </w:rPr>
        <w:t>Availability of E-forms and non-e-forms under Companies Act, 2013:</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In addition to the Public Notice issued in the newspapers on 25th April, 2014, the circular states that w.e.f. April 28, 2014,</w:t>
      </w:r>
    </w:p>
    <w:p w:rsidR="00212802" w:rsidRPr="00F076C8" w:rsidRDefault="00212802" w:rsidP="00197A01">
      <w:pPr>
        <w:shd w:val="clear" w:color="auto" w:fill="FFFFFF"/>
        <w:spacing w:after="0" w:line="240" w:lineRule="atLeast"/>
        <w:ind w:left="270" w:hanging="27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1.</w:t>
      </w:r>
      <w:r w:rsidR="00197A01"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sz w:val="24"/>
          <w:szCs w:val="24"/>
        </w:rPr>
        <w:t>Stakeholders can also file application for seeking </w:t>
      </w:r>
      <w:r w:rsidRPr="00F076C8">
        <w:rPr>
          <w:rFonts w:ascii="Book Antiqua" w:eastAsia="Times New Roman" w:hAnsi="Book Antiqua" w:cs="Helvetica"/>
          <w:sz w:val="24"/>
          <w:szCs w:val="24"/>
          <w:u w:val="single"/>
          <w:bdr w:val="none" w:sz="0" w:space="0" w:color="auto" w:frame="1"/>
        </w:rPr>
        <w:t>extension of date of AGM/</w:t>
      </w:r>
      <w:r w:rsidRPr="00F076C8">
        <w:rPr>
          <w:rFonts w:ascii="Book Antiqua" w:eastAsia="Times New Roman" w:hAnsi="Book Antiqua" w:cs="Helvetica"/>
          <w:sz w:val="24"/>
          <w:szCs w:val="24"/>
        </w:rPr>
        <w:t> Accounting period by filing </w:t>
      </w:r>
      <w:r w:rsidRPr="00F076C8">
        <w:rPr>
          <w:rFonts w:ascii="Book Antiqua" w:eastAsia="Times New Roman" w:hAnsi="Book Antiqua" w:cs="Helvetica"/>
          <w:sz w:val="24"/>
          <w:szCs w:val="24"/>
          <w:u w:val="single"/>
          <w:bdr w:val="none" w:sz="0" w:space="0" w:color="auto" w:frame="1"/>
        </w:rPr>
        <w:t>form GNL-l.</w:t>
      </w:r>
    </w:p>
    <w:p w:rsidR="00212802" w:rsidRPr="00F076C8" w:rsidRDefault="00212802" w:rsidP="00197A01">
      <w:pPr>
        <w:shd w:val="clear" w:color="auto" w:fill="FFFFFF"/>
        <w:spacing w:after="0" w:line="240" w:lineRule="atLeast"/>
        <w:ind w:left="270" w:hanging="27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2.</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rPr>
        <w:t>Documents in respect of Companies under </w:t>
      </w:r>
      <w:r w:rsidRPr="00F076C8">
        <w:rPr>
          <w:rFonts w:ascii="Book Antiqua" w:eastAsia="Times New Roman" w:hAnsi="Book Antiqua" w:cs="Helvetica"/>
          <w:sz w:val="24"/>
          <w:szCs w:val="24"/>
          <w:u w:val="single"/>
          <w:bdr w:val="none" w:sz="0" w:space="0" w:color="auto" w:frame="1"/>
        </w:rPr>
        <w:t>liquidation will</w:t>
      </w:r>
      <w:r w:rsidRPr="00F076C8">
        <w:rPr>
          <w:rFonts w:ascii="Book Antiqua" w:eastAsia="Times New Roman" w:hAnsi="Book Antiqua" w:cs="Helvetica"/>
          <w:sz w:val="24"/>
          <w:szCs w:val="24"/>
          <w:u w:val="single"/>
          <w:bdr w:val="none" w:sz="0" w:space="0" w:color="auto" w:frame="1"/>
        </w:rPr>
        <w:br/>
        <w:t>also be allowed to be filed along with form GNL-2.</w:t>
      </w:r>
    </w:p>
    <w:p w:rsidR="00212802" w:rsidRPr="00F076C8" w:rsidRDefault="00212802" w:rsidP="00197A01">
      <w:pPr>
        <w:shd w:val="clear" w:color="auto" w:fill="FFFFFF"/>
        <w:spacing w:after="0" w:line="240" w:lineRule="atLeast"/>
        <w:ind w:left="270" w:hanging="27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3.</w:t>
      </w:r>
      <w:r w:rsidRPr="00F076C8">
        <w:rPr>
          <w:rFonts w:ascii="Times New Roman" w:eastAsia="Times New Roman" w:hAnsi="Times New Roman" w:cs="Times New Roman"/>
          <w:sz w:val="14"/>
          <w:szCs w:val="14"/>
        </w:rPr>
        <w:t>    </w:t>
      </w:r>
      <w:r w:rsidRPr="00F076C8">
        <w:rPr>
          <w:rFonts w:ascii="Book Antiqua" w:eastAsia="Times New Roman" w:hAnsi="Book Antiqua" w:cs="Helvetica"/>
          <w:sz w:val="24"/>
          <w:szCs w:val="24"/>
        </w:rPr>
        <w:t>Documents in respect of particulars of person(s) or Directors charged or specified for the purpose of section 2(60) of the Companies Act, 2013 will be allowed to be filed along with form </w:t>
      </w:r>
      <w:r w:rsidRPr="00F076C8">
        <w:rPr>
          <w:rFonts w:ascii="Book Antiqua" w:eastAsia="Times New Roman" w:hAnsi="Book Antiqua" w:cs="Helvetica"/>
          <w:sz w:val="24"/>
          <w:szCs w:val="24"/>
          <w:u w:val="single"/>
          <w:bdr w:val="none" w:sz="0" w:space="0" w:color="auto" w:frame="1"/>
        </w:rPr>
        <w:t>GLN-3,</w:t>
      </w:r>
      <w:r w:rsidRPr="00F076C8">
        <w:rPr>
          <w:rFonts w:ascii="Book Antiqua" w:eastAsia="Times New Roman" w:hAnsi="Book Antiqua" w:cs="Helvetica"/>
          <w:sz w:val="24"/>
          <w:szCs w:val="24"/>
        </w:rPr>
        <w:t> Documents/ forms for filing petitions to Central Government will be allowed to file with form RD-2.</w:t>
      </w:r>
    </w:p>
    <w:p w:rsidR="00212802" w:rsidRPr="00F076C8" w:rsidRDefault="00212802" w:rsidP="00197A01">
      <w:pPr>
        <w:shd w:val="clear" w:color="auto" w:fill="FFFFFF"/>
        <w:spacing w:after="0" w:line="240" w:lineRule="atLeast"/>
        <w:ind w:left="270"/>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The Circular also mentions that the physically attached forms will be scrutinized to check all fields before accordingly approval to the respective forms.</w:t>
      </w:r>
    </w:p>
    <w:p w:rsidR="00197A01" w:rsidRPr="00BA6CD3" w:rsidRDefault="00212802" w:rsidP="00212802">
      <w:pPr>
        <w:shd w:val="clear" w:color="auto" w:fill="FFFFFF"/>
        <w:spacing w:after="0" w:line="240" w:lineRule="atLeast"/>
        <w:jc w:val="both"/>
        <w:textAlignment w:val="baseline"/>
        <w:rPr>
          <w:rFonts w:ascii="Book Antiqua" w:eastAsia="Times New Roman" w:hAnsi="Book Antiqua" w:cs="Helvetica"/>
          <w:color w:val="0000FF"/>
          <w:sz w:val="24"/>
          <w:szCs w:val="24"/>
        </w:rPr>
      </w:pPr>
      <w:r w:rsidRPr="00F076C8">
        <w:rPr>
          <w:rFonts w:ascii="Book Antiqua" w:eastAsia="Times New Roman" w:hAnsi="Book Antiqua" w:cs="Helvetica"/>
          <w:sz w:val="24"/>
          <w:szCs w:val="24"/>
        </w:rPr>
        <w:br/>
      </w:r>
      <w:r w:rsidRPr="00BA6CD3">
        <w:rPr>
          <w:rFonts w:ascii="Book Antiqua" w:eastAsia="Times New Roman" w:hAnsi="Book Antiqua" w:cs="Helvetica"/>
          <w:b/>
          <w:bCs/>
          <w:color w:val="0000FF"/>
          <w:sz w:val="24"/>
          <w:szCs w:val="24"/>
          <w:bdr w:val="none" w:sz="0" w:space="0" w:color="auto" w:frame="1"/>
        </w:rPr>
        <w:t>General Circular No. 08/2014* dated April 04, 2014</w:t>
      </w:r>
      <w:r w:rsidRPr="00BA6CD3">
        <w:rPr>
          <w:rFonts w:ascii="Book Antiqua" w:eastAsia="Times New Roman" w:hAnsi="Book Antiqua" w:cs="Helvetica"/>
          <w:color w:val="0000FF"/>
          <w:sz w:val="24"/>
          <w:szCs w:val="24"/>
        </w:rPr>
        <w:t xml:space="preserve">: </w:t>
      </w:r>
    </w:p>
    <w:p w:rsidR="00197A01" w:rsidRPr="00F076C8" w:rsidRDefault="00197A01" w:rsidP="00212802">
      <w:pPr>
        <w:shd w:val="clear" w:color="auto" w:fill="FFFFFF"/>
        <w:spacing w:after="0" w:line="240" w:lineRule="atLeast"/>
        <w:jc w:val="both"/>
        <w:textAlignment w:val="baseline"/>
        <w:rPr>
          <w:rFonts w:ascii="Book Antiqua" w:eastAsia="Times New Roman" w:hAnsi="Book Antiqu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u w:val="single"/>
          <w:bdr w:val="none" w:sz="0" w:space="0" w:color="auto" w:frame="1"/>
        </w:rPr>
        <w:t>Commencement of provisions of the Companies Act, 2013 with regard to maintenance of books of accounts and preparations/adoption/filing of financial statements, auditors report, board's report and attachments touch statements and reports- Applicability with regard to relevant financial.</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br/>
        <w:t> It was notified that the financial statements (and documents required to be attached thereto), auditor's report and Board's report in respect of </w:t>
      </w:r>
      <w:r w:rsidRPr="00F076C8">
        <w:rPr>
          <w:rFonts w:ascii="Book Antiqua" w:eastAsia="Times New Roman" w:hAnsi="Book Antiqua" w:cs="Helvetica"/>
          <w:sz w:val="24"/>
          <w:szCs w:val="24"/>
          <w:u w:val="single"/>
          <w:bdr w:val="none" w:sz="0" w:space="0" w:color="auto" w:frame="1"/>
        </w:rPr>
        <w:t>financial years</w:t>
      </w:r>
      <w:r w:rsidRPr="00F076C8">
        <w:rPr>
          <w:rFonts w:ascii="Book Antiqua" w:eastAsia="Times New Roman" w:hAnsi="Book Antiqua" w:cs="Helvetica"/>
          <w:sz w:val="24"/>
          <w:szCs w:val="24"/>
        </w:rPr>
        <w:t> </w:t>
      </w:r>
      <w:r w:rsidRPr="00F076C8">
        <w:rPr>
          <w:rFonts w:ascii="Book Antiqua" w:eastAsia="Times New Roman" w:hAnsi="Book Antiqua" w:cs="Helvetica"/>
          <w:sz w:val="24"/>
          <w:szCs w:val="24"/>
          <w:u w:val="single"/>
          <w:bdr w:val="none" w:sz="0" w:space="0" w:color="auto" w:frame="1"/>
        </w:rPr>
        <w:t>that commenced earlier than 1st April, 2014 shall be governed by the relevant provisions/Schedules/rules of the Companies Act. 1956</w:t>
      </w:r>
      <w:r w:rsidRPr="00F076C8">
        <w:rPr>
          <w:rFonts w:ascii="Book Antiqua" w:eastAsia="Times New Roman" w:hAnsi="Book Antiqua" w:cs="Helvetica"/>
          <w:sz w:val="24"/>
          <w:szCs w:val="24"/>
        </w:rPr>
        <w:t>. Reference in the Circular via example has been drawn to Schedule II &amp; Schedule III.</w:t>
      </w:r>
    </w:p>
    <w:p w:rsidR="00197A01" w:rsidRPr="00F076C8" w:rsidRDefault="00212802"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r w:rsidRPr="00F076C8">
        <w:rPr>
          <w:rFonts w:ascii="Book Antiqua" w:eastAsia="Times New Roman" w:hAnsi="Book Antiqua" w:cs="Helvetica"/>
          <w:sz w:val="24"/>
          <w:szCs w:val="24"/>
        </w:rPr>
        <w:lastRenderedPageBreak/>
        <w:br/>
      </w:r>
    </w:p>
    <w:p w:rsidR="00197A01" w:rsidRPr="00F076C8" w:rsidRDefault="00197A01" w:rsidP="00212802">
      <w:pPr>
        <w:shd w:val="clear" w:color="auto" w:fill="FFFFFF"/>
        <w:spacing w:after="0" w:line="240" w:lineRule="atLeast"/>
        <w:jc w:val="both"/>
        <w:textAlignment w:val="baseline"/>
        <w:rPr>
          <w:rFonts w:ascii="Book Antiqua" w:eastAsia="Times New Roman" w:hAnsi="Book Antiqua" w:cs="Helvetica"/>
          <w:b/>
          <w:bCs/>
          <w:sz w:val="24"/>
          <w:szCs w:val="24"/>
          <w:bdr w:val="none" w:sz="0" w:space="0" w:color="auto" w:frame="1"/>
        </w:rPr>
      </w:pPr>
    </w:p>
    <w:p w:rsidR="00197A01" w:rsidRPr="00BA6CD3" w:rsidRDefault="00212802" w:rsidP="00212802">
      <w:pPr>
        <w:shd w:val="clear" w:color="auto" w:fill="FFFFFF"/>
        <w:spacing w:after="0" w:line="240" w:lineRule="atLeast"/>
        <w:jc w:val="both"/>
        <w:textAlignment w:val="baseline"/>
        <w:rPr>
          <w:rFonts w:ascii="Book Antiqua" w:eastAsia="Times New Roman" w:hAnsi="Book Antiqua" w:cs="Helvetica"/>
          <w:color w:val="0000FF"/>
          <w:sz w:val="24"/>
          <w:szCs w:val="24"/>
        </w:rPr>
      </w:pPr>
      <w:r w:rsidRPr="00BA6CD3">
        <w:rPr>
          <w:rFonts w:ascii="Book Antiqua" w:eastAsia="Times New Roman" w:hAnsi="Book Antiqua" w:cs="Helvetica"/>
          <w:b/>
          <w:bCs/>
          <w:color w:val="0000FF"/>
          <w:sz w:val="24"/>
          <w:szCs w:val="24"/>
          <w:bdr w:val="none" w:sz="0" w:space="0" w:color="auto" w:frame="1"/>
        </w:rPr>
        <w:t>General Circular No. 06/2014* dated March 28,</w:t>
      </w:r>
      <w:r w:rsidRPr="00BA6CD3">
        <w:rPr>
          <w:rFonts w:ascii="Book Antiqua" w:eastAsia="Times New Roman" w:hAnsi="Book Antiqua" w:cs="Helvetica"/>
          <w:b/>
          <w:bCs/>
          <w:color w:val="0000FF"/>
          <w:sz w:val="24"/>
          <w:szCs w:val="24"/>
        </w:rPr>
        <w:t> </w:t>
      </w:r>
      <w:r w:rsidRPr="00BA6CD3">
        <w:rPr>
          <w:rFonts w:ascii="Book Antiqua" w:eastAsia="Times New Roman" w:hAnsi="Book Antiqua" w:cs="Helvetica"/>
          <w:color w:val="0000FF"/>
          <w:sz w:val="24"/>
          <w:szCs w:val="24"/>
        </w:rPr>
        <w:t xml:space="preserve">2014: </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Phased roll-out plan of new forms has been released. Some key points from the same are</w:t>
      </w:r>
      <w:r w:rsidRPr="00F076C8">
        <w:rPr>
          <w:rFonts w:ascii="Book Antiqua" w:eastAsia="Times New Roman" w:hAnsi="Book Antiqua" w:cs="Helvetica"/>
          <w:b/>
          <w:bCs/>
          <w:sz w:val="24"/>
          <w:szCs w:val="24"/>
        </w:rPr>
        <w:t> </w:t>
      </w:r>
      <w:r w:rsidRPr="00F076C8">
        <w:rPr>
          <w:rFonts w:ascii="Book Antiqua" w:eastAsia="Times New Roman" w:hAnsi="Book Antiqua" w:cs="Helvetica"/>
          <w:b/>
          <w:bCs/>
          <w:sz w:val="24"/>
          <w:szCs w:val="24"/>
          <w:bdr w:val="none" w:sz="0" w:space="0" w:color="auto" w:frame="1"/>
        </w:rPr>
        <w:t>:</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It has been decided to waive fees for all event based filing whose due date falls between 01/04/2014 to 30/04/2014.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From 01/04/2014 to 14/04/2014 except existing e-forms (some of the said Form are Form 66, 14LLP, 20B, 23AC, 23ACA, 23AC-XBRL, 23ACA-XBRL to name a few) no other e-forms will be available for filing. From 01/04/2014 to 13/04/2014 the period will be used for clearing pending e-forms already filed under the provisions of Companies Act, 1956.</w:t>
      </w:r>
      <w:r w:rsidRPr="00F076C8">
        <w:rPr>
          <w:rFonts w:ascii="Book Antiqua" w:eastAsia="Times New Roman" w:hAnsi="Book Antiqua" w:cs="Helvetica"/>
          <w:sz w:val="24"/>
          <w:szCs w:val="24"/>
        </w:rPr>
        <w:br/>
      </w:r>
      <w:r w:rsidRPr="00F076C8">
        <w:rPr>
          <w:rFonts w:ascii="Book Antiqua" w:eastAsia="Times New Roman" w:hAnsi="Book Antiqua" w:cs="Helvetica"/>
          <w:sz w:val="24"/>
          <w:szCs w:val="24"/>
        </w:rPr>
        <w:br/>
        <w:t>From 14/04/2014, 39 new e-forms will be available on MCA portal for upload. Test version of these forms will be available from 28/03/2014 onwards. Final forms will be available from 14/04/2014.</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br/>
        <w:t>There are 5 general e-forms and 2 e-forms which will be available for filing w.e.f. 28/04/2014 will be available for filing 24 notified forms/events which will be made available for individual e-filing at a later date, can be attached with these 7 e-forms and filed.</w:t>
      </w:r>
      <w:r w:rsidRPr="00F076C8">
        <w:rPr>
          <w:rFonts w:ascii="Book Antiqua" w:eastAsia="Times New Roman" w:hAnsi="Book Antiqua" w:cs="Helvetica"/>
          <w:sz w:val="24"/>
          <w:szCs w:val="24"/>
        </w:rPr>
        <w:br/>
      </w:r>
      <w:r w:rsidRPr="00F076C8">
        <w:rPr>
          <w:rFonts w:ascii="Book Antiqua" w:eastAsia="Times New Roman" w:hAnsi="Book Antiqua" w:cs="Helvetica"/>
          <w:sz w:val="24"/>
          <w:szCs w:val="24"/>
        </w:rPr>
        <w:br/>
      </w:r>
      <w:r w:rsidRPr="00BA6CD3">
        <w:rPr>
          <w:rFonts w:ascii="Book Antiqua" w:eastAsia="Times New Roman" w:hAnsi="Book Antiqua" w:cs="Helvetica"/>
          <w:b/>
          <w:bCs/>
          <w:color w:val="0000FF"/>
          <w:sz w:val="24"/>
          <w:szCs w:val="24"/>
          <w:bdr w:val="none" w:sz="0" w:space="0" w:color="auto" w:frame="1"/>
        </w:rPr>
        <w:t>General Circular No. 05/2014* dated March 28, 2014:</w:t>
      </w:r>
      <w:r w:rsidRPr="00BA6CD3">
        <w:rPr>
          <w:rFonts w:ascii="Book Antiqua" w:eastAsia="Times New Roman" w:hAnsi="Book Antiqua" w:cs="Helvetica"/>
          <w:b/>
          <w:bCs/>
          <w:color w:val="0000FF"/>
          <w:sz w:val="24"/>
          <w:szCs w:val="24"/>
        </w:rPr>
        <w:t> </w:t>
      </w:r>
      <w:r w:rsidRPr="00BA6CD3">
        <w:rPr>
          <w:rFonts w:ascii="Book Antiqua" w:eastAsia="Times New Roman" w:hAnsi="Book Antiqua" w:cs="Helvetica"/>
          <w:color w:val="0000FF"/>
          <w:sz w:val="24"/>
          <w:szCs w:val="24"/>
          <w:u w:val="single"/>
          <w:bdr w:val="none" w:sz="0" w:space="0" w:color="auto" w:frame="1"/>
        </w:rPr>
        <w:t>Online Payment of stamp duty and court fee stamp for issue of certified copies.</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br/>
        <w:t>The Ministry has enabled payment </w:t>
      </w:r>
      <w:r w:rsidRPr="00F076C8">
        <w:rPr>
          <w:rFonts w:ascii="Book Antiqua" w:eastAsia="Times New Roman" w:hAnsi="Book Antiqua" w:cs="Helvetica"/>
          <w:sz w:val="24"/>
          <w:szCs w:val="24"/>
          <w:u w:val="single"/>
          <w:bdr w:val="none" w:sz="0" w:space="0" w:color="auto" w:frame="1"/>
        </w:rPr>
        <w:t>of Stamp Duty as well as Court Fee online through MCA Porta</w:t>
      </w:r>
      <w:r w:rsidRPr="00F076C8">
        <w:rPr>
          <w:rFonts w:ascii="Book Antiqua" w:eastAsia="Times New Roman" w:hAnsi="Book Antiqua" w:cs="Helvetica"/>
          <w:sz w:val="24"/>
          <w:szCs w:val="24"/>
        </w:rPr>
        <w:t>l to avoid the delay in sending certified copies of documents applied for. Court Fee would be added per SRN irrespective of number of documents applied for. Stamp duty would be calculated based on</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BA6CD3" w:rsidRDefault="00212802" w:rsidP="00212802">
      <w:pPr>
        <w:shd w:val="clear" w:color="auto" w:fill="FFFFFF"/>
        <w:spacing w:after="0" w:line="240" w:lineRule="atLeast"/>
        <w:jc w:val="both"/>
        <w:textAlignment w:val="baseline"/>
        <w:rPr>
          <w:rFonts w:ascii="Helvetica" w:eastAsia="Times New Roman" w:hAnsi="Helvetica" w:cs="Helvetica"/>
          <w:color w:val="0000FF"/>
          <w:sz w:val="24"/>
          <w:szCs w:val="24"/>
        </w:rPr>
      </w:pPr>
      <w:r w:rsidRPr="00BA6CD3">
        <w:rPr>
          <w:rFonts w:ascii="Book Antiqua" w:eastAsia="Times New Roman" w:hAnsi="Book Antiqua" w:cs="Helvetica"/>
          <w:b/>
          <w:bCs/>
          <w:color w:val="0000FF"/>
          <w:sz w:val="24"/>
          <w:szCs w:val="24"/>
          <w:u w:val="single"/>
          <w:bdr w:val="none" w:sz="0" w:space="0" w:color="auto" w:frame="1"/>
        </w:rPr>
        <w:t>DELEGATION OF SOME POWERS:</w:t>
      </w:r>
    </w:p>
    <w:p w:rsidR="00212802" w:rsidRPr="00F076C8" w:rsidRDefault="00212802" w:rsidP="00212802">
      <w:pPr>
        <w:shd w:val="clear" w:color="auto" w:fill="FFFFFF"/>
        <w:spacing w:after="0" w:line="240" w:lineRule="atLeast"/>
        <w:jc w:val="both"/>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ind w:hanging="360"/>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Book Antiqua" w:eastAsia="Times New Roman" w:hAnsi="Book Antiqua" w:cs="Helvetica"/>
          <w:b/>
          <w:bCs/>
          <w:sz w:val="24"/>
          <w:szCs w:val="24"/>
          <w:bdr w:val="none" w:sz="0" w:space="0" w:color="auto" w:frame="1"/>
        </w:rPr>
        <w:t>21.05.2014 *- DELEGATION OF POWERS TO REGISTRAR OF COMPANIES</w:t>
      </w:r>
      <w:r w:rsidRPr="00F076C8">
        <w:rPr>
          <w:rFonts w:ascii="Book Antiqua" w:eastAsia="Times New Roman" w:hAnsi="Book Antiqua" w:cs="Helvetica"/>
          <w:b/>
          <w:bCs/>
          <w:sz w:val="24"/>
          <w:szCs w:val="24"/>
          <w:bdr w:val="none" w:sz="0" w:space="0" w:color="auto" w:frame="1"/>
        </w:rPr>
        <w:br/>
      </w:r>
      <w:r w:rsidRPr="00F076C8">
        <w:rPr>
          <w:rFonts w:ascii="Book Antiqua" w:eastAsia="Times New Roman" w:hAnsi="Book Antiqua" w:cs="Helvetica"/>
          <w:b/>
          <w:bCs/>
          <w:sz w:val="24"/>
          <w:szCs w:val="24"/>
          <w:bdr w:val="none" w:sz="0" w:space="0" w:color="auto" w:frame="1"/>
        </w:rPr>
        <w:br/>
      </w:r>
      <w:r w:rsidRPr="00F076C8">
        <w:rPr>
          <w:rFonts w:ascii="Book Antiqua" w:eastAsia="Times New Roman" w:hAnsi="Book Antiqua" w:cs="Helvetica"/>
          <w:sz w:val="24"/>
          <w:szCs w:val="24"/>
        </w:rPr>
        <w:t>a. Section 4(2) -           Name Undesirability</w:t>
      </w:r>
      <w:r w:rsidRPr="00F076C8">
        <w:rPr>
          <w:rFonts w:ascii="Book Antiqua" w:eastAsia="Times New Roman" w:hAnsi="Book Antiqua" w:cs="Helvetica"/>
          <w:sz w:val="24"/>
          <w:szCs w:val="24"/>
        </w:rPr>
        <w:br/>
        <w:t>b. Section 8(1) -           Issue of License for Charitable Companies</w:t>
      </w:r>
      <w:r w:rsidRPr="00F076C8">
        <w:rPr>
          <w:rFonts w:ascii="Book Antiqua" w:eastAsia="Times New Roman" w:hAnsi="Book Antiqua" w:cs="Helvetica"/>
          <w:sz w:val="24"/>
          <w:szCs w:val="24"/>
        </w:rPr>
        <w:br/>
        <w:t xml:space="preserve">c. Section 8(4)(i) -        Alteration of Provisions of Memorandum or Articles of Charitable </w:t>
      </w: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r w:rsidRPr="00F076C8">
        <w:rPr>
          <w:rFonts w:ascii="Book Antiqua" w:eastAsia="Times New Roman" w:hAnsi="Book Antiqua" w:cs="Helvetica"/>
          <w:b/>
          <w:bCs/>
          <w:sz w:val="24"/>
          <w:szCs w:val="24"/>
          <w:bdr w:val="none" w:sz="0" w:space="0" w:color="auto" w:frame="1"/>
        </w:rPr>
        <w:t>                                     </w:t>
      </w:r>
      <w:r w:rsidRPr="00F076C8">
        <w:rPr>
          <w:rFonts w:ascii="Book Antiqua" w:eastAsia="Times New Roman" w:hAnsi="Book Antiqua" w:cs="Helvetica"/>
          <w:b/>
          <w:bCs/>
          <w:sz w:val="24"/>
          <w:szCs w:val="24"/>
        </w:rPr>
        <w:t> </w:t>
      </w:r>
      <w:r w:rsidRPr="00F076C8">
        <w:rPr>
          <w:rFonts w:ascii="Book Antiqua" w:eastAsia="Times New Roman" w:hAnsi="Book Antiqua" w:cs="Helvetica"/>
          <w:sz w:val="24"/>
          <w:szCs w:val="24"/>
        </w:rPr>
        <w:t>companies, except </w:t>
      </w:r>
      <w:r w:rsidRPr="00F076C8">
        <w:rPr>
          <w:rFonts w:ascii="Book Antiqua" w:eastAsia="Times New Roman" w:hAnsi="Book Antiqua" w:cs="Helvetica"/>
          <w:b/>
          <w:bCs/>
          <w:sz w:val="24"/>
          <w:szCs w:val="24"/>
          <w:bdr w:val="none" w:sz="0" w:space="0" w:color="auto" w:frame="1"/>
        </w:rPr>
        <w:t> </w:t>
      </w:r>
      <w:r w:rsidRPr="00F076C8">
        <w:rPr>
          <w:rFonts w:ascii="Book Antiqua" w:eastAsia="Times New Roman" w:hAnsi="Book Antiqua" w:cs="Helvetica"/>
          <w:sz w:val="24"/>
          <w:szCs w:val="24"/>
        </w:rPr>
        <w:t>for conversion into another kind of company</w:t>
      </w:r>
      <w:r w:rsidRPr="00F076C8">
        <w:rPr>
          <w:rFonts w:ascii="Book Antiqua" w:eastAsia="Times New Roman" w:hAnsi="Book Antiqua" w:cs="Helvetica"/>
          <w:sz w:val="24"/>
          <w:szCs w:val="24"/>
        </w:rPr>
        <w:br/>
        <w:t>d. Section 8(5) -           Conversion of 'Limited' or 'Private Limited' Company into a</w:t>
      </w:r>
    </w:p>
    <w:p w:rsidR="00601C02" w:rsidRPr="00F076C8" w:rsidRDefault="00601C02" w:rsidP="00601C02">
      <w:pPr>
        <w:shd w:val="clear" w:color="auto" w:fill="FFFFFF"/>
        <w:spacing w:after="0" w:line="240" w:lineRule="atLeast"/>
        <w:ind w:firstLine="1440"/>
        <w:textAlignment w:val="baseline"/>
        <w:rPr>
          <w:rFonts w:ascii="Book Antiqua" w:eastAsia="Times New Roman" w:hAnsi="Book Antiqua" w:cs="Helvetica"/>
          <w:sz w:val="24"/>
          <w:szCs w:val="24"/>
        </w:rPr>
      </w:pPr>
      <w:r w:rsidRPr="00F076C8">
        <w:rPr>
          <w:rFonts w:ascii="Book Antiqua" w:eastAsia="Times New Roman" w:hAnsi="Book Antiqua" w:cs="Helvetica"/>
          <w:sz w:val="24"/>
          <w:szCs w:val="24"/>
        </w:rPr>
        <w:t xml:space="preserve">              </w:t>
      </w:r>
      <w:r w:rsidR="00212802" w:rsidRPr="00F076C8">
        <w:rPr>
          <w:rFonts w:ascii="Book Antiqua" w:eastAsia="Times New Roman" w:hAnsi="Book Antiqua" w:cs="Helvetica"/>
          <w:sz w:val="24"/>
          <w:szCs w:val="24"/>
        </w:rPr>
        <w:t>Charitable Company    </w:t>
      </w:r>
    </w:p>
    <w:p w:rsidR="00212802" w:rsidRPr="00F076C8" w:rsidRDefault="00212802" w:rsidP="00601C02">
      <w:pPr>
        <w:shd w:val="clear" w:color="auto" w:fill="FFFFFF"/>
        <w:spacing w:after="0" w:line="240" w:lineRule="atLeast"/>
        <w:textAlignment w:val="baseline"/>
        <w:rPr>
          <w:rFonts w:ascii="Book Antiqua" w:eastAsia="Times New Roman" w:hAnsi="Book Antiqua" w:cs="Helvetica"/>
          <w:sz w:val="24"/>
          <w:szCs w:val="24"/>
        </w:rPr>
      </w:pPr>
      <w:r w:rsidRPr="00F076C8">
        <w:rPr>
          <w:rFonts w:ascii="Book Antiqua" w:eastAsia="Times New Roman" w:hAnsi="Book Antiqua" w:cs="Helvetica"/>
          <w:sz w:val="24"/>
          <w:szCs w:val="24"/>
        </w:rPr>
        <w:lastRenderedPageBreak/>
        <w:t>e. Section 13(2) -         Change of name of Company</w:t>
      </w:r>
      <w:r w:rsidRPr="00F076C8">
        <w:rPr>
          <w:rFonts w:ascii="Book Antiqua" w:eastAsia="Times New Roman" w:hAnsi="Book Antiqua" w:cs="Helvetica"/>
          <w:sz w:val="24"/>
          <w:szCs w:val="24"/>
        </w:rPr>
        <w:br/>
      </w:r>
      <w:r w:rsidRPr="00F076C8">
        <w:rPr>
          <w:rFonts w:ascii="Book Antiqua" w:eastAsia="Times New Roman" w:hAnsi="Book Antiqua" w:cs="Helvetica"/>
          <w:sz w:val="24"/>
          <w:szCs w:val="24"/>
        </w:rPr>
        <w:br/>
      </w: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p>
    <w:p w:rsidR="00212802" w:rsidRPr="00F076C8" w:rsidRDefault="00212802" w:rsidP="00212802">
      <w:pPr>
        <w:shd w:val="clear" w:color="auto" w:fill="FFFFFF"/>
        <w:spacing w:after="0" w:line="240" w:lineRule="atLeast"/>
        <w:ind w:hanging="360"/>
        <w:textAlignment w:val="baseline"/>
        <w:rPr>
          <w:rFonts w:ascii="Helvetica" w:eastAsia="Times New Roman" w:hAnsi="Helvetica" w:cs="Helvetica"/>
          <w:sz w:val="24"/>
          <w:szCs w:val="24"/>
        </w:rPr>
      </w:pPr>
      <w:r w:rsidRPr="00F076C8">
        <w:rPr>
          <w:rFonts w:ascii="Symbol" w:eastAsia="Times New Roman" w:hAnsi="Symbol" w:cs="Helvetica"/>
          <w:sz w:val="24"/>
          <w:szCs w:val="24"/>
        </w:rPr>
        <w:t></w:t>
      </w:r>
      <w:r w:rsidRPr="00F076C8">
        <w:rPr>
          <w:rFonts w:ascii="Times New Roman" w:eastAsia="Times New Roman" w:hAnsi="Times New Roman" w:cs="Times New Roman"/>
          <w:sz w:val="14"/>
          <w:szCs w:val="14"/>
        </w:rPr>
        <w:t>        </w:t>
      </w:r>
      <w:r w:rsidRPr="00F076C8">
        <w:rPr>
          <w:rFonts w:ascii="Times New Roman" w:eastAsia="Times New Roman" w:hAnsi="Times New Roman" w:cs="Times New Roman"/>
          <w:sz w:val="14"/>
        </w:rPr>
        <w:t> </w:t>
      </w:r>
      <w:r w:rsidRPr="00F076C8">
        <w:rPr>
          <w:rFonts w:ascii="Book Antiqua" w:eastAsia="Times New Roman" w:hAnsi="Book Antiqua" w:cs="Helvetica"/>
          <w:b/>
          <w:bCs/>
          <w:sz w:val="24"/>
          <w:szCs w:val="24"/>
          <w:bdr w:val="none" w:sz="0" w:space="0" w:color="auto" w:frame="1"/>
        </w:rPr>
        <w:t xml:space="preserve">21.05.2014* - DELEGATION OF POWERS UNDER SECTION 458 OF CA 2013 </w:t>
      </w:r>
      <w:r w:rsidR="00D04F35" w:rsidRPr="00F076C8">
        <w:rPr>
          <w:rFonts w:ascii="Book Antiqua" w:eastAsia="Times New Roman" w:hAnsi="Book Antiqua" w:cs="Helvetica"/>
          <w:b/>
          <w:bCs/>
          <w:sz w:val="24"/>
          <w:szCs w:val="24"/>
          <w:bdr w:val="none" w:sz="0" w:space="0" w:color="auto" w:frame="1"/>
        </w:rPr>
        <w:t xml:space="preserve">TO RDS: </w:t>
      </w:r>
      <w:r w:rsidRPr="00F076C8">
        <w:rPr>
          <w:rFonts w:ascii="Book Antiqua" w:eastAsia="Times New Roman" w:hAnsi="Book Antiqua" w:cs="Helvetica"/>
          <w:b/>
          <w:bCs/>
          <w:sz w:val="24"/>
          <w:szCs w:val="24"/>
          <w:bdr w:val="none" w:sz="0" w:space="0" w:color="auto" w:frame="1"/>
        </w:rPr>
        <w:br/>
      </w:r>
      <w:r w:rsidRPr="00F076C8">
        <w:rPr>
          <w:rFonts w:ascii="Book Antiqua" w:eastAsia="Times New Roman" w:hAnsi="Book Antiqua" w:cs="Helvetica"/>
          <w:sz w:val="24"/>
          <w:szCs w:val="24"/>
        </w:rPr>
        <w:t>Delegation of powers to the Regional Directors at Mumbai, Kolkata, Chennai, Noida, Ahmedabad, Hyderabad and Shillong:</w:t>
      </w:r>
      <w:r w:rsidRPr="00F076C8">
        <w:rPr>
          <w:rFonts w:ascii="Book Antiqua" w:eastAsia="Times New Roman" w:hAnsi="Book Antiqua" w:cs="Helvetica"/>
          <w:sz w:val="24"/>
          <w:szCs w:val="24"/>
        </w:rPr>
        <w:br/>
        <w:t> </w:t>
      </w:r>
    </w:p>
    <w:p w:rsidR="00212802" w:rsidRPr="00F076C8" w:rsidRDefault="00212802" w:rsidP="00212802">
      <w:pPr>
        <w:shd w:val="clear" w:color="auto" w:fill="FFFFFF"/>
        <w:spacing w:after="0" w:line="360" w:lineRule="atLeast"/>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a. Section 8(4)(i) -  Alteration of Provisions of Memorandum or Articles of Charitable</w:t>
      </w:r>
    </w:p>
    <w:p w:rsidR="00212802" w:rsidRPr="00F076C8" w:rsidRDefault="00212802" w:rsidP="00212802">
      <w:pPr>
        <w:shd w:val="clear" w:color="auto" w:fill="FFFFFF"/>
        <w:spacing w:after="0" w:line="360" w:lineRule="atLeast"/>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       </w:t>
      </w:r>
      <w:r w:rsidR="00601C02" w:rsidRPr="00F076C8">
        <w:rPr>
          <w:rFonts w:ascii="Book Antiqua" w:eastAsia="Times New Roman" w:hAnsi="Book Antiqua" w:cs="Helvetica"/>
          <w:sz w:val="24"/>
          <w:szCs w:val="24"/>
        </w:rPr>
        <w:t>                         </w:t>
      </w:r>
      <w:r w:rsidRPr="00F076C8">
        <w:rPr>
          <w:rFonts w:ascii="Book Antiqua" w:eastAsia="Times New Roman" w:hAnsi="Book Antiqua" w:cs="Helvetica"/>
          <w:sz w:val="24"/>
          <w:szCs w:val="24"/>
        </w:rPr>
        <w:t>Companies in case of conversion into another kind of company.</w:t>
      </w:r>
      <w:r w:rsidRPr="00F076C8">
        <w:rPr>
          <w:rFonts w:ascii="Book Antiqua" w:eastAsia="Times New Roman" w:hAnsi="Book Antiqua" w:cs="Helvetica"/>
          <w:sz w:val="24"/>
          <w:szCs w:val="24"/>
        </w:rPr>
        <w:br/>
        <w:t>b. Section 8(6) -     </w:t>
      </w:r>
      <w:r w:rsidR="00D04F35" w:rsidRPr="00F076C8">
        <w:rPr>
          <w:rFonts w:ascii="Book Antiqua" w:eastAsia="Times New Roman" w:hAnsi="Book Antiqua" w:cs="Helvetica"/>
          <w:sz w:val="24"/>
          <w:szCs w:val="24"/>
        </w:rPr>
        <w:t>Revocation</w:t>
      </w:r>
      <w:r w:rsidRPr="00F076C8">
        <w:rPr>
          <w:rFonts w:ascii="Book Antiqua" w:eastAsia="Times New Roman" w:hAnsi="Book Antiqua" w:cs="Helvetica"/>
          <w:sz w:val="24"/>
          <w:szCs w:val="24"/>
        </w:rPr>
        <w:t xml:space="preserve"> of license of company registered under Section 8. </w:t>
      </w: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br/>
        <w:t>c. Section 13(4) &amp; 13(5) - Alteration of Registered Office</w:t>
      </w:r>
      <w:r w:rsidR="00601C02" w:rsidRPr="00F076C8">
        <w:rPr>
          <w:rFonts w:ascii="Book Antiqua" w:eastAsia="Times New Roman" w:hAnsi="Book Antiqua" w:cs="Helvetica"/>
          <w:sz w:val="24"/>
          <w:szCs w:val="24"/>
        </w:rPr>
        <w:t xml:space="preserve"> Clause - Change from one </w:t>
      </w:r>
      <w:r w:rsidR="00D04F35" w:rsidRPr="00F076C8">
        <w:rPr>
          <w:rFonts w:ascii="Book Antiqua" w:eastAsia="Times New Roman" w:hAnsi="Book Antiqua" w:cs="Helvetica"/>
          <w:sz w:val="24"/>
          <w:szCs w:val="24"/>
        </w:rPr>
        <w:t>state to</w:t>
      </w:r>
      <w:r w:rsidRPr="00F076C8">
        <w:rPr>
          <w:rFonts w:ascii="Book Antiqua" w:eastAsia="Times New Roman" w:hAnsi="Book Antiqua" w:cs="Helvetica"/>
          <w:sz w:val="24"/>
          <w:szCs w:val="24"/>
        </w:rPr>
        <w:t> another.</w:t>
      </w:r>
      <w:r w:rsidRPr="00F076C8">
        <w:rPr>
          <w:rFonts w:ascii="Book Antiqua" w:eastAsia="Times New Roman" w:hAnsi="Book Antiqua" w:cs="Helvetica"/>
          <w:sz w:val="24"/>
          <w:szCs w:val="24"/>
        </w:rPr>
        <w:br/>
        <w:t>d. Section 16 -                  Rectification of name of company.</w:t>
      </w:r>
      <w:r w:rsidRPr="00F076C8">
        <w:rPr>
          <w:rFonts w:ascii="Book Antiqua" w:eastAsia="Times New Roman" w:hAnsi="Book Antiqua" w:cs="Helvetica"/>
          <w:sz w:val="24"/>
          <w:szCs w:val="24"/>
        </w:rPr>
        <w:br/>
        <w:t>e. Section 87 -                  Rectification by Central Government in Register of  Charges.</w:t>
      </w:r>
      <w:r w:rsidRPr="00F076C8">
        <w:rPr>
          <w:rFonts w:ascii="Book Antiqua" w:eastAsia="Times New Roman" w:hAnsi="Book Antiqua" w:cs="Helvetica"/>
          <w:sz w:val="24"/>
          <w:szCs w:val="24"/>
        </w:rPr>
        <w:br/>
        <w:t>f. Section 111(3) -            To order non-circulation of any statement related to proposed</w:t>
      </w:r>
    </w:p>
    <w:p w:rsidR="00212802" w:rsidRPr="00F076C8" w:rsidRDefault="00212802" w:rsidP="00601C02">
      <w:pPr>
        <w:shd w:val="clear" w:color="auto" w:fill="FFFFFF"/>
        <w:spacing w:after="0" w:line="240" w:lineRule="atLeast"/>
        <w:ind w:left="2520"/>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resolution or business to be dealt with at members' meeting, which renders abuse of law and is for securing needless publicity for defamatory matter. </w:t>
      </w:r>
    </w:p>
    <w:p w:rsidR="00212802" w:rsidRPr="00F076C8" w:rsidRDefault="00212802" w:rsidP="00212802">
      <w:pPr>
        <w:shd w:val="clear" w:color="auto" w:fill="FFFFFF"/>
        <w:spacing w:after="0" w:line="240" w:lineRule="atLeast"/>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g. Section 140(1) -        Removal of auditor from his office, before expiry of his term.</w:t>
      </w:r>
      <w:r w:rsidRPr="00F076C8">
        <w:rPr>
          <w:rFonts w:ascii="Book Antiqua" w:eastAsia="Times New Roman" w:hAnsi="Book Antiqua" w:cs="Helvetica"/>
          <w:sz w:val="24"/>
          <w:szCs w:val="24"/>
        </w:rPr>
        <w:br/>
        <w:t>h. Proviso (i) to Section 399(1) - Powers of Central Government in relation to Inspection,</w:t>
      </w:r>
    </w:p>
    <w:p w:rsidR="00212802" w:rsidRPr="00F076C8" w:rsidRDefault="00212802" w:rsidP="00601C02">
      <w:pPr>
        <w:shd w:val="clear" w:color="auto" w:fill="FFFFFF"/>
        <w:spacing w:after="0" w:line="240" w:lineRule="atLeast"/>
        <w:ind w:left="2250" w:right="-540" w:firstLine="1170"/>
        <w:textAlignment w:val="baseline"/>
        <w:rPr>
          <w:rFonts w:ascii="Helvetica" w:eastAsia="Times New Roman" w:hAnsi="Helvetica" w:cs="Helvetica"/>
          <w:sz w:val="24"/>
          <w:szCs w:val="24"/>
        </w:rPr>
      </w:pPr>
      <w:r w:rsidRPr="00F076C8">
        <w:rPr>
          <w:rFonts w:ascii="Book Antiqua" w:eastAsia="Times New Roman" w:hAnsi="Book Antiqua" w:cs="Helvetica"/>
          <w:sz w:val="24"/>
          <w:szCs w:val="24"/>
        </w:rPr>
        <w:t>production and evidence of documents kept by Registrar</w:t>
      </w:r>
    </w:p>
    <w:sectPr w:rsidR="00212802" w:rsidRPr="00F076C8" w:rsidSect="00A574B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4111" w:rsidRDefault="00994111" w:rsidP="00601C02">
      <w:pPr>
        <w:spacing w:after="0" w:line="240" w:lineRule="auto"/>
      </w:pPr>
      <w:r>
        <w:separator/>
      </w:r>
    </w:p>
  </w:endnote>
  <w:endnote w:type="continuationSeparator" w:id="1">
    <w:p w:rsidR="00994111" w:rsidRDefault="00994111" w:rsidP="00601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nduitITC-Light">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4111" w:rsidRDefault="00994111" w:rsidP="00601C02">
      <w:pPr>
        <w:spacing w:after="0" w:line="240" w:lineRule="auto"/>
      </w:pPr>
      <w:r>
        <w:separator/>
      </w:r>
    </w:p>
  </w:footnote>
  <w:footnote w:type="continuationSeparator" w:id="1">
    <w:p w:rsidR="00994111" w:rsidRDefault="00994111" w:rsidP="00601C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D74D42"/>
    <w:multiLevelType w:val="hybridMultilevel"/>
    <w:tmpl w:val="E514BFDC"/>
    <w:lvl w:ilvl="0" w:tplc="9D3C9C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12802"/>
    <w:rsid w:val="000A02B9"/>
    <w:rsid w:val="00110E09"/>
    <w:rsid w:val="00197A01"/>
    <w:rsid w:val="00212802"/>
    <w:rsid w:val="00277DDF"/>
    <w:rsid w:val="004056CC"/>
    <w:rsid w:val="00467145"/>
    <w:rsid w:val="004B2360"/>
    <w:rsid w:val="0052624F"/>
    <w:rsid w:val="005D6D52"/>
    <w:rsid w:val="00601C02"/>
    <w:rsid w:val="00625E90"/>
    <w:rsid w:val="006E2A55"/>
    <w:rsid w:val="00725B22"/>
    <w:rsid w:val="007F14A2"/>
    <w:rsid w:val="0082415C"/>
    <w:rsid w:val="008A4C64"/>
    <w:rsid w:val="008F40B8"/>
    <w:rsid w:val="00935209"/>
    <w:rsid w:val="00946FD9"/>
    <w:rsid w:val="0098087B"/>
    <w:rsid w:val="00994111"/>
    <w:rsid w:val="009B27C8"/>
    <w:rsid w:val="00A01B92"/>
    <w:rsid w:val="00A519E6"/>
    <w:rsid w:val="00A574B5"/>
    <w:rsid w:val="00A748A1"/>
    <w:rsid w:val="00BA6CD3"/>
    <w:rsid w:val="00C16BB7"/>
    <w:rsid w:val="00C27F81"/>
    <w:rsid w:val="00D04F35"/>
    <w:rsid w:val="00D72732"/>
    <w:rsid w:val="00D74523"/>
    <w:rsid w:val="00EA1FD2"/>
    <w:rsid w:val="00F076C8"/>
    <w:rsid w:val="00F24033"/>
    <w:rsid w:val="00FF1D5B"/>
    <w:rsid w:val="00FF7C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4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12802"/>
  </w:style>
  <w:style w:type="character" w:customStyle="1" w:styleId="ilad">
    <w:name w:val="il_ad"/>
    <w:basedOn w:val="DefaultParagraphFont"/>
    <w:rsid w:val="00212802"/>
  </w:style>
  <w:style w:type="paragraph" w:styleId="BalloonText">
    <w:name w:val="Balloon Text"/>
    <w:basedOn w:val="Normal"/>
    <w:link w:val="BalloonTextChar"/>
    <w:uiPriority w:val="99"/>
    <w:semiHidden/>
    <w:unhideWhenUsed/>
    <w:rsid w:val="002128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802"/>
    <w:rPr>
      <w:rFonts w:ascii="Tahoma" w:hAnsi="Tahoma" w:cs="Tahoma"/>
      <w:sz w:val="16"/>
      <w:szCs w:val="16"/>
    </w:rPr>
  </w:style>
  <w:style w:type="paragraph" w:styleId="Header">
    <w:name w:val="header"/>
    <w:basedOn w:val="Normal"/>
    <w:link w:val="HeaderChar"/>
    <w:uiPriority w:val="99"/>
    <w:semiHidden/>
    <w:unhideWhenUsed/>
    <w:rsid w:val="00601C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1C02"/>
  </w:style>
  <w:style w:type="paragraph" w:styleId="Footer">
    <w:name w:val="footer"/>
    <w:basedOn w:val="Normal"/>
    <w:link w:val="FooterChar"/>
    <w:uiPriority w:val="99"/>
    <w:semiHidden/>
    <w:unhideWhenUsed/>
    <w:rsid w:val="00601C0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1C02"/>
  </w:style>
  <w:style w:type="paragraph" w:styleId="ListParagraph">
    <w:name w:val="List Paragraph"/>
    <w:basedOn w:val="Normal"/>
    <w:uiPriority w:val="34"/>
    <w:qFormat/>
    <w:rsid w:val="00277DDF"/>
    <w:pPr>
      <w:ind w:left="720"/>
      <w:contextualSpacing/>
    </w:pPr>
  </w:style>
</w:styles>
</file>

<file path=word/webSettings.xml><?xml version="1.0" encoding="utf-8"?>
<w:webSettings xmlns:r="http://schemas.openxmlformats.org/officeDocument/2006/relationships" xmlns:w="http://schemas.openxmlformats.org/wordprocessingml/2006/main">
  <w:divs>
    <w:div w:id="489443055">
      <w:bodyDiv w:val="1"/>
      <w:marLeft w:val="0"/>
      <w:marRight w:val="0"/>
      <w:marTop w:val="0"/>
      <w:marBottom w:val="0"/>
      <w:divBdr>
        <w:top w:val="none" w:sz="0" w:space="0" w:color="auto"/>
        <w:left w:val="none" w:sz="0" w:space="0" w:color="auto"/>
        <w:bottom w:val="none" w:sz="0" w:space="0" w:color="auto"/>
        <w:right w:val="none" w:sz="0" w:space="0" w:color="auto"/>
      </w:divBdr>
      <w:divsChild>
        <w:div w:id="1403329965">
          <w:marLeft w:val="40"/>
          <w:marRight w:val="0"/>
          <w:marTop w:val="0"/>
          <w:marBottom w:val="0"/>
          <w:divBdr>
            <w:top w:val="none" w:sz="0" w:space="0" w:color="auto"/>
            <w:left w:val="none" w:sz="0" w:space="0" w:color="auto"/>
            <w:bottom w:val="none" w:sz="0" w:space="0" w:color="auto"/>
            <w:right w:val="none" w:sz="0" w:space="0" w:color="auto"/>
          </w:divBdr>
        </w:div>
        <w:div w:id="222638240">
          <w:marLeft w:val="40"/>
          <w:marRight w:val="0"/>
          <w:marTop w:val="0"/>
          <w:marBottom w:val="0"/>
          <w:divBdr>
            <w:top w:val="none" w:sz="0" w:space="0" w:color="auto"/>
            <w:left w:val="none" w:sz="0" w:space="0" w:color="auto"/>
            <w:bottom w:val="none" w:sz="0" w:space="0" w:color="auto"/>
            <w:right w:val="none" w:sz="0" w:space="0" w:color="auto"/>
          </w:divBdr>
        </w:div>
        <w:div w:id="1954164997">
          <w:marLeft w:val="40"/>
          <w:marRight w:val="0"/>
          <w:marTop w:val="0"/>
          <w:marBottom w:val="0"/>
          <w:divBdr>
            <w:top w:val="none" w:sz="0" w:space="0" w:color="auto"/>
            <w:left w:val="none" w:sz="0" w:space="0" w:color="auto"/>
            <w:bottom w:val="none" w:sz="0" w:space="0" w:color="auto"/>
            <w:right w:val="none" w:sz="0" w:space="0" w:color="auto"/>
          </w:divBdr>
        </w:div>
        <w:div w:id="584606452">
          <w:marLeft w:val="40"/>
          <w:marRight w:val="0"/>
          <w:marTop w:val="0"/>
          <w:marBottom w:val="0"/>
          <w:divBdr>
            <w:top w:val="none" w:sz="0" w:space="0" w:color="auto"/>
            <w:left w:val="none" w:sz="0" w:space="0" w:color="auto"/>
            <w:bottom w:val="none" w:sz="0" w:space="0" w:color="auto"/>
            <w:right w:val="none" w:sz="0" w:space="0" w:color="auto"/>
          </w:divBdr>
        </w:div>
        <w:div w:id="1522159239">
          <w:marLeft w:val="40"/>
          <w:marRight w:val="0"/>
          <w:marTop w:val="0"/>
          <w:marBottom w:val="0"/>
          <w:divBdr>
            <w:top w:val="none" w:sz="0" w:space="0" w:color="auto"/>
            <w:left w:val="none" w:sz="0" w:space="0" w:color="auto"/>
            <w:bottom w:val="none" w:sz="0" w:space="0" w:color="auto"/>
            <w:right w:val="none" w:sz="0" w:space="0" w:color="auto"/>
          </w:divBdr>
        </w:div>
        <w:div w:id="966662615">
          <w:marLeft w:val="630"/>
          <w:marRight w:val="0"/>
          <w:marTop w:val="0"/>
          <w:marBottom w:val="0"/>
          <w:divBdr>
            <w:top w:val="none" w:sz="0" w:space="0" w:color="auto"/>
            <w:left w:val="none" w:sz="0" w:space="0" w:color="auto"/>
            <w:bottom w:val="none" w:sz="0" w:space="0" w:color="auto"/>
            <w:right w:val="none" w:sz="0" w:space="0" w:color="auto"/>
          </w:divBdr>
        </w:div>
        <w:div w:id="1386875833">
          <w:marLeft w:val="630"/>
          <w:marRight w:val="0"/>
          <w:marTop w:val="0"/>
          <w:marBottom w:val="0"/>
          <w:divBdr>
            <w:top w:val="none" w:sz="0" w:space="0" w:color="auto"/>
            <w:left w:val="none" w:sz="0" w:space="0" w:color="auto"/>
            <w:bottom w:val="none" w:sz="0" w:space="0" w:color="auto"/>
            <w:right w:val="none" w:sz="0" w:space="0" w:color="auto"/>
          </w:divBdr>
        </w:div>
        <w:div w:id="925965836">
          <w:marLeft w:val="40"/>
          <w:marRight w:val="0"/>
          <w:marTop w:val="0"/>
          <w:marBottom w:val="0"/>
          <w:divBdr>
            <w:top w:val="none" w:sz="0" w:space="0" w:color="auto"/>
            <w:left w:val="none" w:sz="0" w:space="0" w:color="auto"/>
            <w:bottom w:val="none" w:sz="0" w:space="0" w:color="auto"/>
            <w:right w:val="none" w:sz="0" w:space="0" w:color="auto"/>
          </w:divBdr>
        </w:div>
        <w:div w:id="1119034721">
          <w:marLeft w:val="40"/>
          <w:marRight w:val="0"/>
          <w:marTop w:val="0"/>
          <w:marBottom w:val="0"/>
          <w:divBdr>
            <w:top w:val="none" w:sz="0" w:space="0" w:color="auto"/>
            <w:left w:val="none" w:sz="0" w:space="0" w:color="auto"/>
            <w:bottom w:val="none" w:sz="0" w:space="0" w:color="auto"/>
            <w:right w:val="none" w:sz="0" w:space="0" w:color="auto"/>
          </w:divBdr>
        </w:div>
        <w:div w:id="530723866">
          <w:marLeft w:val="40"/>
          <w:marRight w:val="0"/>
          <w:marTop w:val="0"/>
          <w:marBottom w:val="0"/>
          <w:divBdr>
            <w:top w:val="none" w:sz="0" w:space="0" w:color="auto"/>
            <w:left w:val="none" w:sz="0" w:space="0" w:color="auto"/>
            <w:bottom w:val="none" w:sz="0" w:space="0" w:color="auto"/>
            <w:right w:val="none" w:sz="0" w:space="0" w:color="auto"/>
          </w:divBdr>
        </w:div>
        <w:div w:id="1369834667">
          <w:marLeft w:val="40"/>
          <w:marRight w:val="0"/>
          <w:marTop w:val="0"/>
          <w:marBottom w:val="0"/>
          <w:divBdr>
            <w:top w:val="none" w:sz="0" w:space="0" w:color="auto"/>
            <w:left w:val="none" w:sz="0" w:space="0" w:color="auto"/>
            <w:bottom w:val="none" w:sz="0" w:space="0" w:color="auto"/>
            <w:right w:val="none" w:sz="0" w:space="0" w:color="auto"/>
          </w:divBdr>
        </w:div>
        <w:div w:id="480267520">
          <w:marLeft w:val="40"/>
          <w:marRight w:val="0"/>
          <w:marTop w:val="0"/>
          <w:marBottom w:val="0"/>
          <w:divBdr>
            <w:top w:val="none" w:sz="0" w:space="0" w:color="auto"/>
            <w:left w:val="none" w:sz="0" w:space="0" w:color="auto"/>
            <w:bottom w:val="none" w:sz="0" w:space="0" w:color="auto"/>
            <w:right w:val="none" w:sz="0" w:space="0" w:color="auto"/>
          </w:divBdr>
        </w:div>
        <w:div w:id="405031425">
          <w:marLeft w:val="40"/>
          <w:marRight w:val="0"/>
          <w:marTop w:val="0"/>
          <w:marBottom w:val="0"/>
          <w:divBdr>
            <w:top w:val="none" w:sz="0" w:space="0" w:color="auto"/>
            <w:left w:val="none" w:sz="0" w:space="0" w:color="auto"/>
            <w:bottom w:val="none" w:sz="0" w:space="0" w:color="auto"/>
            <w:right w:val="none" w:sz="0" w:space="0" w:color="auto"/>
          </w:divBdr>
        </w:div>
        <w:div w:id="878280315">
          <w:marLeft w:val="40"/>
          <w:marRight w:val="0"/>
          <w:marTop w:val="0"/>
          <w:marBottom w:val="0"/>
          <w:divBdr>
            <w:top w:val="none" w:sz="0" w:space="0" w:color="auto"/>
            <w:left w:val="none" w:sz="0" w:space="0" w:color="auto"/>
            <w:bottom w:val="none" w:sz="0" w:space="0" w:color="auto"/>
            <w:right w:val="none" w:sz="0" w:space="0" w:color="auto"/>
          </w:divBdr>
        </w:div>
        <w:div w:id="1385374379">
          <w:marLeft w:val="0"/>
          <w:marRight w:val="0"/>
          <w:marTop w:val="0"/>
          <w:marBottom w:val="0"/>
          <w:divBdr>
            <w:top w:val="none" w:sz="0" w:space="0" w:color="auto"/>
            <w:left w:val="none" w:sz="0" w:space="0" w:color="auto"/>
            <w:bottom w:val="none" w:sz="0" w:space="0" w:color="auto"/>
            <w:right w:val="none" w:sz="0" w:space="0" w:color="auto"/>
          </w:divBdr>
        </w:div>
        <w:div w:id="114107605">
          <w:marLeft w:val="0"/>
          <w:marRight w:val="0"/>
          <w:marTop w:val="0"/>
          <w:marBottom w:val="0"/>
          <w:divBdr>
            <w:top w:val="none" w:sz="0" w:space="0" w:color="auto"/>
            <w:left w:val="none" w:sz="0" w:space="0" w:color="auto"/>
            <w:bottom w:val="none" w:sz="0" w:space="0" w:color="auto"/>
            <w:right w:val="none" w:sz="0" w:space="0" w:color="auto"/>
          </w:divBdr>
        </w:div>
        <w:div w:id="16129608">
          <w:marLeft w:val="40"/>
          <w:marRight w:val="0"/>
          <w:marTop w:val="0"/>
          <w:marBottom w:val="0"/>
          <w:divBdr>
            <w:top w:val="none" w:sz="0" w:space="0" w:color="auto"/>
            <w:left w:val="none" w:sz="0" w:space="0" w:color="auto"/>
            <w:bottom w:val="none" w:sz="0" w:space="0" w:color="auto"/>
            <w:right w:val="none" w:sz="0" w:space="0" w:color="auto"/>
          </w:divBdr>
        </w:div>
        <w:div w:id="955328532">
          <w:marLeft w:val="40"/>
          <w:marRight w:val="0"/>
          <w:marTop w:val="0"/>
          <w:marBottom w:val="0"/>
          <w:divBdr>
            <w:top w:val="none" w:sz="0" w:space="0" w:color="auto"/>
            <w:left w:val="none" w:sz="0" w:space="0" w:color="auto"/>
            <w:bottom w:val="none" w:sz="0" w:space="0" w:color="auto"/>
            <w:right w:val="none" w:sz="0" w:space="0" w:color="auto"/>
          </w:divBdr>
        </w:div>
        <w:div w:id="724111526">
          <w:marLeft w:val="630"/>
          <w:marRight w:val="0"/>
          <w:marTop w:val="0"/>
          <w:marBottom w:val="0"/>
          <w:divBdr>
            <w:top w:val="none" w:sz="0" w:space="0" w:color="auto"/>
            <w:left w:val="none" w:sz="0" w:space="0" w:color="auto"/>
            <w:bottom w:val="none" w:sz="0" w:space="0" w:color="auto"/>
            <w:right w:val="none" w:sz="0" w:space="0" w:color="auto"/>
          </w:divBdr>
        </w:div>
        <w:div w:id="1166625104">
          <w:marLeft w:val="630"/>
          <w:marRight w:val="0"/>
          <w:marTop w:val="0"/>
          <w:marBottom w:val="0"/>
          <w:divBdr>
            <w:top w:val="none" w:sz="0" w:space="0" w:color="auto"/>
            <w:left w:val="none" w:sz="0" w:space="0" w:color="auto"/>
            <w:bottom w:val="none" w:sz="0" w:space="0" w:color="auto"/>
            <w:right w:val="none" w:sz="0" w:space="0" w:color="auto"/>
          </w:divBdr>
        </w:div>
        <w:div w:id="651833589">
          <w:marLeft w:val="40"/>
          <w:marRight w:val="0"/>
          <w:marTop w:val="0"/>
          <w:marBottom w:val="0"/>
          <w:divBdr>
            <w:top w:val="none" w:sz="0" w:space="0" w:color="auto"/>
            <w:left w:val="none" w:sz="0" w:space="0" w:color="auto"/>
            <w:bottom w:val="none" w:sz="0" w:space="0" w:color="auto"/>
            <w:right w:val="none" w:sz="0" w:space="0" w:color="auto"/>
          </w:divBdr>
        </w:div>
        <w:div w:id="1133793011">
          <w:marLeft w:val="40"/>
          <w:marRight w:val="0"/>
          <w:marTop w:val="0"/>
          <w:marBottom w:val="0"/>
          <w:divBdr>
            <w:top w:val="none" w:sz="0" w:space="0" w:color="auto"/>
            <w:left w:val="none" w:sz="0" w:space="0" w:color="auto"/>
            <w:bottom w:val="none" w:sz="0" w:space="0" w:color="auto"/>
            <w:right w:val="none" w:sz="0" w:space="0" w:color="auto"/>
          </w:divBdr>
        </w:div>
        <w:div w:id="1357921764">
          <w:marLeft w:val="40"/>
          <w:marRight w:val="0"/>
          <w:marTop w:val="0"/>
          <w:marBottom w:val="0"/>
          <w:divBdr>
            <w:top w:val="none" w:sz="0" w:space="0" w:color="auto"/>
            <w:left w:val="none" w:sz="0" w:space="0" w:color="auto"/>
            <w:bottom w:val="none" w:sz="0" w:space="0" w:color="auto"/>
            <w:right w:val="none" w:sz="0" w:space="0" w:color="auto"/>
          </w:divBdr>
        </w:div>
        <w:div w:id="1629356926">
          <w:marLeft w:val="40"/>
          <w:marRight w:val="0"/>
          <w:marTop w:val="0"/>
          <w:marBottom w:val="0"/>
          <w:divBdr>
            <w:top w:val="none" w:sz="0" w:space="0" w:color="auto"/>
            <w:left w:val="none" w:sz="0" w:space="0" w:color="auto"/>
            <w:bottom w:val="none" w:sz="0" w:space="0" w:color="auto"/>
            <w:right w:val="none" w:sz="0" w:space="0" w:color="auto"/>
          </w:divBdr>
        </w:div>
        <w:div w:id="1942911879">
          <w:marLeft w:val="40"/>
          <w:marRight w:val="0"/>
          <w:marTop w:val="0"/>
          <w:marBottom w:val="0"/>
          <w:divBdr>
            <w:top w:val="none" w:sz="0" w:space="0" w:color="auto"/>
            <w:left w:val="none" w:sz="0" w:space="0" w:color="auto"/>
            <w:bottom w:val="none" w:sz="0" w:space="0" w:color="auto"/>
            <w:right w:val="none" w:sz="0" w:space="0" w:color="auto"/>
          </w:divBdr>
        </w:div>
        <w:div w:id="460731482">
          <w:marLeft w:val="40"/>
          <w:marRight w:val="0"/>
          <w:marTop w:val="0"/>
          <w:marBottom w:val="0"/>
          <w:divBdr>
            <w:top w:val="none" w:sz="0" w:space="0" w:color="auto"/>
            <w:left w:val="none" w:sz="0" w:space="0" w:color="auto"/>
            <w:bottom w:val="none" w:sz="0" w:space="0" w:color="auto"/>
            <w:right w:val="none" w:sz="0" w:space="0" w:color="auto"/>
          </w:divBdr>
        </w:div>
        <w:div w:id="1805583464">
          <w:marLeft w:val="630"/>
          <w:marRight w:val="0"/>
          <w:marTop w:val="0"/>
          <w:marBottom w:val="0"/>
          <w:divBdr>
            <w:top w:val="none" w:sz="0" w:space="0" w:color="auto"/>
            <w:left w:val="none" w:sz="0" w:space="0" w:color="auto"/>
            <w:bottom w:val="none" w:sz="0" w:space="0" w:color="auto"/>
            <w:right w:val="none" w:sz="0" w:space="0" w:color="auto"/>
          </w:divBdr>
        </w:div>
        <w:div w:id="257758117">
          <w:marLeft w:val="630"/>
          <w:marRight w:val="0"/>
          <w:marTop w:val="0"/>
          <w:marBottom w:val="0"/>
          <w:divBdr>
            <w:top w:val="none" w:sz="0" w:space="0" w:color="auto"/>
            <w:left w:val="none" w:sz="0" w:space="0" w:color="auto"/>
            <w:bottom w:val="none" w:sz="0" w:space="0" w:color="auto"/>
            <w:right w:val="none" w:sz="0" w:space="0" w:color="auto"/>
          </w:divBdr>
        </w:div>
        <w:div w:id="814681335">
          <w:marLeft w:val="630"/>
          <w:marRight w:val="0"/>
          <w:marTop w:val="0"/>
          <w:marBottom w:val="0"/>
          <w:divBdr>
            <w:top w:val="none" w:sz="0" w:space="0" w:color="auto"/>
            <w:left w:val="none" w:sz="0" w:space="0" w:color="auto"/>
            <w:bottom w:val="none" w:sz="0" w:space="0" w:color="auto"/>
            <w:right w:val="none" w:sz="0" w:space="0" w:color="auto"/>
          </w:divBdr>
        </w:div>
        <w:div w:id="1707830361">
          <w:marLeft w:val="630"/>
          <w:marRight w:val="0"/>
          <w:marTop w:val="0"/>
          <w:marBottom w:val="0"/>
          <w:divBdr>
            <w:top w:val="none" w:sz="0" w:space="0" w:color="auto"/>
            <w:left w:val="none" w:sz="0" w:space="0" w:color="auto"/>
            <w:bottom w:val="none" w:sz="0" w:space="0" w:color="auto"/>
            <w:right w:val="none" w:sz="0" w:space="0" w:color="auto"/>
          </w:divBdr>
        </w:div>
        <w:div w:id="1096902793">
          <w:marLeft w:val="630"/>
          <w:marRight w:val="0"/>
          <w:marTop w:val="0"/>
          <w:marBottom w:val="0"/>
          <w:divBdr>
            <w:top w:val="none" w:sz="0" w:space="0" w:color="auto"/>
            <w:left w:val="none" w:sz="0" w:space="0" w:color="auto"/>
            <w:bottom w:val="none" w:sz="0" w:space="0" w:color="auto"/>
            <w:right w:val="none" w:sz="0" w:space="0" w:color="auto"/>
          </w:divBdr>
        </w:div>
        <w:div w:id="112722819">
          <w:marLeft w:val="630"/>
          <w:marRight w:val="0"/>
          <w:marTop w:val="0"/>
          <w:marBottom w:val="0"/>
          <w:divBdr>
            <w:top w:val="none" w:sz="0" w:space="0" w:color="auto"/>
            <w:left w:val="none" w:sz="0" w:space="0" w:color="auto"/>
            <w:bottom w:val="none" w:sz="0" w:space="0" w:color="auto"/>
            <w:right w:val="none" w:sz="0" w:space="0" w:color="auto"/>
          </w:divBdr>
        </w:div>
        <w:div w:id="854266153">
          <w:marLeft w:val="630"/>
          <w:marRight w:val="0"/>
          <w:marTop w:val="0"/>
          <w:marBottom w:val="0"/>
          <w:divBdr>
            <w:top w:val="none" w:sz="0" w:space="0" w:color="auto"/>
            <w:left w:val="none" w:sz="0" w:space="0" w:color="auto"/>
            <w:bottom w:val="none" w:sz="0" w:space="0" w:color="auto"/>
            <w:right w:val="none" w:sz="0" w:space="0" w:color="auto"/>
          </w:divBdr>
        </w:div>
        <w:div w:id="1485126107">
          <w:marLeft w:val="40"/>
          <w:marRight w:val="0"/>
          <w:marTop w:val="0"/>
          <w:marBottom w:val="0"/>
          <w:divBdr>
            <w:top w:val="none" w:sz="0" w:space="0" w:color="auto"/>
            <w:left w:val="none" w:sz="0" w:space="0" w:color="auto"/>
            <w:bottom w:val="none" w:sz="0" w:space="0" w:color="auto"/>
            <w:right w:val="none" w:sz="0" w:space="0" w:color="auto"/>
          </w:divBdr>
        </w:div>
        <w:div w:id="677077150">
          <w:marLeft w:val="40"/>
          <w:marRight w:val="0"/>
          <w:marTop w:val="0"/>
          <w:marBottom w:val="0"/>
          <w:divBdr>
            <w:top w:val="none" w:sz="0" w:space="0" w:color="auto"/>
            <w:left w:val="none" w:sz="0" w:space="0" w:color="auto"/>
            <w:bottom w:val="none" w:sz="0" w:space="0" w:color="auto"/>
            <w:right w:val="none" w:sz="0" w:space="0" w:color="auto"/>
          </w:divBdr>
        </w:div>
        <w:div w:id="840319967">
          <w:marLeft w:val="40"/>
          <w:marRight w:val="0"/>
          <w:marTop w:val="0"/>
          <w:marBottom w:val="0"/>
          <w:divBdr>
            <w:top w:val="none" w:sz="0" w:space="0" w:color="auto"/>
            <w:left w:val="none" w:sz="0" w:space="0" w:color="auto"/>
            <w:bottom w:val="none" w:sz="0" w:space="0" w:color="auto"/>
            <w:right w:val="none" w:sz="0" w:space="0" w:color="auto"/>
          </w:divBdr>
        </w:div>
        <w:div w:id="1349330988">
          <w:marLeft w:val="40"/>
          <w:marRight w:val="0"/>
          <w:marTop w:val="0"/>
          <w:marBottom w:val="0"/>
          <w:divBdr>
            <w:top w:val="none" w:sz="0" w:space="0" w:color="auto"/>
            <w:left w:val="none" w:sz="0" w:space="0" w:color="auto"/>
            <w:bottom w:val="none" w:sz="0" w:space="0" w:color="auto"/>
            <w:right w:val="none" w:sz="0" w:space="0" w:color="auto"/>
          </w:divBdr>
        </w:div>
        <w:div w:id="703752896">
          <w:marLeft w:val="40"/>
          <w:marRight w:val="0"/>
          <w:marTop w:val="0"/>
          <w:marBottom w:val="0"/>
          <w:divBdr>
            <w:top w:val="none" w:sz="0" w:space="0" w:color="auto"/>
            <w:left w:val="none" w:sz="0" w:space="0" w:color="auto"/>
            <w:bottom w:val="none" w:sz="0" w:space="0" w:color="auto"/>
            <w:right w:val="none" w:sz="0" w:space="0" w:color="auto"/>
          </w:divBdr>
        </w:div>
        <w:div w:id="1639799495">
          <w:marLeft w:val="40"/>
          <w:marRight w:val="0"/>
          <w:marTop w:val="0"/>
          <w:marBottom w:val="0"/>
          <w:divBdr>
            <w:top w:val="none" w:sz="0" w:space="0" w:color="auto"/>
            <w:left w:val="none" w:sz="0" w:space="0" w:color="auto"/>
            <w:bottom w:val="none" w:sz="0" w:space="0" w:color="auto"/>
            <w:right w:val="none" w:sz="0" w:space="0" w:color="auto"/>
          </w:divBdr>
        </w:div>
        <w:div w:id="877205448">
          <w:marLeft w:val="40"/>
          <w:marRight w:val="0"/>
          <w:marTop w:val="0"/>
          <w:marBottom w:val="0"/>
          <w:divBdr>
            <w:top w:val="none" w:sz="0" w:space="0" w:color="auto"/>
            <w:left w:val="none" w:sz="0" w:space="0" w:color="auto"/>
            <w:bottom w:val="none" w:sz="0" w:space="0" w:color="auto"/>
            <w:right w:val="none" w:sz="0" w:space="0" w:color="auto"/>
          </w:divBdr>
        </w:div>
        <w:div w:id="1933125332">
          <w:marLeft w:val="630"/>
          <w:marRight w:val="0"/>
          <w:marTop w:val="0"/>
          <w:marBottom w:val="0"/>
          <w:divBdr>
            <w:top w:val="none" w:sz="0" w:space="0" w:color="auto"/>
            <w:left w:val="none" w:sz="0" w:space="0" w:color="auto"/>
            <w:bottom w:val="none" w:sz="0" w:space="0" w:color="auto"/>
            <w:right w:val="none" w:sz="0" w:space="0" w:color="auto"/>
          </w:divBdr>
        </w:div>
        <w:div w:id="692221092">
          <w:marLeft w:val="630"/>
          <w:marRight w:val="0"/>
          <w:marTop w:val="0"/>
          <w:marBottom w:val="0"/>
          <w:divBdr>
            <w:top w:val="none" w:sz="0" w:space="0" w:color="auto"/>
            <w:left w:val="none" w:sz="0" w:space="0" w:color="auto"/>
            <w:bottom w:val="none" w:sz="0" w:space="0" w:color="auto"/>
            <w:right w:val="none" w:sz="0" w:space="0" w:color="auto"/>
          </w:divBdr>
        </w:div>
        <w:div w:id="1589382007">
          <w:marLeft w:val="630"/>
          <w:marRight w:val="0"/>
          <w:marTop w:val="0"/>
          <w:marBottom w:val="0"/>
          <w:divBdr>
            <w:top w:val="none" w:sz="0" w:space="0" w:color="auto"/>
            <w:left w:val="none" w:sz="0" w:space="0" w:color="auto"/>
            <w:bottom w:val="none" w:sz="0" w:space="0" w:color="auto"/>
            <w:right w:val="none" w:sz="0" w:space="0" w:color="auto"/>
          </w:divBdr>
        </w:div>
        <w:div w:id="1801726643">
          <w:marLeft w:val="630"/>
          <w:marRight w:val="0"/>
          <w:marTop w:val="0"/>
          <w:marBottom w:val="0"/>
          <w:divBdr>
            <w:top w:val="none" w:sz="0" w:space="0" w:color="auto"/>
            <w:left w:val="none" w:sz="0" w:space="0" w:color="auto"/>
            <w:bottom w:val="none" w:sz="0" w:space="0" w:color="auto"/>
            <w:right w:val="none" w:sz="0" w:space="0" w:color="auto"/>
          </w:divBdr>
        </w:div>
        <w:div w:id="790704212">
          <w:marLeft w:val="40"/>
          <w:marRight w:val="0"/>
          <w:marTop w:val="0"/>
          <w:marBottom w:val="0"/>
          <w:divBdr>
            <w:top w:val="none" w:sz="0" w:space="0" w:color="auto"/>
            <w:left w:val="none" w:sz="0" w:space="0" w:color="auto"/>
            <w:bottom w:val="none" w:sz="0" w:space="0" w:color="auto"/>
            <w:right w:val="none" w:sz="0" w:space="0" w:color="auto"/>
          </w:divBdr>
        </w:div>
        <w:div w:id="271521658">
          <w:marLeft w:val="40"/>
          <w:marRight w:val="0"/>
          <w:marTop w:val="0"/>
          <w:marBottom w:val="0"/>
          <w:divBdr>
            <w:top w:val="none" w:sz="0" w:space="0" w:color="auto"/>
            <w:left w:val="none" w:sz="0" w:space="0" w:color="auto"/>
            <w:bottom w:val="none" w:sz="0" w:space="0" w:color="auto"/>
            <w:right w:val="none" w:sz="0" w:space="0" w:color="auto"/>
          </w:divBdr>
        </w:div>
        <w:div w:id="912203221">
          <w:marLeft w:val="40"/>
          <w:marRight w:val="0"/>
          <w:marTop w:val="0"/>
          <w:marBottom w:val="0"/>
          <w:divBdr>
            <w:top w:val="none" w:sz="0" w:space="0" w:color="auto"/>
            <w:left w:val="none" w:sz="0" w:space="0" w:color="auto"/>
            <w:bottom w:val="none" w:sz="0" w:space="0" w:color="auto"/>
            <w:right w:val="none" w:sz="0" w:space="0" w:color="auto"/>
          </w:divBdr>
        </w:div>
        <w:div w:id="2013414177">
          <w:marLeft w:val="40"/>
          <w:marRight w:val="0"/>
          <w:marTop w:val="0"/>
          <w:marBottom w:val="0"/>
          <w:divBdr>
            <w:top w:val="none" w:sz="0" w:space="0" w:color="auto"/>
            <w:left w:val="none" w:sz="0" w:space="0" w:color="auto"/>
            <w:bottom w:val="none" w:sz="0" w:space="0" w:color="auto"/>
            <w:right w:val="none" w:sz="0" w:space="0" w:color="auto"/>
          </w:divBdr>
        </w:div>
        <w:div w:id="1775242467">
          <w:marLeft w:val="40"/>
          <w:marRight w:val="0"/>
          <w:marTop w:val="0"/>
          <w:marBottom w:val="0"/>
          <w:divBdr>
            <w:top w:val="none" w:sz="0" w:space="0" w:color="auto"/>
            <w:left w:val="none" w:sz="0" w:space="0" w:color="auto"/>
            <w:bottom w:val="none" w:sz="0" w:space="0" w:color="auto"/>
            <w:right w:val="none" w:sz="0" w:space="0" w:color="auto"/>
          </w:divBdr>
        </w:div>
        <w:div w:id="2133202942">
          <w:marLeft w:val="40"/>
          <w:marRight w:val="0"/>
          <w:marTop w:val="0"/>
          <w:marBottom w:val="0"/>
          <w:divBdr>
            <w:top w:val="none" w:sz="0" w:space="0" w:color="auto"/>
            <w:left w:val="none" w:sz="0" w:space="0" w:color="auto"/>
            <w:bottom w:val="none" w:sz="0" w:space="0" w:color="auto"/>
            <w:right w:val="none" w:sz="0" w:space="0" w:color="auto"/>
          </w:divBdr>
        </w:div>
        <w:div w:id="1855459335">
          <w:marLeft w:val="40"/>
          <w:marRight w:val="0"/>
          <w:marTop w:val="0"/>
          <w:marBottom w:val="0"/>
          <w:divBdr>
            <w:top w:val="none" w:sz="0" w:space="0" w:color="auto"/>
            <w:left w:val="none" w:sz="0" w:space="0" w:color="auto"/>
            <w:bottom w:val="none" w:sz="0" w:space="0" w:color="auto"/>
            <w:right w:val="none" w:sz="0" w:space="0" w:color="auto"/>
          </w:divBdr>
        </w:div>
        <w:div w:id="2022975304">
          <w:marLeft w:val="630"/>
          <w:marRight w:val="0"/>
          <w:marTop w:val="0"/>
          <w:marBottom w:val="0"/>
          <w:divBdr>
            <w:top w:val="none" w:sz="0" w:space="0" w:color="auto"/>
            <w:left w:val="none" w:sz="0" w:space="0" w:color="auto"/>
            <w:bottom w:val="none" w:sz="0" w:space="0" w:color="auto"/>
            <w:right w:val="none" w:sz="0" w:space="0" w:color="auto"/>
          </w:divBdr>
        </w:div>
        <w:div w:id="2092240680">
          <w:marLeft w:val="630"/>
          <w:marRight w:val="0"/>
          <w:marTop w:val="0"/>
          <w:marBottom w:val="0"/>
          <w:divBdr>
            <w:top w:val="none" w:sz="0" w:space="0" w:color="auto"/>
            <w:left w:val="none" w:sz="0" w:space="0" w:color="auto"/>
            <w:bottom w:val="none" w:sz="0" w:space="0" w:color="auto"/>
            <w:right w:val="none" w:sz="0" w:space="0" w:color="auto"/>
          </w:divBdr>
        </w:div>
        <w:div w:id="228004837">
          <w:marLeft w:val="40"/>
          <w:marRight w:val="0"/>
          <w:marTop w:val="0"/>
          <w:marBottom w:val="0"/>
          <w:divBdr>
            <w:top w:val="none" w:sz="0" w:space="0" w:color="auto"/>
            <w:left w:val="none" w:sz="0" w:space="0" w:color="auto"/>
            <w:bottom w:val="none" w:sz="0" w:space="0" w:color="auto"/>
            <w:right w:val="none" w:sz="0" w:space="0" w:color="auto"/>
          </w:divBdr>
        </w:div>
        <w:div w:id="1339846396">
          <w:marLeft w:val="630"/>
          <w:marRight w:val="0"/>
          <w:marTop w:val="0"/>
          <w:marBottom w:val="0"/>
          <w:divBdr>
            <w:top w:val="none" w:sz="0" w:space="0" w:color="auto"/>
            <w:left w:val="none" w:sz="0" w:space="0" w:color="auto"/>
            <w:bottom w:val="none" w:sz="0" w:space="0" w:color="auto"/>
            <w:right w:val="none" w:sz="0" w:space="0" w:color="auto"/>
          </w:divBdr>
        </w:div>
        <w:div w:id="1567033319">
          <w:marLeft w:val="40"/>
          <w:marRight w:val="0"/>
          <w:marTop w:val="0"/>
          <w:marBottom w:val="0"/>
          <w:divBdr>
            <w:top w:val="none" w:sz="0" w:space="0" w:color="auto"/>
            <w:left w:val="none" w:sz="0" w:space="0" w:color="auto"/>
            <w:bottom w:val="none" w:sz="0" w:space="0" w:color="auto"/>
            <w:right w:val="none" w:sz="0" w:space="0" w:color="auto"/>
          </w:divBdr>
        </w:div>
        <w:div w:id="728918423">
          <w:marLeft w:val="630"/>
          <w:marRight w:val="0"/>
          <w:marTop w:val="0"/>
          <w:marBottom w:val="0"/>
          <w:divBdr>
            <w:top w:val="none" w:sz="0" w:space="0" w:color="auto"/>
            <w:left w:val="none" w:sz="0" w:space="0" w:color="auto"/>
            <w:bottom w:val="none" w:sz="0" w:space="0" w:color="auto"/>
            <w:right w:val="none" w:sz="0" w:space="0" w:color="auto"/>
          </w:divBdr>
        </w:div>
        <w:div w:id="1536384362">
          <w:marLeft w:val="40"/>
          <w:marRight w:val="0"/>
          <w:marTop w:val="0"/>
          <w:marBottom w:val="0"/>
          <w:divBdr>
            <w:top w:val="none" w:sz="0" w:space="0" w:color="auto"/>
            <w:left w:val="none" w:sz="0" w:space="0" w:color="auto"/>
            <w:bottom w:val="none" w:sz="0" w:space="0" w:color="auto"/>
            <w:right w:val="none" w:sz="0" w:space="0" w:color="auto"/>
          </w:divBdr>
        </w:div>
        <w:div w:id="1179657152">
          <w:marLeft w:val="630"/>
          <w:marRight w:val="0"/>
          <w:marTop w:val="0"/>
          <w:marBottom w:val="0"/>
          <w:divBdr>
            <w:top w:val="none" w:sz="0" w:space="0" w:color="auto"/>
            <w:left w:val="none" w:sz="0" w:space="0" w:color="auto"/>
            <w:bottom w:val="none" w:sz="0" w:space="0" w:color="auto"/>
            <w:right w:val="none" w:sz="0" w:space="0" w:color="auto"/>
          </w:divBdr>
        </w:div>
        <w:div w:id="490828928">
          <w:marLeft w:val="40"/>
          <w:marRight w:val="0"/>
          <w:marTop w:val="0"/>
          <w:marBottom w:val="0"/>
          <w:divBdr>
            <w:top w:val="none" w:sz="0" w:space="0" w:color="auto"/>
            <w:left w:val="none" w:sz="0" w:space="0" w:color="auto"/>
            <w:bottom w:val="none" w:sz="0" w:space="0" w:color="auto"/>
            <w:right w:val="none" w:sz="0" w:space="0" w:color="auto"/>
          </w:divBdr>
        </w:div>
        <w:div w:id="1935016650">
          <w:marLeft w:val="630"/>
          <w:marRight w:val="0"/>
          <w:marTop w:val="0"/>
          <w:marBottom w:val="0"/>
          <w:divBdr>
            <w:top w:val="none" w:sz="0" w:space="0" w:color="auto"/>
            <w:left w:val="none" w:sz="0" w:space="0" w:color="auto"/>
            <w:bottom w:val="none" w:sz="0" w:space="0" w:color="auto"/>
            <w:right w:val="none" w:sz="0" w:space="0" w:color="auto"/>
          </w:divBdr>
        </w:div>
        <w:div w:id="2122869182">
          <w:marLeft w:val="40"/>
          <w:marRight w:val="0"/>
          <w:marTop w:val="0"/>
          <w:marBottom w:val="0"/>
          <w:divBdr>
            <w:top w:val="none" w:sz="0" w:space="0" w:color="auto"/>
            <w:left w:val="none" w:sz="0" w:space="0" w:color="auto"/>
            <w:bottom w:val="none" w:sz="0" w:space="0" w:color="auto"/>
            <w:right w:val="none" w:sz="0" w:space="0" w:color="auto"/>
          </w:divBdr>
        </w:div>
        <w:div w:id="1362897051">
          <w:marLeft w:val="40"/>
          <w:marRight w:val="0"/>
          <w:marTop w:val="0"/>
          <w:marBottom w:val="0"/>
          <w:divBdr>
            <w:top w:val="none" w:sz="0" w:space="0" w:color="auto"/>
            <w:left w:val="none" w:sz="0" w:space="0" w:color="auto"/>
            <w:bottom w:val="none" w:sz="0" w:space="0" w:color="auto"/>
            <w:right w:val="none" w:sz="0" w:space="0" w:color="auto"/>
          </w:divBdr>
        </w:div>
        <w:div w:id="1577863395">
          <w:marLeft w:val="40"/>
          <w:marRight w:val="0"/>
          <w:marTop w:val="0"/>
          <w:marBottom w:val="0"/>
          <w:divBdr>
            <w:top w:val="none" w:sz="0" w:space="0" w:color="auto"/>
            <w:left w:val="none" w:sz="0" w:space="0" w:color="auto"/>
            <w:bottom w:val="none" w:sz="0" w:space="0" w:color="auto"/>
            <w:right w:val="none" w:sz="0" w:space="0" w:color="auto"/>
          </w:divBdr>
        </w:div>
        <w:div w:id="1303923582">
          <w:marLeft w:val="40"/>
          <w:marRight w:val="0"/>
          <w:marTop w:val="0"/>
          <w:marBottom w:val="0"/>
          <w:divBdr>
            <w:top w:val="none" w:sz="0" w:space="0" w:color="auto"/>
            <w:left w:val="none" w:sz="0" w:space="0" w:color="auto"/>
            <w:bottom w:val="none" w:sz="0" w:space="0" w:color="auto"/>
            <w:right w:val="none" w:sz="0" w:space="0" w:color="auto"/>
          </w:divBdr>
        </w:div>
        <w:div w:id="897974500">
          <w:marLeft w:val="630"/>
          <w:marRight w:val="0"/>
          <w:marTop w:val="0"/>
          <w:marBottom w:val="0"/>
          <w:divBdr>
            <w:top w:val="none" w:sz="0" w:space="0" w:color="auto"/>
            <w:left w:val="none" w:sz="0" w:space="0" w:color="auto"/>
            <w:bottom w:val="none" w:sz="0" w:space="0" w:color="auto"/>
            <w:right w:val="none" w:sz="0" w:space="0" w:color="auto"/>
          </w:divBdr>
        </w:div>
        <w:div w:id="796685585">
          <w:marLeft w:val="630"/>
          <w:marRight w:val="0"/>
          <w:marTop w:val="0"/>
          <w:marBottom w:val="0"/>
          <w:divBdr>
            <w:top w:val="none" w:sz="0" w:space="0" w:color="auto"/>
            <w:left w:val="none" w:sz="0" w:space="0" w:color="auto"/>
            <w:bottom w:val="none" w:sz="0" w:space="0" w:color="auto"/>
            <w:right w:val="none" w:sz="0" w:space="0" w:color="auto"/>
          </w:divBdr>
        </w:div>
        <w:div w:id="1154837714">
          <w:marLeft w:val="40"/>
          <w:marRight w:val="0"/>
          <w:marTop w:val="0"/>
          <w:marBottom w:val="0"/>
          <w:divBdr>
            <w:top w:val="none" w:sz="0" w:space="0" w:color="auto"/>
            <w:left w:val="none" w:sz="0" w:space="0" w:color="auto"/>
            <w:bottom w:val="none" w:sz="0" w:space="0" w:color="auto"/>
            <w:right w:val="none" w:sz="0" w:space="0" w:color="auto"/>
          </w:divBdr>
        </w:div>
        <w:div w:id="1456557802">
          <w:marLeft w:val="40"/>
          <w:marRight w:val="0"/>
          <w:marTop w:val="0"/>
          <w:marBottom w:val="0"/>
          <w:divBdr>
            <w:top w:val="none" w:sz="0" w:space="0" w:color="auto"/>
            <w:left w:val="none" w:sz="0" w:space="0" w:color="auto"/>
            <w:bottom w:val="none" w:sz="0" w:space="0" w:color="auto"/>
            <w:right w:val="none" w:sz="0" w:space="0" w:color="auto"/>
          </w:divBdr>
        </w:div>
        <w:div w:id="77336574">
          <w:marLeft w:val="40"/>
          <w:marRight w:val="0"/>
          <w:marTop w:val="0"/>
          <w:marBottom w:val="0"/>
          <w:divBdr>
            <w:top w:val="none" w:sz="0" w:space="0" w:color="auto"/>
            <w:left w:val="none" w:sz="0" w:space="0" w:color="auto"/>
            <w:bottom w:val="none" w:sz="0" w:space="0" w:color="auto"/>
            <w:right w:val="none" w:sz="0" w:space="0" w:color="auto"/>
          </w:divBdr>
        </w:div>
        <w:div w:id="1056428">
          <w:marLeft w:val="40"/>
          <w:marRight w:val="0"/>
          <w:marTop w:val="0"/>
          <w:marBottom w:val="0"/>
          <w:divBdr>
            <w:top w:val="none" w:sz="0" w:space="0" w:color="auto"/>
            <w:left w:val="none" w:sz="0" w:space="0" w:color="auto"/>
            <w:bottom w:val="none" w:sz="0" w:space="0" w:color="auto"/>
            <w:right w:val="none" w:sz="0" w:space="0" w:color="auto"/>
          </w:divBdr>
        </w:div>
        <w:div w:id="834952007">
          <w:marLeft w:val="40"/>
          <w:marRight w:val="0"/>
          <w:marTop w:val="0"/>
          <w:marBottom w:val="0"/>
          <w:divBdr>
            <w:top w:val="none" w:sz="0" w:space="0" w:color="auto"/>
            <w:left w:val="none" w:sz="0" w:space="0" w:color="auto"/>
            <w:bottom w:val="none" w:sz="0" w:space="0" w:color="auto"/>
            <w:right w:val="none" w:sz="0" w:space="0" w:color="auto"/>
          </w:divBdr>
        </w:div>
        <w:div w:id="1539009255">
          <w:marLeft w:val="40"/>
          <w:marRight w:val="0"/>
          <w:marTop w:val="0"/>
          <w:marBottom w:val="0"/>
          <w:divBdr>
            <w:top w:val="none" w:sz="0" w:space="0" w:color="auto"/>
            <w:left w:val="none" w:sz="0" w:space="0" w:color="auto"/>
            <w:bottom w:val="none" w:sz="0" w:space="0" w:color="auto"/>
            <w:right w:val="none" w:sz="0" w:space="0" w:color="auto"/>
          </w:divBdr>
        </w:div>
        <w:div w:id="1422871323">
          <w:marLeft w:val="40"/>
          <w:marRight w:val="0"/>
          <w:marTop w:val="0"/>
          <w:marBottom w:val="0"/>
          <w:divBdr>
            <w:top w:val="none" w:sz="0" w:space="0" w:color="auto"/>
            <w:left w:val="none" w:sz="0" w:space="0" w:color="auto"/>
            <w:bottom w:val="none" w:sz="0" w:space="0" w:color="auto"/>
            <w:right w:val="none" w:sz="0" w:space="0" w:color="auto"/>
          </w:divBdr>
        </w:div>
        <w:div w:id="1567760496">
          <w:marLeft w:val="0"/>
          <w:marRight w:val="0"/>
          <w:marTop w:val="0"/>
          <w:marBottom w:val="0"/>
          <w:divBdr>
            <w:top w:val="none" w:sz="0" w:space="0" w:color="auto"/>
            <w:left w:val="none" w:sz="0" w:space="0" w:color="auto"/>
            <w:bottom w:val="none" w:sz="0" w:space="0" w:color="auto"/>
            <w:right w:val="none" w:sz="0" w:space="0" w:color="auto"/>
          </w:divBdr>
        </w:div>
        <w:div w:id="2067557844">
          <w:marLeft w:val="40"/>
          <w:marRight w:val="0"/>
          <w:marTop w:val="0"/>
          <w:marBottom w:val="0"/>
          <w:divBdr>
            <w:top w:val="none" w:sz="0" w:space="0" w:color="auto"/>
            <w:left w:val="none" w:sz="0" w:space="0" w:color="auto"/>
            <w:bottom w:val="none" w:sz="0" w:space="0" w:color="auto"/>
            <w:right w:val="none" w:sz="0" w:space="0" w:color="auto"/>
          </w:divBdr>
        </w:div>
        <w:div w:id="58017229">
          <w:marLeft w:val="40"/>
          <w:marRight w:val="0"/>
          <w:marTop w:val="0"/>
          <w:marBottom w:val="0"/>
          <w:divBdr>
            <w:top w:val="none" w:sz="0" w:space="0" w:color="auto"/>
            <w:left w:val="none" w:sz="0" w:space="0" w:color="auto"/>
            <w:bottom w:val="none" w:sz="0" w:space="0" w:color="auto"/>
            <w:right w:val="none" w:sz="0" w:space="0" w:color="auto"/>
          </w:divBdr>
        </w:div>
        <w:div w:id="1982229317">
          <w:marLeft w:val="630"/>
          <w:marRight w:val="0"/>
          <w:marTop w:val="0"/>
          <w:marBottom w:val="0"/>
          <w:divBdr>
            <w:top w:val="none" w:sz="0" w:space="0" w:color="auto"/>
            <w:left w:val="none" w:sz="0" w:space="0" w:color="auto"/>
            <w:bottom w:val="none" w:sz="0" w:space="0" w:color="auto"/>
            <w:right w:val="none" w:sz="0" w:space="0" w:color="auto"/>
          </w:divBdr>
        </w:div>
        <w:div w:id="1778450444">
          <w:marLeft w:val="630"/>
          <w:marRight w:val="0"/>
          <w:marTop w:val="0"/>
          <w:marBottom w:val="0"/>
          <w:divBdr>
            <w:top w:val="none" w:sz="0" w:space="0" w:color="auto"/>
            <w:left w:val="none" w:sz="0" w:space="0" w:color="auto"/>
            <w:bottom w:val="none" w:sz="0" w:space="0" w:color="auto"/>
            <w:right w:val="none" w:sz="0" w:space="0" w:color="auto"/>
          </w:divBdr>
        </w:div>
        <w:div w:id="1618482280">
          <w:marLeft w:val="630"/>
          <w:marRight w:val="0"/>
          <w:marTop w:val="0"/>
          <w:marBottom w:val="0"/>
          <w:divBdr>
            <w:top w:val="none" w:sz="0" w:space="0" w:color="auto"/>
            <w:left w:val="none" w:sz="0" w:space="0" w:color="auto"/>
            <w:bottom w:val="none" w:sz="0" w:space="0" w:color="auto"/>
            <w:right w:val="none" w:sz="0" w:space="0" w:color="auto"/>
          </w:divBdr>
        </w:div>
        <w:div w:id="1794399674">
          <w:marLeft w:val="40"/>
          <w:marRight w:val="0"/>
          <w:marTop w:val="0"/>
          <w:marBottom w:val="0"/>
          <w:divBdr>
            <w:top w:val="none" w:sz="0" w:space="0" w:color="auto"/>
            <w:left w:val="none" w:sz="0" w:space="0" w:color="auto"/>
            <w:bottom w:val="none" w:sz="0" w:space="0" w:color="auto"/>
            <w:right w:val="none" w:sz="0" w:space="0" w:color="auto"/>
          </w:divBdr>
        </w:div>
        <w:div w:id="1050107811">
          <w:marLeft w:val="40"/>
          <w:marRight w:val="0"/>
          <w:marTop w:val="0"/>
          <w:marBottom w:val="0"/>
          <w:divBdr>
            <w:top w:val="none" w:sz="0" w:space="0" w:color="auto"/>
            <w:left w:val="none" w:sz="0" w:space="0" w:color="auto"/>
            <w:bottom w:val="none" w:sz="0" w:space="0" w:color="auto"/>
            <w:right w:val="none" w:sz="0" w:space="0" w:color="auto"/>
          </w:divBdr>
        </w:div>
        <w:div w:id="418873310">
          <w:marLeft w:val="40"/>
          <w:marRight w:val="0"/>
          <w:marTop w:val="0"/>
          <w:marBottom w:val="0"/>
          <w:divBdr>
            <w:top w:val="none" w:sz="0" w:space="0" w:color="auto"/>
            <w:left w:val="none" w:sz="0" w:space="0" w:color="auto"/>
            <w:bottom w:val="none" w:sz="0" w:space="0" w:color="auto"/>
            <w:right w:val="none" w:sz="0" w:space="0" w:color="auto"/>
          </w:divBdr>
        </w:div>
        <w:div w:id="334109319">
          <w:marLeft w:val="40"/>
          <w:marRight w:val="0"/>
          <w:marTop w:val="0"/>
          <w:marBottom w:val="0"/>
          <w:divBdr>
            <w:top w:val="none" w:sz="0" w:space="0" w:color="auto"/>
            <w:left w:val="none" w:sz="0" w:space="0" w:color="auto"/>
            <w:bottom w:val="none" w:sz="0" w:space="0" w:color="auto"/>
            <w:right w:val="none" w:sz="0" w:space="0" w:color="auto"/>
          </w:divBdr>
        </w:div>
        <w:div w:id="769200992">
          <w:marLeft w:val="40"/>
          <w:marRight w:val="0"/>
          <w:marTop w:val="0"/>
          <w:marBottom w:val="0"/>
          <w:divBdr>
            <w:top w:val="none" w:sz="0" w:space="0" w:color="auto"/>
            <w:left w:val="none" w:sz="0" w:space="0" w:color="auto"/>
            <w:bottom w:val="none" w:sz="0" w:space="0" w:color="auto"/>
            <w:right w:val="none" w:sz="0" w:space="0" w:color="auto"/>
          </w:divBdr>
        </w:div>
        <w:div w:id="1698659368">
          <w:marLeft w:val="40"/>
          <w:marRight w:val="0"/>
          <w:marTop w:val="0"/>
          <w:marBottom w:val="0"/>
          <w:divBdr>
            <w:top w:val="none" w:sz="0" w:space="0" w:color="auto"/>
            <w:left w:val="none" w:sz="0" w:space="0" w:color="auto"/>
            <w:bottom w:val="none" w:sz="0" w:space="0" w:color="auto"/>
            <w:right w:val="none" w:sz="0" w:space="0" w:color="auto"/>
          </w:divBdr>
        </w:div>
        <w:div w:id="1024356910">
          <w:marLeft w:val="40"/>
          <w:marRight w:val="0"/>
          <w:marTop w:val="0"/>
          <w:marBottom w:val="0"/>
          <w:divBdr>
            <w:top w:val="none" w:sz="0" w:space="0" w:color="auto"/>
            <w:left w:val="none" w:sz="0" w:space="0" w:color="auto"/>
            <w:bottom w:val="none" w:sz="0" w:space="0" w:color="auto"/>
            <w:right w:val="none" w:sz="0" w:space="0" w:color="auto"/>
          </w:divBdr>
        </w:div>
        <w:div w:id="1958290850">
          <w:marLeft w:val="40"/>
          <w:marRight w:val="0"/>
          <w:marTop w:val="0"/>
          <w:marBottom w:val="0"/>
          <w:divBdr>
            <w:top w:val="none" w:sz="0" w:space="0" w:color="auto"/>
            <w:left w:val="none" w:sz="0" w:space="0" w:color="auto"/>
            <w:bottom w:val="none" w:sz="0" w:space="0" w:color="auto"/>
            <w:right w:val="none" w:sz="0" w:space="0" w:color="auto"/>
          </w:divBdr>
        </w:div>
        <w:div w:id="1425684171">
          <w:marLeft w:val="180"/>
          <w:marRight w:val="0"/>
          <w:marTop w:val="0"/>
          <w:marBottom w:val="0"/>
          <w:divBdr>
            <w:top w:val="none" w:sz="0" w:space="0" w:color="auto"/>
            <w:left w:val="none" w:sz="0" w:space="0" w:color="auto"/>
            <w:bottom w:val="none" w:sz="0" w:space="0" w:color="auto"/>
            <w:right w:val="none" w:sz="0" w:space="0" w:color="auto"/>
          </w:divBdr>
        </w:div>
        <w:div w:id="378087462">
          <w:marLeft w:val="180"/>
          <w:marRight w:val="0"/>
          <w:marTop w:val="0"/>
          <w:marBottom w:val="0"/>
          <w:divBdr>
            <w:top w:val="none" w:sz="0" w:space="0" w:color="auto"/>
            <w:left w:val="none" w:sz="0" w:space="0" w:color="auto"/>
            <w:bottom w:val="none" w:sz="0" w:space="0" w:color="auto"/>
            <w:right w:val="none" w:sz="0" w:space="0" w:color="auto"/>
          </w:divBdr>
        </w:div>
        <w:div w:id="1193298474">
          <w:marLeft w:val="40"/>
          <w:marRight w:val="0"/>
          <w:marTop w:val="0"/>
          <w:marBottom w:val="0"/>
          <w:divBdr>
            <w:top w:val="none" w:sz="0" w:space="0" w:color="auto"/>
            <w:left w:val="none" w:sz="0" w:space="0" w:color="auto"/>
            <w:bottom w:val="none" w:sz="0" w:space="0" w:color="auto"/>
            <w:right w:val="none" w:sz="0" w:space="0" w:color="auto"/>
          </w:divBdr>
        </w:div>
        <w:div w:id="1138911729">
          <w:marLeft w:val="40"/>
          <w:marRight w:val="0"/>
          <w:marTop w:val="0"/>
          <w:marBottom w:val="0"/>
          <w:divBdr>
            <w:top w:val="none" w:sz="0" w:space="0" w:color="auto"/>
            <w:left w:val="none" w:sz="0" w:space="0" w:color="auto"/>
            <w:bottom w:val="none" w:sz="0" w:space="0" w:color="auto"/>
            <w:right w:val="none" w:sz="0" w:space="0" w:color="auto"/>
          </w:divBdr>
        </w:div>
        <w:div w:id="1734617536">
          <w:marLeft w:val="720"/>
          <w:marRight w:val="0"/>
          <w:marTop w:val="0"/>
          <w:marBottom w:val="0"/>
          <w:divBdr>
            <w:top w:val="none" w:sz="0" w:space="0" w:color="auto"/>
            <w:left w:val="none" w:sz="0" w:space="0" w:color="auto"/>
            <w:bottom w:val="none" w:sz="0" w:space="0" w:color="auto"/>
            <w:right w:val="none" w:sz="0" w:space="0" w:color="auto"/>
          </w:divBdr>
        </w:div>
        <w:div w:id="847522724">
          <w:marLeft w:val="1440"/>
          <w:marRight w:val="0"/>
          <w:marTop w:val="0"/>
          <w:marBottom w:val="0"/>
          <w:divBdr>
            <w:top w:val="none" w:sz="0" w:space="0" w:color="auto"/>
            <w:left w:val="none" w:sz="0" w:space="0" w:color="auto"/>
            <w:bottom w:val="none" w:sz="0" w:space="0" w:color="auto"/>
            <w:right w:val="none" w:sz="0" w:space="0" w:color="auto"/>
          </w:divBdr>
        </w:div>
        <w:div w:id="1446080267">
          <w:marLeft w:val="180"/>
          <w:marRight w:val="0"/>
          <w:marTop w:val="0"/>
          <w:marBottom w:val="0"/>
          <w:divBdr>
            <w:top w:val="none" w:sz="0" w:space="0" w:color="auto"/>
            <w:left w:val="none" w:sz="0" w:space="0" w:color="auto"/>
            <w:bottom w:val="none" w:sz="0" w:space="0" w:color="auto"/>
            <w:right w:val="none" w:sz="0" w:space="0" w:color="auto"/>
          </w:divBdr>
        </w:div>
        <w:div w:id="293290380">
          <w:marLeft w:val="180"/>
          <w:marRight w:val="0"/>
          <w:marTop w:val="0"/>
          <w:marBottom w:val="0"/>
          <w:divBdr>
            <w:top w:val="none" w:sz="0" w:space="0" w:color="auto"/>
            <w:left w:val="none" w:sz="0" w:space="0" w:color="auto"/>
            <w:bottom w:val="none" w:sz="0" w:space="0" w:color="auto"/>
            <w:right w:val="none" w:sz="0" w:space="0" w:color="auto"/>
          </w:divBdr>
        </w:div>
        <w:div w:id="1082917817">
          <w:marLeft w:val="180"/>
          <w:marRight w:val="0"/>
          <w:marTop w:val="0"/>
          <w:marBottom w:val="0"/>
          <w:divBdr>
            <w:top w:val="none" w:sz="0" w:space="0" w:color="auto"/>
            <w:left w:val="none" w:sz="0" w:space="0" w:color="auto"/>
            <w:bottom w:val="none" w:sz="0" w:space="0" w:color="auto"/>
            <w:right w:val="none" w:sz="0" w:space="0" w:color="auto"/>
          </w:divBdr>
        </w:div>
        <w:div w:id="1462923104">
          <w:marLeft w:val="180"/>
          <w:marRight w:val="0"/>
          <w:marTop w:val="0"/>
          <w:marBottom w:val="0"/>
          <w:divBdr>
            <w:top w:val="none" w:sz="0" w:space="0" w:color="auto"/>
            <w:left w:val="none" w:sz="0" w:space="0" w:color="auto"/>
            <w:bottom w:val="none" w:sz="0" w:space="0" w:color="auto"/>
            <w:right w:val="none" w:sz="0" w:space="0" w:color="auto"/>
          </w:divBdr>
        </w:div>
        <w:div w:id="1864857659">
          <w:marLeft w:val="180"/>
          <w:marRight w:val="0"/>
          <w:marTop w:val="0"/>
          <w:marBottom w:val="0"/>
          <w:divBdr>
            <w:top w:val="none" w:sz="0" w:space="0" w:color="auto"/>
            <w:left w:val="none" w:sz="0" w:space="0" w:color="auto"/>
            <w:bottom w:val="none" w:sz="0" w:space="0" w:color="auto"/>
            <w:right w:val="none" w:sz="0" w:space="0" w:color="auto"/>
          </w:divBdr>
        </w:div>
        <w:div w:id="488640648">
          <w:marLeft w:val="180"/>
          <w:marRight w:val="0"/>
          <w:marTop w:val="0"/>
          <w:marBottom w:val="0"/>
          <w:divBdr>
            <w:top w:val="none" w:sz="0" w:space="0" w:color="auto"/>
            <w:left w:val="none" w:sz="0" w:space="0" w:color="auto"/>
            <w:bottom w:val="none" w:sz="0" w:space="0" w:color="auto"/>
            <w:right w:val="none" w:sz="0" w:space="0" w:color="auto"/>
          </w:divBdr>
        </w:div>
        <w:div w:id="758480663">
          <w:marLeft w:val="2325"/>
          <w:marRight w:val="0"/>
          <w:marTop w:val="0"/>
          <w:marBottom w:val="0"/>
          <w:divBdr>
            <w:top w:val="none" w:sz="0" w:space="0" w:color="auto"/>
            <w:left w:val="none" w:sz="0" w:space="0" w:color="auto"/>
            <w:bottom w:val="none" w:sz="0" w:space="0" w:color="auto"/>
            <w:right w:val="none" w:sz="0" w:space="0" w:color="auto"/>
          </w:divBdr>
        </w:div>
        <w:div w:id="838039711">
          <w:marLeft w:val="180"/>
          <w:marRight w:val="0"/>
          <w:marTop w:val="0"/>
          <w:marBottom w:val="0"/>
          <w:divBdr>
            <w:top w:val="none" w:sz="0" w:space="0" w:color="auto"/>
            <w:left w:val="none" w:sz="0" w:space="0" w:color="auto"/>
            <w:bottom w:val="none" w:sz="0" w:space="0" w:color="auto"/>
            <w:right w:val="none" w:sz="0" w:space="0" w:color="auto"/>
          </w:divBdr>
        </w:div>
        <w:div w:id="434055031">
          <w:marLeft w:val="14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3796</Words>
  <Characters>21638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2014-10-10T07:32:00Z</dcterms:created>
  <dcterms:modified xsi:type="dcterms:W3CDTF">2014-10-10T07:32:00Z</dcterms:modified>
</cp:coreProperties>
</file>