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85" w:rsidRPr="00706085" w:rsidRDefault="00706085" w:rsidP="00A111E8">
      <w:pPr>
        <w:shd w:val="clear" w:color="auto" w:fill="FFFFFF"/>
        <w:spacing w:after="0" w:line="240" w:lineRule="auto"/>
        <w:ind w:right="-46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0"/>
          <w:szCs w:val="20"/>
        </w:rPr>
      </w:pPr>
      <w:r w:rsidRPr="00706085">
        <w:rPr>
          <w:rFonts w:ascii="Arial" w:eastAsia="Times New Roman" w:hAnsi="Arial" w:cs="Arial"/>
          <w:b/>
          <w:color w:val="333333"/>
          <w:kern w:val="36"/>
          <w:sz w:val="20"/>
          <w:szCs w:val="20"/>
        </w:rPr>
        <w:t xml:space="preserve">Managerial </w:t>
      </w:r>
      <w:r w:rsidRPr="00916160">
        <w:rPr>
          <w:rFonts w:ascii="Arial" w:eastAsia="Times New Roman" w:hAnsi="Arial" w:cs="Arial"/>
          <w:b/>
          <w:color w:val="333333"/>
          <w:kern w:val="36"/>
          <w:sz w:val="20"/>
          <w:szCs w:val="20"/>
        </w:rPr>
        <w:t>r</w:t>
      </w:r>
      <w:r w:rsidRPr="00706085">
        <w:rPr>
          <w:rFonts w:ascii="Arial" w:eastAsia="Times New Roman" w:hAnsi="Arial" w:cs="Arial"/>
          <w:b/>
          <w:color w:val="333333"/>
          <w:kern w:val="36"/>
          <w:sz w:val="20"/>
          <w:szCs w:val="20"/>
        </w:rPr>
        <w:t>emuneration under Companies Act, 1956</w:t>
      </w:r>
    </w:p>
    <w:p w:rsidR="00656FC2" w:rsidRPr="00916160" w:rsidRDefault="00656FC2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4116" w:rsidRDefault="00864116" w:rsidP="0091616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1E8">
        <w:rPr>
          <w:rFonts w:ascii="Arial" w:hAnsi="Arial" w:cs="Arial"/>
          <w:b/>
          <w:sz w:val="20"/>
          <w:szCs w:val="20"/>
        </w:rPr>
        <w:t>Manager</w:t>
      </w:r>
    </w:p>
    <w:p w:rsidR="00A111E8" w:rsidRPr="00A111E8" w:rsidRDefault="00A111E8" w:rsidP="0091616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64116" w:rsidRDefault="00864116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A person having power of planning, directing and controlling are cover</w:t>
      </w:r>
      <w:r w:rsidR="00A111E8">
        <w:rPr>
          <w:rFonts w:ascii="Arial" w:hAnsi="Arial" w:cs="Arial"/>
          <w:sz w:val="20"/>
          <w:szCs w:val="20"/>
        </w:rPr>
        <w:t xml:space="preserve">ed in management. For example: </w:t>
      </w:r>
      <w:r w:rsidRPr="00916160">
        <w:rPr>
          <w:rFonts w:ascii="Arial" w:hAnsi="Arial" w:cs="Arial"/>
          <w:sz w:val="20"/>
          <w:szCs w:val="20"/>
        </w:rPr>
        <w:t>Directors, MD, Managers or person having same designation etc.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4116" w:rsidRDefault="00A111E8" w:rsidP="00916160">
      <w:pPr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Managerial Remuneration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864116" w:rsidRPr="00916160" w:rsidRDefault="00864116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As per Companies Act, 1956 Managerial Remuneration should be include all the payment and benefit whichever incurred by the company on behalf of management. Managerial remuneration may include:</w:t>
      </w:r>
    </w:p>
    <w:p w:rsidR="00864116" w:rsidRPr="00916160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Salary</w:t>
      </w:r>
    </w:p>
    <w:p w:rsidR="00864116" w:rsidRPr="00916160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Commission</w:t>
      </w:r>
    </w:p>
    <w:p w:rsidR="00864116" w:rsidRPr="00916160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RFA</w:t>
      </w:r>
    </w:p>
    <w:p w:rsidR="00864116" w:rsidRPr="00916160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Life Insurance Policy</w:t>
      </w:r>
    </w:p>
    <w:p w:rsidR="00864116" w:rsidRPr="00916160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Membership fees of club</w:t>
      </w:r>
    </w:p>
    <w:p w:rsidR="00864116" w:rsidRPr="00916160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 xml:space="preserve">Cost of </w:t>
      </w:r>
      <w:proofErr w:type="spellStart"/>
      <w:r w:rsidRPr="00916160">
        <w:rPr>
          <w:rFonts w:ascii="Arial" w:hAnsi="Arial" w:cs="Arial"/>
          <w:sz w:val="20"/>
          <w:szCs w:val="20"/>
        </w:rPr>
        <w:t>car</w:t>
      </w:r>
      <w:proofErr w:type="spellEnd"/>
      <w:r w:rsidRPr="00916160">
        <w:rPr>
          <w:rFonts w:ascii="Arial" w:hAnsi="Arial" w:cs="Arial"/>
          <w:sz w:val="20"/>
          <w:szCs w:val="20"/>
        </w:rPr>
        <w:t xml:space="preserve"> facilities</w:t>
      </w:r>
    </w:p>
    <w:p w:rsidR="00864116" w:rsidRDefault="00864116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Any other allowances of benefits.</w:t>
      </w:r>
    </w:p>
    <w:p w:rsidR="00A111E8" w:rsidRPr="00916160" w:rsidRDefault="00A111E8" w:rsidP="009161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4116" w:rsidRDefault="00864116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Managerial remuneration is given on the basic of net profit. In case of shortage of profit or absence of profit it can be given on the basic of effective capital.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4116" w:rsidRDefault="001F4586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Maximum limit of managerial remuneration on the basic of net profit: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4586" w:rsidRPr="00916160" w:rsidRDefault="001F4586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Situation-I</w:t>
      </w:r>
    </w:p>
    <w:p w:rsidR="001F4586" w:rsidRDefault="001F4586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 xml:space="preserve">If company having only one whole </w:t>
      </w:r>
      <w:r w:rsidR="00916160" w:rsidRPr="00916160">
        <w:rPr>
          <w:rFonts w:ascii="Arial" w:hAnsi="Arial" w:cs="Arial"/>
          <w:sz w:val="20"/>
          <w:szCs w:val="20"/>
        </w:rPr>
        <w:t xml:space="preserve">time director or MD or Manager </w:t>
      </w:r>
      <w:r w:rsidR="00916160" w:rsidRPr="00916160">
        <w:rPr>
          <w:rFonts w:ascii="Arial" w:hAnsi="Arial" w:cs="Arial"/>
          <w:sz w:val="20"/>
          <w:szCs w:val="20"/>
        </w:rPr>
        <w:tab/>
      </w:r>
      <w:r w:rsidR="00916160" w:rsidRPr="00916160">
        <w:rPr>
          <w:rFonts w:ascii="Arial" w:hAnsi="Arial" w:cs="Arial"/>
          <w:sz w:val="20"/>
          <w:szCs w:val="20"/>
        </w:rPr>
        <w:tab/>
        <w:t>5% of Net Profit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Situation-II</w:t>
      </w:r>
    </w:p>
    <w:p w:rsid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If company having more than one whole time directors or MD or Managers</w:t>
      </w:r>
      <w:r w:rsidRPr="00916160">
        <w:rPr>
          <w:rFonts w:ascii="Arial" w:hAnsi="Arial" w:cs="Arial"/>
          <w:sz w:val="20"/>
          <w:szCs w:val="20"/>
        </w:rPr>
        <w:tab/>
        <w:t>10% of Net Profit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Situation-III</w:t>
      </w:r>
    </w:p>
    <w:p w:rsid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If company having one part time director or MD or Manager</w:t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="00A111E8">
        <w:rPr>
          <w:rFonts w:ascii="Arial" w:hAnsi="Arial" w:cs="Arial"/>
          <w:sz w:val="20"/>
          <w:szCs w:val="20"/>
        </w:rPr>
        <w:t xml:space="preserve"> </w:t>
      </w:r>
      <w:r w:rsidRPr="00916160">
        <w:rPr>
          <w:rFonts w:ascii="Arial" w:hAnsi="Arial" w:cs="Arial"/>
          <w:sz w:val="20"/>
          <w:szCs w:val="20"/>
        </w:rPr>
        <w:t>3% of Net Profit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Situation-IV</w:t>
      </w:r>
    </w:p>
    <w:p w:rsid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Situation-I + Situation-III</w:t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="00A111E8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>6% of Net Profit</w:t>
      </w:r>
    </w:p>
    <w:p w:rsidR="00A111E8" w:rsidRPr="00916160" w:rsidRDefault="00A111E8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Situation-V</w:t>
      </w: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6160">
        <w:rPr>
          <w:rFonts w:ascii="Arial" w:hAnsi="Arial" w:cs="Arial"/>
          <w:sz w:val="20"/>
          <w:szCs w:val="20"/>
        </w:rPr>
        <w:t>Situation-II + Situation-III</w:t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</w:r>
      <w:r w:rsidRPr="00916160">
        <w:rPr>
          <w:rFonts w:ascii="Arial" w:hAnsi="Arial" w:cs="Arial"/>
          <w:sz w:val="20"/>
          <w:szCs w:val="20"/>
        </w:rPr>
        <w:tab/>
        <w:t>11% of Net Profit</w:t>
      </w: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6160" w:rsidRDefault="00916160" w:rsidP="00A111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111E8" w:rsidRDefault="00A111E8" w:rsidP="00A11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11E8">
        <w:rPr>
          <w:rFonts w:ascii="Arial" w:hAnsi="Arial" w:cs="Arial"/>
          <w:sz w:val="20"/>
          <w:szCs w:val="20"/>
        </w:rPr>
        <w:t>Notwithstanding anything contained in this part, where, in any financial year during the currency of tenure of the managerial person, a company has no profits or its profits are inadequate, it may pay remuneration to a managerial person by way of salary, dearness allowance, perqui</w:t>
      </w:r>
      <w:r>
        <w:rPr>
          <w:rFonts w:ascii="Arial" w:hAnsi="Arial" w:cs="Arial"/>
          <w:sz w:val="20"/>
          <w:szCs w:val="20"/>
        </w:rPr>
        <w:t>sites and any other allowances</w:t>
      </w:r>
    </w:p>
    <w:p w:rsidR="00A111E8" w:rsidRPr="00916160" w:rsidRDefault="00A111E8" w:rsidP="00A11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16160" w:rsidRPr="00916160" w:rsidRDefault="00916160" w:rsidP="00A111E8">
      <w:pPr>
        <w:numPr>
          <w:ilvl w:val="1"/>
          <w:numId w:val="2"/>
        </w:numPr>
        <w:tabs>
          <w:tab w:val="clear" w:pos="1440"/>
          <w:tab w:val="num" w:pos="-5529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6160">
        <w:rPr>
          <w:rFonts w:ascii="Arial" w:eastAsia="Times New Roman" w:hAnsi="Arial" w:cs="Arial"/>
          <w:color w:val="000000"/>
          <w:sz w:val="20"/>
          <w:szCs w:val="20"/>
        </w:rPr>
        <w:t>not exceeding ceiling limit of Rs.24,00,000/- p.a. or Rs. 2,00,000/- p.m. calculated on the following scale :</w:t>
      </w:r>
      <w:r w:rsidRPr="00916160">
        <w:rPr>
          <w:rFonts w:ascii="Arial" w:eastAsia="Times New Roman" w:hAnsi="Arial" w:cs="Arial"/>
          <w:color w:val="000000"/>
          <w:sz w:val="20"/>
          <w:szCs w:val="20"/>
        </w:rPr>
        <w:br/>
        <w:t> </w:t>
      </w:r>
    </w:p>
    <w:tbl>
      <w:tblPr>
        <w:tblW w:w="0" w:type="auto"/>
        <w:tblInd w:w="695" w:type="dxa"/>
        <w:tblBorders>
          <w:top w:val="outset" w:sz="6" w:space="0" w:color="B7491E"/>
          <w:left w:val="outset" w:sz="6" w:space="0" w:color="B7491E"/>
          <w:bottom w:val="outset" w:sz="6" w:space="0" w:color="B7491E"/>
          <w:right w:val="outset" w:sz="6" w:space="0" w:color="B7491E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2"/>
        <w:gridCol w:w="4166"/>
        <w:gridCol w:w="3953"/>
      </w:tblGrid>
      <w:tr w:rsidR="00916160" w:rsidRPr="00916160" w:rsidTr="00A111E8">
        <w:tc>
          <w:tcPr>
            <w:tcW w:w="4438" w:type="dxa"/>
            <w:gridSpan w:val="2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shd w:val="clear" w:color="auto" w:fill="FDF2EE"/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Where the effective capital of company is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shd w:val="clear" w:color="auto" w:fill="FDF2EE"/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Monthly remuneration payable shall not exceed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4166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Less than Rs. 1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75,000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ii)</w:t>
            </w:r>
          </w:p>
        </w:tc>
        <w:tc>
          <w:tcPr>
            <w:tcW w:w="4166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1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5 cr.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1,00,000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iii)</w:t>
            </w:r>
          </w:p>
        </w:tc>
        <w:tc>
          <w:tcPr>
            <w:tcW w:w="4166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5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25 cr.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1,25,000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iv)</w:t>
            </w:r>
          </w:p>
        </w:tc>
        <w:tc>
          <w:tcPr>
            <w:tcW w:w="4166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25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50 cr.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1,50,000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v)</w:t>
            </w:r>
          </w:p>
        </w:tc>
        <w:tc>
          <w:tcPr>
            <w:tcW w:w="4166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50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100 cr.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1,75,000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vi)</w:t>
            </w:r>
          </w:p>
        </w:tc>
        <w:tc>
          <w:tcPr>
            <w:tcW w:w="4166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100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2,00,000</w:t>
            </w:r>
          </w:p>
        </w:tc>
      </w:tr>
    </w:tbl>
    <w:p w:rsidR="00A111E8" w:rsidRDefault="00A111E8" w:rsidP="00A111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16160" w:rsidRDefault="00916160" w:rsidP="00A111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6160">
        <w:rPr>
          <w:rFonts w:ascii="Arial" w:eastAsia="Times New Roman" w:hAnsi="Arial" w:cs="Arial"/>
          <w:color w:val="000000"/>
          <w:sz w:val="20"/>
          <w:szCs w:val="20"/>
        </w:rPr>
        <w:t>Provided that the ceiling limits specified under this sub-paragraph shall apply, if –</w:t>
      </w:r>
    </w:p>
    <w:p w:rsidR="00916160" w:rsidRPr="00916160" w:rsidRDefault="00916160" w:rsidP="00A111E8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6160">
        <w:rPr>
          <w:rFonts w:ascii="Arial" w:eastAsia="Times New Roman" w:hAnsi="Arial" w:cs="Arial"/>
          <w:color w:val="000000"/>
          <w:sz w:val="20"/>
          <w:szCs w:val="20"/>
        </w:rPr>
        <w:t>payment of remuneration is approved by a resolution passed by the Remuneration Committee;</w:t>
      </w:r>
    </w:p>
    <w:p w:rsidR="00916160" w:rsidRDefault="00916160" w:rsidP="00A111E8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916160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916160">
        <w:rPr>
          <w:rFonts w:ascii="Arial" w:eastAsia="Times New Roman" w:hAnsi="Arial" w:cs="Arial"/>
          <w:color w:val="000000"/>
          <w:sz w:val="20"/>
          <w:szCs w:val="20"/>
        </w:rPr>
        <w:t xml:space="preserve"> company has not made any default in repayment of any of its debts (including public deposits) or debentures or interest payable thereon for a continuous period of thirty days in the preceding financial year before the date of appointment of such managerial person.</w:t>
      </w:r>
    </w:p>
    <w:p w:rsidR="00A111E8" w:rsidRPr="00916160" w:rsidRDefault="00A111E8" w:rsidP="00A111E8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16160" w:rsidRDefault="00916160" w:rsidP="00A111E8">
      <w:pPr>
        <w:numPr>
          <w:ilvl w:val="1"/>
          <w:numId w:val="4"/>
        </w:numPr>
        <w:tabs>
          <w:tab w:val="clear" w:pos="1440"/>
          <w:tab w:val="num" w:pos="-56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b"/>
      <w:bookmarkEnd w:id="0"/>
      <w:r w:rsidRPr="00916160">
        <w:rPr>
          <w:rFonts w:ascii="Arial" w:eastAsia="Times New Roman" w:hAnsi="Arial" w:cs="Arial"/>
          <w:color w:val="000000"/>
          <w:sz w:val="20"/>
          <w:szCs w:val="20"/>
        </w:rPr>
        <w:t>not exceeding the ceiling limit of Rs. 48,00,000 per annum or Rs. 4,00,000 per month calculated on the following scale:</w:t>
      </w:r>
    </w:p>
    <w:p w:rsidR="00A111E8" w:rsidRPr="00916160" w:rsidRDefault="00A111E8" w:rsidP="00A111E8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outset" w:sz="6" w:space="0" w:color="B7491E"/>
          <w:left w:val="outset" w:sz="6" w:space="0" w:color="B7491E"/>
          <w:bottom w:val="outset" w:sz="6" w:space="0" w:color="B7491E"/>
          <w:right w:val="outset" w:sz="6" w:space="0" w:color="B7491E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2"/>
        <w:gridCol w:w="4861"/>
        <w:gridCol w:w="3953"/>
      </w:tblGrid>
      <w:tr w:rsidR="00916160" w:rsidRPr="00916160" w:rsidTr="00A111E8">
        <w:tc>
          <w:tcPr>
            <w:tcW w:w="5133" w:type="dxa"/>
            <w:gridSpan w:val="2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shd w:val="clear" w:color="auto" w:fill="FDF2EE"/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Where the effective capital of company is 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shd w:val="clear" w:color="auto" w:fill="FDF2EE"/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Monthly remuneration payable shall not exceed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4861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Less than Rs. 1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1,50,000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ii)</w:t>
            </w:r>
          </w:p>
        </w:tc>
        <w:tc>
          <w:tcPr>
            <w:tcW w:w="4861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1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5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2,00,000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iii)</w:t>
            </w:r>
          </w:p>
        </w:tc>
        <w:tc>
          <w:tcPr>
            <w:tcW w:w="4861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5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25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2,50,000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iv)</w:t>
            </w:r>
          </w:p>
        </w:tc>
        <w:tc>
          <w:tcPr>
            <w:tcW w:w="4861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25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50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3,00,000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v)</w:t>
            </w:r>
          </w:p>
        </w:tc>
        <w:tc>
          <w:tcPr>
            <w:tcW w:w="4861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50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 but less than Rs. 100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3,50,000</w:t>
            </w:r>
          </w:p>
        </w:tc>
      </w:tr>
      <w:tr w:rsidR="00916160" w:rsidRPr="00916160" w:rsidTr="00A111E8">
        <w:tc>
          <w:tcPr>
            <w:tcW w:w="0" w:type="auto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vi)</w:t>
            </w:r>
          </w:p>
        </w:tc>
        <w:tc>
          <w:tcPr>
            <w:tcW w:w="4861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Rs. 100 </w:t>
            </w:r>
            <w:proofErr w:type="spellStart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916160">
              <w:rPr>
                <w:rFonts w:ascii="Arial" w:eastAsia="Times New Roman" w:hAnsi="Arial" w:cs="Arial"/>
                <w:sz w:val="20"/>
                <w:szCs w:val="20"/>
              </w:rPr>
              <w:t xml:space="preserve"> or more</w:t>
            </w:r>
          </w:p>
        </w:tc>
        <w:tc>
          <w:tcPr>
            <w:tcW w:w="3953" w:type="dxa"/>
            <w:tcBorders>
              <w:top w:val="outset" w:sz="6" w:space="0" w:color="B7491E"/>
              <w:left w:val="outset" w:sz="6" w:space="0" w:color="B7491E"/>
              <w:bottom w:val="outset" w:sz="6" w:space="0" w:color="B7491E"/>
              <w:right w:val="outset" w:sz="6" w:space="0" w:color="B7491E"/>
            </w:tcBorders>
            <w:hideMark/>
          </w:tcPr>
          <w:p w:rsidR="00916160" w:rsidRPr="00916160" w:rsidRDefault="00916160" w:rsidP="009161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16160">
              <w:rPr>
                <w:rFonts w:ascii="Arial" w:eastAsia="Times New Roman" w:hAnsi="Arial" w:cs="Arial"/>
                <w:sz w:val="20"/>
                <w:szCs w:val="20"/>
              </w:rPr>
              <w:t>Rs. 4,00,000</w:t>
            </w:r>
          </w:p>
        </w:tc>
      </w:tr>
    </w:tbl>
    <w:p w:rsidR="00A111E8" w:rsidRDefault="00A111E8" w:rsidP="00A111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916160" w:rsidRDefault="00916160" w:rsidP="00A111E8">
      <w:pPr>
        <w:pStyle w:val="ListParagraph"/>
        <w:numPr>
          <w:ilvl w:val="1"/>
          <w:numId w:val="4"/>
        </w:numPr>
        <w:tabs>
          <w:tab w:val="clear" w:pos="1440"/>
          <w:tab w:val="num" w:pos="-56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111E8">
        <w:rPr>
          <w:rFonts w:ascii="Arial" w:eastAsia="Times New Roman" w:hAnsi="Arial" w:cs="Arial"/>
          <w:color w:val="000000"/>
          <w:sz w:val="20"/>
          <w:szCs w:val="20"/>
        </w:rPr>
        <w:t>Provided that the ceiling limits specified under this sub-paragraph shall apply, if –</w:t>
      </w:r>
    </w:p>
    <w:p w:rsidR="00A111E8" w:rsidRPr="00A111E8" w:rsidRDefault="00A111E8" w:rsidP="00A111E8">
      <w:pPr>
        <w:pStyle w:val="ListParagraph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111E8" w:rsidRPr="00916160" w:rsidRDefault="00916160" w:rsidP="00A111E8">
      <w:pPr>
        <w:numPr>
          <w:ilvl w:val="2"/>
          <w:numId w:val="4"/>
        </w:numPr>
        <w:tabs>
          <w:tab w:val="clear" w:pos="2160"/>
          <w:tab w:val="num" w:pos="-5529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6160">
        <w:rPr>
          <w:rFonts w:ascii="Arial" w:eastAsia="Times New Roman" w:hAnsi="Arial" w:cs="Arial"/>
          <w:color w:val="000000"/>
          <w:sz w:val="20"/>
          <w:szCs w:val="20"/>
        </w:rPr>
        <w:t>payment of remuneration is approved by a resolution passed by the Remuneration Committee;</w:t>
      </w:r>
    </w:p>
    <w:p w:rsidR="00A111E8" w:rsidRPr="00A111E8" w:rsidRDefault="00916160" w:rsidP="00A111E8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6160">
        <w:rPr>
          <w:rFonts w:ascii="Arial" w:eastAsia="Times New Roman" w:hAnsi="Arial" w:cs="Arial"/>
          <w:color w:val="000000"/>
          <w:sz w:val="20"/>
          <w:szCs w:val="20"/>
        </w:rPr>
        <w:t>the company has not made any default in repayment of any of its debts (including public deposits) or debentures or interest payable thereon for a continuous period of thirty days in the preceding financial year before the date of appointment of such managerial person;</w:t>
      </w:r>
    </w:p>
    <w:p w:rsidR="00916160" w:rsidRPr="00916160" w:rsidRDefault="00916160" w:rsidP="00A111E8">
      <w:pPr>
        <w:numPr>
          <w:ilvl w:val="2"/>
          <w:numId w:val="4"/>
        </w:numPr>
        <w:tabs>
          <w:tab w:val="clear" w:pos="2160"/>
          <w:tab w:val="num" w:pos="-5529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6160">
        <w:rPr>
          <w:rFonts w:ascii="Arial" w:eastAsia="Times New Roman" w:hAnsi="Arial" w:cs="Arial"/>
          <w:color w:val="000000"/>
          <w:sz w:val="20"/>
          <w:szCs w:val="20"/>
        </w:rPr>
        <w:t>a special resolution has been passed at the general meeting of the company for payment of remuneration for a period not exceeding three years; </w:t>
      </w:r>
    </w:p>
    <w:p w:rsidR="00916160" w:rsidRPr="00916160" w:rsidRDefault="00916160" w:rsidP="009161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Managerial Remuneration to Non Whole-Time</w:t>
      </w:r>
      <w:r w:rsidR="008A4552" w:rsidRPr="00916160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Directors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As per section 198 of the Companies Act, the maximum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managerial remuneration permissible is 11% of the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net profits. If we practically analyse that 11%, first 5%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percent is for the managing or whole-time directors, next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5% is for the second managing director, if there is any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and only the balance 1% is left for the non whole-time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directors.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SEBI's requirement for listed companies to have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independent directors in the Board imposes much more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obligation on the non whole-time directors. Adequate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compensation is absolutely essential to motivate the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independent directors and to ensure their greater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involvement in the company. The limits fixed under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schedule XIII may require further revision in respect of</w:t>
      </w:r>
      <w:r w:rsidR="00A111E8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the non whole-time directors.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Schedule XIII and sitting fees to Managing and</w:t>
      </w:r>
      <w:r w:rsidR="008A4552" w:rsidRPr="00916160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Whole-time directors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By virtue of the explanation given by the DCA, payment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of sitting fees to managerial personnel is also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treated as part of remuneration and in the case of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Schedule XIII appointments, no sitting fees is payable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unless specific provision is made in the appointment.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Effect of appointment in contravention of</w:t>
      </w:r>
      <w:r w:rsidR="008A4552" w:rsidRPr="00916160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Schedule XIII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Appointment in contravention to Schedule XIII,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when so declared by the Company Law Board has the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following effects:-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a) The appointee is liable to refund the entire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amount received as salaries, commission and</w:t>
      </w: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proofErr w:type="gramStart"/>
      <w:r w:rsidRPr="00916160">
        <w:rPr>
          <w:rFonts w:ascii="Arial" w:hAnsi="Arial" w:cs="Arial"/>
          <w:color w:val="231F20"/>
          <w:sz w:val="20"/>
          <w:szCs w:val="20"/>
        </w:rPr>
        <w:t>perquisites</w:t>
      </w:r>
      <w:proofErr w:type="gramEnd"/>
      <w:r w:rsidRPr="00916160">
        <w:rPr>
          <w:rFonts w:ascii="Arial" w:hAnsi="Arial" w:cs="Arial"/>
          <w:color w:val="231F20"/>
          <w:sz w:val="20"/>
          <w:szCs w:val="20"/>
        </w:rPr>
        <w:t xml:space="preserve"> received or enjoyed by him. The company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can</w:t>
      </w:r>
      <w:r w:rsidRPr="00916160">
        <w:rPr>
          <w:rFonts w:ascii="Arial" w:hAnsi="Arial" w:cs="Arial"/>
          <w:color w:val="231F20"/>
          <w:sz w:val="20"/>
          <w:szCs w:val="20"/>
        </w:rPr>
        <w:t>not waive the recovery unless approved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by the Central Government u/s 309(5b).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b) Every officer in default and the appointee are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 xml:space="preserve">liable for imprisonment </w:t>
      </w:r>
      <w:proofErr w:type="spellStart"/>
      <w:r w:rsidRPr="00916160">
        <w:rPr>
          <w:rFonts w:ascii="Arial" w:hAnsi="Arial" w:cs="Arial"/>
          <w:color w:val="231F20"/>
          <w:sz w:val="20"/>
          <w:szCs w:val="20"/>
        </w:rPr>
        <w:t>upto</w:t>
      </w:r>
      <w:proofErr w:type="spellEnd"/>
      <w:r w:rsidRPr="00916160">
        <w:rPr>
          <w:rFonts w:ascii="Arial" w:hAnsi="Arial" w:cs="Arial"/>
          <w:color w:val="231F20"/>
          <w:sz w:val="20"/>
          <w:szCs w:val="20"/>
        </w:rPr>
        <w:t xml:space="preserve"> 3 years and also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fine of Rs.500/- for every day of default.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c) The offence is not compoundable under Section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621A.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FB6AA6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Validity of appointment in case resolution authorizing the remuneration was not passed</w:t>
      </w:r>
      <w:r w:rsidR="008A4552" w:rsidRPr="00916160">
        <w:rPr>
          <w:rFonts w:ascii="Arial" w:hAnsi="Arial" w:cs="Arial"/>
          <w:b/>
          <w:bCs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b/>
          <w:bCs/>
          <w:color w:val="231F20"/>
          <w:sz w:val="20"/>
          <w:szCs w:val="20"/>
        </w:rPr>
        <w:t>within 90 days of appointment by the shareholders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7F5B9B" w:rsidRPr="00916160" w:rsidRDefault="00FB6AA6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  <w:r w:rsidRPr="00916160">
        <w:rPr>
          <w:rFonts w:ascii="Arial" w:hAnsi="Arial" w:cs="Arial"/>
          <w:color w:val="231F20"/>
          <w:sz w:val="20"/>
          <w:szCs w:val="20"/>
        </w:rPr>
        <w:t>DCA had clarified that if the Board resolution, in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respect of the remuneration package, was already filed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along with Form No.25C with the concerned ROC and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the shareholders subsequently ratified the same, then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a) the resolution in the AGM/EGM, approving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the appointment and/or remuneration, can be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passed even after the expiry of 90 days from the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date of appointment by the Board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b) the same is not required to be filed with the ROC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c) the appointment is valid and the company can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 xml:space="preserve"> </w:t>
      </w:r>
      <w:r w:rsidRPr="00916160">
        <w:rPr>
          <w:rFonts w:ascii="Arial" w:hAnsi="Arial" w:cs="Arial"/>
          <w:color w:val="231F20"/>
          <w:sz w:val="20"/>
          <w:szCs w:val="20"/>
        </w:rPr>
        <w:t>make payment of remuneration</w:t>
      </w:r>
      <w:r w:rsidR="008A4552" w:rsidRPr="00916160">
        <w:rPr>
          <w:rFonts w:ascii="Arial" w:hAnsi="Arial" w:cs="Arial"/>
          <w:color w:val="231F20"/>
          <w:sz w:val="20"/>
          <w:szCs w:val="20"/>
        </w:rPr>
        <w:t>.</w:t>
      </w: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20"/>
          <w:szCs w:val="20"/>
        </w:rPr>
      </w:pPr>
    </w:p>
    <w:p w:rsidR="008A4552" w:rsidRPr="00916160" w:rsidRDefault="008A4552" w:rsidP="00916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8A4552" w:rsidRPr="00916160" w:rsidSect="00A111E8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5490"/>
    <w:multiLevelType w:val="multilevel"/>
    <w:tmpl w:val="A18A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2CF"/>
    <w:multiLevelType w:val="hybridMultilevel"/>
    <w:tmpl w:val="26529BA2"/>
    <w:lvl w:ilvl="0" w:tplc="2368D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CCA622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plc="F8A6AEAC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7FD0C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499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945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A61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A9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4A8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36702"/>
    <w:multiLevelType w:val="hybridMultilevel"/>
    <w:tmpl w:val="F5848A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B4F3D"/>
    <w:multiLevelType w:val="hybridMultilevel"/>
    <w:tmpl w:val="3C6EA382"/>
    <w:lvl w:ilvl="0" w:tplc="A19C5654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1">
      <w:lvl w:ilvl="1">
        <w:numFmt w:val="lowerRoman"/>
        <w:lvlText w:val="%2."/>
        <w:lvlJc w:val="right"/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5B9B"/>
    <w:rsid w:val="000612DC"/>
    <w:rsid w:val="001F4586"/>
    <w:rsid w:val="00640109"/>
    <w:rsid w:val="00656FC2"/>
    <w:rsid w:val="00706085"/>
    <w:rsid w:val="007F5B9B"/>
    <w:rsid w:val="00864116"/>
    <w:rsid w:val="008A4552"/>
    <w:rsid w:val="00916160"/>
    <w:rsid w:val="00A111E8"/>
    <w:rsid w:val="00DA2763"/>
    <w:rsid w:val="00F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DC"/>
  </w:style>
  <w:style w:type="paragraph" w:styleId="Heading1">
    <w:name w:val="heading 1"/>
    <w:basedOn w:val="Normal"/>
    <w:link w:val="Heading1Char"/>
    <w:uiPriority w:val="9"/>
    <w:qFormat/>
    <w:rsid w:val="00706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6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060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6411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6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16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 Tyres</dc:creator>
  <cp:keywords/>
  <dc:description/>
  <cp:lastModifiedBy>Gupta Tyres</cp:lastModifiedBy>
  <cp:revision>6</cp:revision>
  <dcterms:created xsi:type="dcterms:W3CDTF">2014-07-29T11:37:00Z</dcterms:created>
  <dcterms:modified xsi:type="dcterms:W3CDTF">2014-07-30T08:34:00Z</dcterms:modified>
</cp:coreProperties>
</file>