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b w:val="0"/>
          <w:bCs w:val="0"/>
          <w:caps/>
          <w:color w:val="auto"/>
        </w:rPr>
        <w:id w:val="228675905"/>
        <w:docPartObj>
          <w:docPartGallery w:val="Cover Pages"/>
          <w:docPartUnique/>
        </w:docPartObj>
      </w:sdtPr>
      <w:sdtEndPr>
        <w:rPr>
          <w:rFonts w:ascii="Times New Roman" w:hAnsi="Times New Roman" w:cs="Times New Roman"/>
          <w:caps w:val="0"/>
        </w:rPr>
      </w:sdtEndPr>
      <w:sdtContent>
        <w:tbl>
          <w:tblPr>
            <w:tblStyle w:val="DarkList-Accen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9576"/>
          </w:tblGrid>
          <w:tr w:rsidR="00CB1496" w:rsidRPr="00CF2F98" w:rsidTr="00CF2F98">
            <w:trPr>
              <w:cnfStyle w:val="100000000000"/>
              <w:trHeight w:val="2880"/>
            </w:trPr>
            <w:sdt>
              <w:sdtPr>
                <w:rPr>
                  <w:b w:val="0"/>
                  <w:bCs w:val="0"/>
                  <w:caps/>
                  <w:color w:val="auto"/>
                </w:rPr>
                <w:alias w:val="Company"/>
                <w:id w:val="15524243"/>
                <w:placeholder>
                  <w:docPart w:val="BF71C482EB844713BDA52A3FAE1A9445"/>
                </w:placeholder>
                <w:dataBinding w:prefixMappings="xmlns:ns0='http://schemas.openxmlformats.org/officeDocument/2006/extended-properties'" w:xpath="/ns0:Properties[1]/ns0:Company[1]" w:storeItemID="{6668398D-A668-4E3E-A5EB-62B293D839F1}"/>
                <w:text/>
              </w:sdtPr>
              <w:sdtEndPr>
                <w:rPr>
                  <w:rFonts w:ascii="Times New Roman" w:hAnsi="Times New Roman" w:cs="Times New Roman"/>
                  <w:b/>
                  <w:bCs/>
                  <w:color w:val="FFFFFF" w:themeColor="background1"/>
                  <w:sz w:val="28"/>
                  <w:szCs w:val="28"/>
                </w:rPr>
              </w:sdtEndPr>
              <w:sdtContent>
                <w:tc>
                  <w:tcPr>
                    <w:cnfStyle w:val="001000000000"/>
                    <w:tcW w:w="5000" w:type="pct"/>
                    <w:tcBorders>
                      <w:top w:val="none" w:sz="0" w:space="0" w:color="auto"/>
                      <w:left w:val="none" w:sz="0" w:space="0" w:color="auto"/>
                      <w:bottom w:val="none" w:sz="0" w:space="0" w:color="auto"/>
                      <w:right w:val="none" w:sz="0" w:space="0" w:color="auto"/>
                    </w:tcBorders>
                    <w:shd w:val="clear" w:color="auto" w:fill="FFFFFF" w:themeFill="background1"/>
                  </w:tcPr>
                  <w:p w:rsidR="00CB1496" w:rsidRPr="00CF2F98" w:rsidRDefault="00CB1496" w:rsidP="00CB1496">
                    <w:pPr>
                      <w:pStyle w:val="NoSpacing"/>
                      <w:jc w:val="center"/>
                      <w:rPr>
                        <w:caps/>
                        <w:color w:val="auto"/>
                      </w:rPr>
                    </w:pPr>
                    <w:r w:rsidRPr="00CF2F98">
                      <w:rPr>
                        <w:rFonts w:ascii="Times New Roman" w:hAnsi="Times New Roman" w:cs="Times New Roman"/>
                        <w:caps/>
                        <w:color w:val="auto"/>
                        <w:sz w:val="28"/>
                        <w:szCs w:val="28"/>
                      </w:rPr>
                      <w:t>7TH NANI PALKHIVALA RESEARCH PAPER COMPETITION</w:t>
                    </w:r>
                  </w:p>
                </w:tc>
              </w:sdtContent>
            </w:sdt>
          </w:tr>
          <w:tr w:rsidR="00CB1496" w:rsidTr="00CF2F98">
            <w:trPr>
              <w:cnfStyle w:val="000000100000"/>
              <w:trHeight w:val="1440"/>
            </w:trPr>
            <w:sdt>
              <w:sdtPr>
                <w:rPr>
                  <w:rStyle w:val="Heading3Char"/>
                  <w:rFonts w:ascii="Times New Roman" w:hAnsi="Times New Roman" w:cs="Times New Roman"/>
                  <w:b/>
                  <w:color w:val="auto"/>
                  <w:sz w:val="28"/>
                  <w:szCs w:val="28"/>
                </w:rPr>
                <w:alias w:val="Title"/>
                <w:id w:val="15524250"/>
                <w:placeholder>
                  <w:docPart w:val="C246106A883E4028812669847F69ED5A"/>
                </w:placeholder>
                <w:dataBinding w:prefixMappings="xmlns:ns0='http://schemas.openxmlformats.org/package/2006/metadata/core-properties' xmlns:ns1='http://purl.org/dc/elements/1.1/'" w:xpath="/ns0:coreProperties[1]/ns1:title[1]" w:storeItemID="{6C3C8BC8-F283-45AE-878A-BAB7291924A1}"/>
                <w:text/>
              </w:sdtPr>
              <w:sdtContent>
                <w:tc>
                  <w:tcPr>
                    <w:cnfStyle w:val="001000000000"/>
                    <w:tcW w:w="5000" w:type="pct"/>
                    <w:tcBorders>
                      <w:top w:val="none" w:sz="0" w:space="0" w:color="auto"/>
                      <w:left w:val="none" w:sz="0" w:space="0" w:color="auto"/>
                      <w:bottom w:val="none" w:sz="0" w:space="0" w:color="auto"/>
                      <w:right w:val="none" w:sz="0" w:space="0" w:color="auto"/>
                    </w:tcBorders>
                    <w:shd w:val="clear" w:color="auto" w:fill="FFFFFF" w:themeFill="background1"/>
                  </w:tcPr>
                  <w:p w:rsidR="00CB1496" w:rsidRDefault="004F1A48" w:rsidP="004F1A48">
                    <w:pPr>
                      <w:pStyle w:val="NoSpacing"/>
                      <w:jc w:val="both"/>
                      <w:rPr>
                        <w:sz w:val="80"/>
                        <w:szCs w:val="80"/>
                      </w:rPr>
                    </w:pPr>
                    <w:r w:rsidRPr="00BA24AD">
                      <w:rPr>
                        <w:rStyle w:val="Heading3Char"/>
                        <w:rFonts w:ascii="Times New Roman" w:hAnsi="Times New Roman" w:cs="Times New Roman"/>
                        <w:b/>
                        <w:color w:val="auto"/>
                        <w:sz w:val="28"/>
                        <w:szCs w:val="28"/>
                      </w:rPr>
                      <w:t>PEIRCING THE CORPORATE VEIL IN TAXATION MATTERS (INDIA AND INTERNATIONAL TRANSACTIONS WITH REFERENCE TO DIRECT TAX CODE)</w:t>
                    </w:r>
                  </w:p>
                </w:tc>
              </w:sdtContent>
            </w:sdt>
          </w:tr>
          <w:tr w:rsidR="00CB1496" w:rsidTr="00CF2F98">
            <w:trPr>
              <w:trHeight w:val="720"/>
            </w:trPr>
            <w:tc>
              <w:tcPr>
                <w:cnfStyle w:val="001000000000"/>
                <w:tcW w:w="5000" w:type="pct"/>
                <w:tcBorders>
                  <w:left w:val="none" w:sz="0" w:space="0" w:color="auto"/>
                  <w:bottom w:val="none" w:sz="0" w:space="0" w:color="auto"/>
                  <w:right w:val="none" w:sz="0" w:space="0" w:color="auto"/>
                </w:tcBorders>
                <w:shd w:val="clear" w:color="auto" w:fill="FFFFFF" w:themeFill="background1"/>
              </w:tcPr>
              <w:p w:rsidR="00CB1496" w:rsidRPr="00CF2F98" w:rsidRDefault="00CB1496" w:rsidP="004F1A48">
                <w:pPr>
                  <w:pStyle w:val="NoSpacing"/>
                  <w:rPr>
                    <w:color w:val="auto"/>
                    <w:sz w:val="44"/>
                    <w:szCs w:val="44"/>
                  </w:rPr>
                </w:pPr>
              </w:p>
            </w:tc>
          </w:tr>
          <w:tr w:rsidR="00CB1496" w:rsidTr="00CF2F98">
            <w:trPr>
              <w:cnfStyle w:val="000000100000"/>
              <w:trHeight w:val="360"/>
            </w:trPr>
            <w:tc>
              <w:tcPr>
                <w:cnfStyle w:val="001000000000"/>
                <w:tcW w:w="5000" w:type="pct"/>
                <w:tcBorders>
                  <w:top w:val="none" w:sz="0" w:space="0" w:color="auto"/>
                  <w:left w:val="none" w:sz="0" w:space="0" w:color="auto"/>
                  <w:bottom w:val="none" w:sz="0" w:space="0" w:color="auto"/>
                  <w:right w:val="none" w:sz="0" w:space="0" w:color="auto"/>
                </w:tcBorders>
                <w:shd w:val="clear" w:color="auto" w:fill="FFFFFF" w:themeFill="background1"/>
              </w:tcPr>
              <w:p w:rsidR="00CB1496" w:rsidRPr="00CF2F98" w:rsidRDefault="004F1A48">
                <w:pPr>
                  <w:pStyle w:val="NoSpacing"/>
                  <w:jc w:val="center"/>
                  <w:rPr>
                    <w:b/>
                    <w:color w:val="auto"/>
                    <w:sz w:val="28"/>
                    <w:szCs w:val="28"/>
                  </w:rPr>
                </w:pPr>
                <w:r w:rsidRPr="00CF2F98">
                  <w:rPr>
                    <w:b/>
                    <w:color w:val="auto"/>
                    <w:sz w:val="28"/>
                    <w:szCs w:val="28"/>
                  </w:rPr>
                  <w:t>Submitted By</w:t>
                </w:r>
              </w:p>
              <w:p w:rsidR="004F1A48" w:rsidRPr="00CF2F98" w:rsidRDefault="004F1A48">
                <w:pPr>
                  <w:pStyle w:val="NoSpacing"/>
                  <w:jc w:val="center"/>
                  <w:rPr>
                    <w:b/>
                    <w:color w:val="auto"/>
                    <w:sz w:val="28"/>
                    <w:szCs w:val="28"/>
                  </w:rPr>
                </w:pPr>
              </w:p>
              <w:p w:rsidR="004F1A48" w:rsidRPr="00CF2F98" w:rsidRDefault="004F1A48">
                <w:pPr>
                  <w:pStyle w:val="NoSpacing"/>
                  <w:jc w:val="center"/>
                  <w:rPr>
                    <w:b/>
                    <w:color w:val="auto"/>
                    <w:sz w:val="28"/>
                    <w:szCs w:val="28"/>
                  </w:rPr>
                </w:pPr>
                <w:r w:rsidRPr="00CF2F98">
                  <w:rPr>
                    <w:b/>
                    <w:color w:val="auto"/>
                    <w:sz w:val="28"/>
                    <w:szCs w:val="28"/>
                  </w:rPr>
                  <w:t>Pankaj Bajpai</w:t>
                </w:r>
              </w:p>
            </w:tc>
          </w:tr>
          <w:tr w:rsidR="00CB1496" w:rsidTr="00CF2F98">
            <w:trPr>
              <w:trHeight w:val="360"/>
            </w:trPr>
            <w:sdt>
              <w:sdtPr>
                <w:rPr>
                  <w:b/>
                  <w:bCs/>
                  <w:sz w:val="28"/>
                  <w:szCs w:val="28"/>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cnfStyle w:val="001000000000"/>
                    <w:tcW w:w="5000" w:type="pct"/>
                    <w:tcBorders>
                      <w:left w:val="none" w:sz="0" w:space="0" w:color="auto"/>
                      <w:bottom w:val="none" w:sz="0" w:space="0" w:color="auto"/>
                      <w:right w:val="none" w:sz="0" w:space="0" w:color="auto"/>
                    </w:tcBorders>
                    <w:shd w:val="clear" w:color="auto" w:fill="FFFFFF" w:themeFill="background1"/>
                  </w:tcPr>
                  <w:p w:rsidR="00CB1496" w:rsidRPr="00CF2F98" w:rsidRDefault="00CB1496">
                    <w:pPr>
                      <w:pStyle w:val="NoSpacing"/>
                      <w:jc w:val="center"/>
                      <w:rPr>
                        <w:b/>
                        <w:bCs/>
                        <w:color w:val="auto"/>
                        <w:sz w:val="28"/>
                        <w:szCs w:val="28"/>
                      </w:rPr>
                    </w:pPr>
                    <w:r w:rsidRPr="00CF2F98">
                      <w:rPr>
                        <w:b/>
                        <w:bCs/>
                        <w:color w:val="auto"/>
                        <w:sz w:val="28"/>
                        <w:szCs w:val="28"/>
                      </w:rPr>
                      <w:t>Divyanshu Sehgal</w:t>
                    </w:r>
                  </w:p>
                </w:tc>
              </w:sdtContent>
            </w:sdt>
          </w:tr>
          <w:tr w:rsidR="00CB1496" w:rsidTr="00CF2F98">
            <w:trPr>
              <w:cnfStyle w:val="000000100000"/>
              <w:trHeight w:val="360"/>
            </w:trPr>
            <w:sdt>
              <w:sdtPr>
                <w:rPr>
                  <w:b/>
                  <w:bCs/>
                </w:rPr>
                <w:alias w:val="Date"/>
                <w:id w:val="516659546"/>
                <w:dataBinding w:prefixMappings="xmlns:ns0='http://schemas.microsoft.com/office/2006/coverPageProps'" w:xpath="/ns0:CoverPageProperties[1]/ns0:PublishDate[1]" w:storeItemID="{55AF091B-3C7A-41E3-B477-F2FDAA23CFDA}"/>
                <w:date w:fullDate="2011-08-25T00:00:00Z">
                  <w:dateFormat w:val="dd-MMM-yy"/>
                  <w:lid w:val="en-US"/>
                  <w:storeMappedDataAs w:val="dateTime"/>
                  <w:calendar w:val="gregorian"/>
                </w:date>
              </w:sdtPr>
              <w:sdtContent>
                <w:tc>
                  <w:tcPr>
                    <w:cnfStyle w:val="001000000000"/>
                    <w:tcW w:w="5000" w:type="pct"/>
                    <w:tcBorders>
                      <w:top w:val="none" w:sz="0" w:space="0" w:color="auto"/>
                      <w:left w:val="none" w:sz="0" w:space="0" w:color="auto"/>
                      <w:bottom w:val="none" w:sz="0" w:space="0" w:color="auto"/>
                      <w:right w:val="none" w:sz="0" w:space="0" w:color="auto"/>
                    </w:tcBorders>
                    <w:shd w:val="clear" w:color="auto" w:fill="FFFFFF" w:themeFill="background1"/>
                  </w:tcPr>
                  <w:p w:rsidR="00CB1496" w:rsidRPr="00CF2F98" w:rsidRDefault="004F1A48">
                    <w:pPr>
                      <w:pStyle w:val="NoSpacing"/>
                      <w:jc w:val="center"/>
                      <w:rPr>
                        <w:b/>
                        <w:bCs/>
                        <w:color w:val="auto"/>
                      </w:rPr>
                    </w:pPr>
                    <w:r w:rsidRPr="00CF2F98">
                      <w:rPr>
                        <w:b/>
                        <w:bCs/>
                        <w:color w:val="auto"/>
                      </w:rPr>
                      <w:t>25-Aug-11</w:t>
                    </w:r>
                  </w:p>
                </w:tc>
              </w:sdtContent>
            </w:sdt>
          </w:tr>
        </w:tbl>
        <w:p w:rsidR="00CB1496" w:rsidRDefault="00CB1496"/>
        <w:p w:rsidR="00CB1496" w:rsidRDefault="00CB1496"/>
        <w:tbl>
          <w:tblPr>
            <w:tblpPr w:leftFromText="187" w:rightFromText="187" w:horzAnchor="margin" w:tblpXSpec="center" w:tblpYSpec="bottom"/>
            <w:tblW w:w="5000" w:type="pct"/>
            <w:tblLook w:val="04A0"/>
          </w:tblPr>
          <w:tblGrid>
            <w:gridCol w:w="9576"/>
          </w:tblGrid>
          <w:tr w:rsidR="00CB1496">
            <w:tc>
              <w:tcPr>
                <w:tcW w:w="5000" w:type="pct"/>
              </w:tcPr>
              <w:p w:rsidR="00CB1496" w:rsidRDefault="00CB1496" w:rsidP="00BA24AD">
                <w:pPr>
                  <w:pStyle w:val="NoSpacing"/>
                </w:pPr>
              </w:p>
              <w:p w:rsidR="00BA24AD" w:rsidRDefault="00BA24AD" w:rsidP="00BA24AD">
                <w:pPr>
                  <w:pStyle w:val="NoSpacing"/>
                </w:pPr>
              </w:p>
              <w:p w:rsidR="00BA24AD" w:rsidRDefault="00BA24AD" w:rsidP="00BA24AD">
                <w:pPr>
                  <w:pStyle w:val="NoSpacing"/>
                </w:pPr>
              </w:p>
              <w:p w:rsidR="00BA24AD" w:rsidRDefault="00BA24AD" w:rsidP="00BA24AD">
                <w:pPr>
                  <w:pStyle w:val="NoSpacing"/>
                </w:pPr>
              </w:p>
              <w:p w:rsidR="00BA24AD" w:rsidRDefault="00BA24AD" w:rsidP="00BA24AD">
                <w:pPr>
                  <w:pStyle w:val="NoSpacing"/>
                </w:pPr>
              </w:p>
              <w:p w:rsidR="00BA24AD" w:rsidRDefault="00BA24AD" w:rsidP="00BA24AD">
                <w:pPr>
                  <w:pStyle w:val="NoSpacing"/>
                </w:pPr>
              </w:p>
              <w:p w:rsidR="00BA24AD" w:rsidRDefault="00BA24AD" w:rsidP="00BA24AD">
                <w:pPr>
                  <w:pStyle w:val="NoSpacing"/>
                </w:pPr>
              </w:p>
            </w:tc>
          </w:tr>
        </w:tbl>
        <w:p w:rsidR="00CB1496" w:rsidRDefault="00CB1496"/>
        <w:p w:rsidR="00CB1496" w:rsidRDefault="00CB1496">
          <w:pPr>
            <w:rPr>
              <w:rFonts w:ascii="Times New Roman" w:hAnsi="Times New Roman" w:cs="Times New Roman"/>
              <w:caps/>
              <w:color w:val="632423" w:themeColor="accent2" w:themeShade="80"/>
              <w:spacing w:val="20"/>
              <w:sz w:val="28"/>
              <w:szCs w:val="28"/>
            </w:rPr>
          </w:pPr>
          <w:r>
            <w:rPr>
              <w:rFonts w:ascii="Times New Roman" w:hAnsi="Times New Roman" w:cs="Times New Roman"/>
            </w:rPr>
            <w:br w:type="page"/>
          </w:r>
        </w:p>
      </w:sdtContent>
    </w:sdt>
    <w:p w:rsidR="00BA24AD" w:rsidRDefault="00BA24AD" w:rsidP="00BA24AD">
      <w:pPr>
        <w:pStyle w:val="Heading1"/>
      </w:pPr>
      <w:r>
        <w:lastRenderedPageBreak/>
        <w:t xml:space="preserve">INDEX </w:t>
      </w:r>
    </w:p>
    <w:p w:rsidR="00BA24AD" w:rsidRDefault="00BA24AD" w:rsidP="00BA24AD"/>
    <w:tbl>
      <w:tblPr>
        <w:tblStyle w:val="TableGrid"/>
        <w:tblW w:w="0" w:type="auto"/>
        <w:tblLook w:val="04A0"/>
      </w:tblPr>
      <w:tblGrid>
        <w:gridCol w:w="917"/>
        <w:gridCol w:w="6919"/>
        <w:gridCol w:w="1725"/>
      </w:tblGrid>
      <w:tr w:rsidR="00BA24AD" w:rsidTr="003C7DD5">
        <w:trPr>
          <w:trHeight w:val="620"/>
        </w:trPr>
        <w:tc>
          <w:tcPr>
            <w:tcW w:w="917" w:type="dxa"/>
          </w:tcPr>
          <w:p w:rsidR="00BA24AD" w:rsidRPr="00C3604C" w:rsidRDefault="00C3604C" w:rsidP="00C3604C">
            <w:pPr>
              <w:jc w:val="center"/>
              <w:rPr>
                <w:rFonts w:ascii="Times New Roman" w:hAnsi="Times New Roman" w:cs="Times New Roman"/>
                <w:b/>
              </w:rPr>
            </w:pPr>
            <w:r>
              <w:rPr>
                <w:rFonts w:ascii="Times New Roman" w:hAnsi="Times New Roman" w:cs="Times New Roman"/>
                <w:b/>
              </w:rPr>
              <w:t>S.NO</w:t>
            </w:r>
          </w:p>
        </w:tc>
        <w:tc>
          <w:tcPr>
            <w:tcW w:w="6919" w:type="dxa"/>
          </w:tcPr>
          <w:p w:rsidR="00BA24AD" w:rsidRPr="00C3604C" w:rsidRDefault="00C3604C" w:rsidP="00C3604C">
            <w:pPr>
              <w:jc w:val="center"/>
              <w:rPr>
                <w:rFonts w:ascii="Times New Roman" w:hAnsi="Times New Roman" w:cs="Times New Roman"/>
                <w:b/>
              </w:rPr>
            </w:pPr>
            <w:r>
              <w:rPr>
                <w:rFonts w:ascii="Times New Roman" w:hAnsi="Times New Roman" w:cs="Times New Roman"/>
                <w:b/>
              </w:rPr>
              <w:t>TOPICS COVERED</w:t>
            </w:r>
          </w:p>
        </w:tc>
        <w:tc>
          <w:tcPr>
            <w:tcW w:w="1725" w:type="dxa"/>
          </w:tcPr>
          <w:p w:rsidR="00BA24AD" w:rsidRPr="00C3604C" w:rsidRDefault="00C3604C" w:rsidP="00C3604C">
            <w:pPr>
              <w:jc w:val="center"/>
              <w:rPr>
                <w:rFonts w:ascii="Times New Roman" w:hAnsi="Times New Roman" w:cs="Times New Roman"/>
                <w:b/>
              </w:rPr>
            </w:pPr>
            <w:r>
              <w:rPr>
                <w:rFonts w:ascii="Times New Roman" w:hAnsi="Times New Roman" w:cs="Times New Roman"/>
                <w:b/>
              </w:rPr>
              <w:t>PG.NO</w:t>
            </w:r>
          </w:p>
        </w:tc>
      </w:tr>
      <w:tr w:rsidR="00BA24AD" w:rsidTr="003C7DD5">
        <w:trPr>
          <w:trHeight w:val="620"/>
        </w:trPr>
        <w:tc>
          <w:tcPr>
            <w:tcW w:w="917" w:type="dxa"/>
          </w:tcPr>
          <w:p w:rsidR="00BA24AD" w:rsidRDefault="00BA24AD" w:rsidP="00C3604C">
            <w:pPr>
              <w:jc w:val="center"/>
              <w:rPr>
                <w:rFonts w:ascii="Times New Roman" w:hAnsi="Times New Roman" w:cs="Times New Roman"/>
              </w:rPr>
            </w:pPr>
          </w:p>
          <w:p w:rsidR="00C3604C" w:rsidRPr="00C3604C" w:rsidRDefault="00C3604C" w:rsidP="00C3604C">
            <w:pPr>
              <w:jc w:val="center"/>
              <w:rPr>
                <w:rFonts w:ascii="Times New Roman" w:hAnsi="Times New Roman" w:cs="Times New Roman"/>
              </w:rPr>
            </w:pPr>
            <w:r>
              <w:rPr>
                <w:rFonts w:ascii="Times New Roman" w:hAnsi="Times New Roman" w:cs="Times New Roman"/>
              </w:rPr>
              <w:t>1</w:t>
            </w:r>
          </w:p>
        </w:tc>
        <w:tc>
          <w:tcPr>
            <w:tcW w:w="6919" w:type="dxa"/>
          </w:tcPr>
          <w:p w:rsidR="00BA24AD" w:rsidRDefault="00BA24AD" w:rsidP="00C3604C">
            <w:pPr>
              <w:rPr>
                <w:rFonts w:ascii="Times New Roman" w:hAnsi="Times New Roman" w:cs="Times New Roman"/>
              </w:rPr>
            </w:pPr>
          </w:p>
          <w:p w:rsidR="00C3604C" w:rsidRPr="00C3604C" w:rsidRDefault="00C3604C" w:rsidP="00C3604C">
            <w:pPr>
              <w:rPr>
                <w:rFonts w:ascii="Times New Roman" w:hAnsi="Times New Roman" w:cs="Times New Roman"/>
              </w:rPr>
            </w:pPr>
            <w:r>
              <w:rPr>
                <w:rFonts w:ascii="Times New Roman" w:hAnsi="Times New Roman" w:cs="Times New Roman"/>
              </w:rPr>
              <w:t>Introduction</w:t>
            </w:r>
          </w:p>
        </w:tc>
        <w:tc>
          <w:tcPr>
            <w:tcW w:w="1725" w:type="dxa"/>
          </w:tcPr>
          <w:p w:rsidR="00BA24AD" w:rsidRDefault="00BA24AD" w:rsidP="00C3604C">
            <w:pPr>
              <w:jc w:val="center"/>
              <w:rPr>
                <w:rFonts w:ascii="Times New Roman" w:hAnsi="Times New Roman" w:cs="Times New Roman"/>
              </w:rPr>
            </w:pPr>
          </w:p>
          <w:p w:rsidR="00C3604C" w:rsidRPr="00C3604C" w:rsidRDefault="003C7DD5" w:rsidP="00C3604C">
            <w:pPr>
              <w:jc w:val="center"/>
              <w:rPr>
                <w:rFonts w:ascii="Times New Roman" w:hAnsi="Times New Roman" w:cs="Times New Roman"/>
              </w:rPr>
            </w:pPr>
            <w:r>
              <w:rPr>
                <w:rFonts w:ascii="Times New Roman" w:hAnsi="Times New Roman" w:cs="Times New Roman"/>
              </w:rPr>
              <w:t>3-4</w:t>
            </w:r>
          </w:p>
        </w:tc>
      </w:tr>
      <w:tr w:rsidR="00BA24AD" w:rsidTr="003C7DD5">
        <w:trPr>
          <w:trHeight w:val="620"/>
        </w:trPr>
        <w:tc>
          <w:tcPr>
            <w:tcW w:w="917" w:type="dxa"/>
          </w:tcPr>
          <w:p w:rsidR="00BA24AD" w:rsidRDefault="00BA24AD" w:rsidP="00C3604C">
            <w:pPr>
              <w:jc w:val="center"/>
              <w:rPr>
                <w:rFonts w:ascii="Times New Roman" w:hAnsi="Times New Roman" w:cs="Times New Roman"/>
              </w:rPr>
            </w:pPr>
          </w:p>
          <w:p w:rsidR="00C3604C" w:rsidRPr="00C3604C" w:rsidRDefault="00C3604C" w:rsidP="00C3604C">
            <w:pPr>
              <w:jc w:val="center"/>
              <w:rPr>
                <w:rFonts w:ascii="Times New Roman" w:hAnsi="Times New Roman" w:cs="Times New Roman"/>
              </w:rPr>
            </w:pPr>
            <w:r>
              <w:rPr>
                <w:rFonts w:ascii="Times New Roman" w:hAnsi="Times New Roman" w:cs="Times New Roman"/>
              </w:rPr>
              <w:t>2</w:t>
            </w:r>
          </w:p>
        </w:tc>
        <w:tc>
          <w:tcPr>
            <w:tcW w:w="6919" w:type="dxa"/>
          </w:tcPr>
          <w:p w:rsidR="00BA24AD" w:rsidRDefault="00BA24AD" w:rsidP="00C3604C">
            <w:pPr>
              <w:rPr>
                <w:rFonts w:ascii="Times New Roman" w:hAnsi="Times New Roman" w:cs="Times New Roman"/>
              </w:rPr>
            </w:pPr>
          </w:p>
          <w:p w:rsidR="00C3604C" w:rsidRPr="00C3604C" w:rsidRDefault="00C3604C" w:rsidP="00C3604C">
            <w:pPr>
              <w:rPr>
                <w:rFonts w:ascii="Times New Roman" w:hAnsi="Times New Roman" w:cs="Times New Roman"/>
              </w:rPr>
            </w:pPr>
            <w:r>
              <w:rPr>
                <w:rFonts w:ascii="Times New Roman" w:hAnsi="Times New Roman" w:cs="Times New Roman"/>
              </w:rPr>
              <w:t>Piercing the corporate veil: A general trend</w:t>
            </w:r>
          </w:p>
        </w:tc>
        <w:tc>
          <w:tcPr>
            <w:tcW w:w="1725" w:type="dxa"/>
          </w:tcPr>
          <w:p w:rsidR="00BA24AD" w:rsidRDefault="00BA24AD" w:rsidP="00C3604C">
            <w:pPr>
              <w:jc w:val="center"/>
              <w:rPr>
                <w:rFonts w:ascii="Times New Roman" w:hAnsi="Times New Roman" w:cs="Times New Roman"/>
              </w:rPr>
            </w:pPr>
          </w:p>
          <w:p w:rsidR="00C3604C" w:rsidRPr="00C3604C" w:rsidRDefault="003C7DD5" w:rsidP="00C3604C">
            <w:pPr>
              <w:jc w:val="center"/>
              <w:rPr>
                <w:rFonts w:ascii="Times New Roman" w:hAnsi="Times New Roman" w:cs="Times New Roman"/>
              </w:rPr>
            </w:pPr>
            <w:r>
              <w:rPr>
                <w:rFonts w:ascii="Times New Roman" w:hAnsi="Times New Roman" w:cs="Times New Roman"/>
              </w:rPr>
              <w:t>5</w:t>
            </w:r>
          </w:p>
        </w:tc>
      </w:tr>
      <w:tr w:rsidR="00BA24AD" w:rsidTr="003C7DD5">
        <w:trPr>
          <w:trHeight w:val="620"/>
        </w:trPr>
        <w:tc>
          <w:tcPr>
            <w:tcW w:w="917" w:type="dxa"/>
          </w:tcPr>
          <w:p w:rsidR="00BA24AD" w:rsidRDefault="00BA24AD" w:rsidP="00C3604C">
            <w:pPr>
              <w:jc w:val="center"/>
              <w:rPr>
                <w:rFonts w:ascii="Times New Roman" w:hAnsi="Times New Roman" w:cs="Times New Roman"/>
              </w:rPr>
            </w:pPr>
          </w:p>
          <w:p w:rsidR="00C3604C" w:rsidRPr="00C3604C" w:rsidRDefault="00C3604C" w:rsidP="00C3604C">
            <w:pPr>
              <w:jc w:val="center"/>
              <w:rPr>
                <w:rFonts w:ascii="Times New Roman" w:hAnsi="Times New Roman" w:cs="Times New Roman"/>
              </w:rPr>
            </w:pPr>
            <w:r>
              <w:rPr>
                <w:rFonts w:ascii="Times New Roman" w:hAnsi="Times New Roman" w:cs="Times New Roman"/>
              </w:rPr>
              <w:t>3</w:t>
            </w:r>
          </w:p>
        </w:tc>
        <w:tc>
          <w:tcPr>
            <w:tcW w:w="6919" w:type="dxa"/>
          </w:tcPr>
          <w:p w:rsidR="00BA24AD" w:rsidRDefault="00BA24AD" w:rsidP="00C3604C">
            <w:pPr>
              <w:rPr>
                <w:rFonts w:ascii="Times New Roman" w:hAnsi="Times New Roman" w:cs="Times New Roman"/>
              </w:rPr>
            </w:pPr>
          </w:p>
          <w:p w:rsidR="00C3604C" w:rsidRPr="00C3604C" w:rsidRDefault="005B3316" w:rsidP="00C3604C">
            <w:pPr>
              <w:rPr>
                <w:rFonts w:ascii="Times New Roman" w:hAnsi="Times New Roman" w:cs="Times New Roman"/>
              </w:rPr>
            </w:pPr>
            <w:r>
              <w:rPr>
                <w:rFonts w:ascii="Times New Roman" w:hAnsi="Times New Roman" w:cs="Times New Roman"/>
              </w:rPr>
              <w:t>Piercing the corporate veil in taxation matters</w:t>
            </w:r>
          </w:p>
        </w:tc>
        <w:tc>
          <w:tcPr>
            <w:tcW w:w="1725" w:type="dxa"/>
          </w:tcPr>
          <w:p w:rsidR="00BA24AD" w:rsidRDefault="00BA24AD" w:rsidP="00C3604C">
            <w:pPr>
              <w:jc w:val="center"/>
              <w:rPr>
                <w:rFonts w:ascii="Times New Roman" w:hAnsi="Times New Roman" w:cs="Times New Roman"/>
              </w:rPr>
            </w:pPr>
          </w:p>
          <w:p w:rsidR="00C3604C" w:rsidRPr="00C3604C" w:rsidRDefault="003C7DD5" w:rsidP="00C3604C">
            <w:pPr>
              <w:jc w:val="center"/>
              <w:rPr>
                <w:rFonts w:ascii="Times New Roman" w:hAnsi="Times New Roman" w:cs="Times New Roman"/>
              </w:rPr>
            </w:pPr>
            <w:r>
              <w:rPr>
                <w:rFonts w:ascii="Times New Roman" w:hAnsi="Times New Roman" w:cs="Times New Roman"/>
              </w:rPr>
              <w:t>6-7</w:t>
            </w:r>
          </w:p>
        </w:tc>
      </w:tr>
      <w:tr w:rsidR="00B95F15" w:rsidTr="00CE7DAE">
        <w:trPr>
          <w:trHeight w:val="620"/>
        </w:trPr>
        <w:tc>
          <w:tcPr>
            <w:tcW w:w="917" w:type="dxa"/>
            <w:vMerge w:val="restart"/>
          </w:tcPr>
          <w:p w:rsidR="00B95F15" w:rsidRDefault="00B95F15" w:rsidP="00C3604C">
            <w:pPr>
              <w:jc w:val="center"/>
              <w:rPr>
                <w:rFonts w:ascii="Times New Roman" w:hAnsi="Times New Roman" w:cs="Times New Roman"/>
              </w:rPr>
            </w:pPr>
          </w:p>
          <w:p w:rsidR="00B95F15" w:rsidRPr="00C3604C" w:rsidRDefault="00B95F15" w:rsidP="00C3604C">
            <w:pPr>
              <w:jc w:val="center"/>
              <w:rPr>
                <w:rFonts w:ascii="Times New Roman" w:hAnsi="Times New Roman" w:cs="Times New Roman"/>
              </w:rPr>
            </w:pPr>
            <w:r>
              <w:rPr>
                <w:rFonts w:ascii="Times New Roman" w:hAnsi="Times New Roman" w:cs="Times New Roman"/>
              </w:rPr>
              <w:t>4</w:t>
            </w:r>
          </w:p>
        </w:tc>
        <w:tc>
          <w:tcPr>
            <w:tcW w:w="8644" w:type="dxa"/>
            <w:gridSpan w:val="2"/>
          </w:tcPr>
          <w:p w:rsidR="00B95F15" w:rsidRDefault="00B95F15" w:rsidP="00C3604C">
            <w:pPr>
              <w:rPr>
                <w:rFonts w:ascii="Times New Roman" w:hAnsi="Times New Roman" w:cs="Times New Roman"/>
              </w:rPr>
            </w:pPr>
          </w:p>
          <w:p w:rsidR="00B95F15" w:rsidRPr="00C3604C" w:rsidRDefault="00D55787" w:rsidP="00B95F15">
            <w:pPr>
              <w:rPr>
                <w:rFonts w:ascii="Times New Roman" w:hAnsi="Times New Roman" w:cs="Times New Roman"/>
              </w:rPr>
            </w:pPr>
            <w:r>
              <w:rPr>
                <w:rFonts w:ascii="Times New Roman" w:hAnsi="Times New Roman" w:cs="Times New Roman"/>
              </w:rPr>
              <w:t>A</w:t>
            </w:r>
            <w:r w:rsidR="00B95F15">
              <w:rPr>
                <w:rFonts w:ascii="Times New Roman" w:hAnsi="Times New Roman" w:cs="Times New Roman"/>
              </w:rPr>
              <w:t xml:space="preserve">nalysis of various taxable transactions                                                  </w:t>
            </w:r>
            <w:r>
              <w:rPr>
                <w:rFonts w:ascii="Times New Roman" w:hAnsi="Times New Roman" w:cs="Times New Roman"/>
              </w:rPr>
              <w:t xml:space="preserve">                     </w:t>
            </w:r>
            <w:r w:rsidR="00B95F15">
              <w:rPr>
                <w:rFonts w:ascii="Times New Roman" w:hAnsi="Times New Roman" w:cs="Times New Roman"/>
              </w:rPr>
              <w:t xml:space="preserve"> 8-17</w:t>
            </w:r>
          </w:p>
        </w:tc>
      </w:tr>
      <w:tr w:rsidR="00B95F15" w:rsidTr="003C7DD5">
        <w:trPr>
          <w:trHeight w:val="620"/>
        </w:trPr>
        <w:tc>
          <w:tcPr>
            <w:tcW w:w="917" w:type="dxa"/>
            <w:vMerge/>
          </w:tcPr>
          <w:p w:rsidR="00B95F15" w:rsidRDefault="00B95F15" w:rsidP="00C3604C">
            <w:pPr>
              <w:jc w:val="center"/>
              <w:rPr>
                <w:rFonts w:ascii="Times New Roman" w:hAnsi="Times New Roman" w:cs="Times New Roman"/>
              </w:rPr>
            </w:pPr>
          </w:p>
        </w:tc>
        <w:tc>
          <w:tcPr>
            <w:tcW w:w="6919" w:type="dxa"/>
          </w:tcPr>
          <w:p w:rsidR="00B95F15" w:rsidRDefault="00B95F15" w:rsidP="00C3604C">
            <w:pPr>
              <w:rPr>
                <w:rFonts w:ascii="Times New Roman" w:hAnsi="Times New Roman" w:cs="Times New Roman"/>
              </w:rPr>
            </w:pPr>
          </w:p>
          <w:p w:rsidR="00B95F15" w:rsidRDefault="00B95F15" w:rsidP="00C3604C">
            <w:pPr>
              <w:rPr>
                <w:rFonts w:ascii="Times New Roman" w:hAnsi="Times New Roman" w:cs="Times New Roman"/>
              </w:rPr>
            </w:pPr>
            <w:r>
              <w:rPr>
                <w:rFonts w:ascii="Times New Roman" w:hAnsi="Times New Roman" w:cs="Times New Roman"/>
              </w:rPr>
              <w:t>Dividend</w:t>
            </w:r>
          </w:p>
        </w:tc>
        <w:tc>
          <w:tcPr>
            <w:tcW w:w="1725" w:type="dxa"/>
          </w:tcPr>
          <w:p w:rsidR="00B95F15" w:rsidRDefault="00B95F15" w:rsidP="00C3604C">
            <w:pPr>
              <w:jc w:val="center"/>
              <w:rPr>
                <w:rFonts w:ascii="Times New Roman" w:hAnsi="Times New Roman" w:cs="Times New Roman"/>
              </w:rPr>
            </w:pPr>
          </w:p>
          <w:p w:rsidR="00B95F15" w:rsidRDefault="00B95F15" w:rsidP="00C3604C">
            <w:pPr>
              <w:jc w:val="center"/>
              <w:rPr>
                <w:rFonts w:ascii="Times New Roman" w:hAnsi="Times New Roman" w:cs="Times New Roman"/>
              </w:rPr>
            </w:pPr>
            <w:r>
              <w:rPr>
                <w:rFonts w:ascii="Times New Roman" w:hAnsi="Times New Roman" w:cs="Times New Roman"/>
              </w:rPr>
              <w:t>9-10</w:t>
            </w:r>
          </w:p>
        </w:tc>
      </w:tr>
      <w:tr w:rsidR="00B95F15" w:rsidTr="003C7DD5">
        <w:trPr>
          <w:trHeight w:val="620"/>
        </w:trPr>
        <w:tc>
          <w:tcPr>
            <w:tcW w:w="917" w:type="dxa"/>
            <w:vMerge/>
          </w:tcPr>
          <w:p w:rsidR="00B95F15" w:rsidRDefault="00B95F15" w:rsidP="00C3604C">
            <w:pPr>
              <w:jc w:val="center"/>
              <w:rPr>
                <w:rFonts w:ascii="Times New Roman" w:hAnsi="Times New Roman" w:cs="Times New Roman"/>
              </w:rPr>
            </w:pPr>
          </w:p>
        </w:tc>
        <w:tc>
          <w:tcPr>
            <w:tcW w:w="6919" w:type="dxa"/>
          </w:tcPr>
          <w:p w:rsidR="00B95F15" w:rsidRDefault="00B95F15" w:rsidP="00C3604C">
            <w:pPr>
              <w:rPr>
                <w:rFonts w:ascii="Times New Roman" w:hAnsi="Times New Roman" w:cs="Times New Roman"/>
              </w:rPr>
            </w:pPr>
          </w:p>
          <w:p w:rsidR="00B95F15" w:rsidRDefault="00B95F15" w:rsidP="00C3604C">
            <w:pPr>
              <w:rPr>
                <w:rFonts w:ascii="Times New Roman" w:hAnsi="Times New Roman" w:cs="Times New Roman"/>
              </w:rPr>
            </w:pPr>
            <w:r>
              <w:rPr>
                <w:rFonts w:ascii="Times New Roman" w:hAnsi="Times New Roman" w:cs="Times New Roman"/>
              </w:rPr>
              <w:t>Appreciation or depreciation in value of foreign currency</w:t>
            </w:r>
          </w:p>
        </w:tc>
        <w:tc>
          <w:tcPr>
            <w:tcW w:w="1725" w:type="dxa"/>
          </w:tcPr>
          <w:p w:rsidR="00B95F15" w:rsidRDefault="00B95F15" w:rsidP="00C3604C">
            <w:pPr>
              <w:jc w:val="center"/>
              <w:rPr>
                <w:rFonts w:ascii="Times New Roman" w:hAnsi="Times New Roman" w:cs="Times New Roman"/>
              </w:rPr>
            </w:pPr>
          </w:p>
          <w:p w:rsidR="00B95F15" w:rsidRDefault="00B95F15" w:rsidP="00C3604C">
            <w:pPr>
              <w:jc w:val="center"/>
              <w:rPr>
                <w:rFonts w:ascii="Times New Roman" w:hAnsi="Times New Roman" w:cs="Times New Roman"/>
              </w:rPr>
            </w:pPr>
            <w:r>
              <w:rPr>
                <w:rFonts w:ascii="Times New Roman" w:hAnsi="Times New Roman" w:cs="Times New Roman"/>
              </w:rPr>
              <w:t>11</w:t>
            </w:r>
          </w:p>
        </w:tc>
      </w:tr>
      <w:tr w:rsidR="00B95F15" w:rsidTr="003C7DD5">
        <w:trPr>
          <w:trHeight w:val="620"/>
        </w:trPr>
        <w:tc>
          <w:tcPr>
            <w:tcW w:w="917" w:type="dxa"/>
            <w:vMerge/>
          </w:tcPr>
          <w:p w:rsidR="00B95F15" w:rsidRDefault="00B95F15" w:rsidP="00C3604C">
            <w:pPr>
              <w:jc w:val="center"/>
              <w:rPr>
                <w:rFonts w:ascii="Times New Roman" w:hAnsi="Times New Roman" w:cs="Times New Roman"/>
              </w:rPr>
            </w:pPr>
          </w:p>
        </w:tc>
        <w:tc>
          <w:tcPr>
            <w:tcW w:w="6919" w:type="dxa"/>
          </w:tcPr>
          <w:p w:rsidR="00B95F15" w:rsidRDefault="00B95F15" w:rsidP="00C3604C">
            <w:pPr>
              <w:rPr>
                <w:rFonts w:ascii="Times New Roman" w:hAnsi="Times New Roman" w:cs="Times New Roman"/>
              </w:rPr>
            </w:pPr>
          </w:p>
          <w:p w:rsidR="00B95F15" w:rsidRDefault="00B95F15" w:rsidP="00C3604C">
            <w:pPr>
              <w:rPr>
                <w:rFonts w:ascii="Times New Roman" w:hAnsi="Times New Roman" w:cs="Times New Roman"/>
              </w:rPr>
            </w:pPr>
            <w:r>
              <w:rPr>
                <w:rFonts w:ascii="Times New Roman" w:hAnsi="Times New Roman" w:cs="Times New Roman"/>
              </w:rPr>
              <w:t>Reduction in share capital</w:t>
            </w:r>
          </w:p>
        </w:tc>
        <w:tc>
          <w:tcPr>
            <w:tcW w:w="1725" w:type="dxa"/>
          </w:tcPr>
          <w:p w:rsidR="00B95F15" w:rsidRDefault="00B95F15" w:rsidP="00C3604C">
            <w:pPr>
              <w:jc w:val="center"/>
              <w:rPr>
                <w:rFonts w:ascii="Times New Roman" w:hAnsi="Times New Roman" w:cs="Times New Roman"/>
              </w:rPr>
            </w:pPr>
          </w:p>
          <w:p w:rsidR="00B95F15" w:rsidRDefault="00B95F15" w:rsidP="00C3604C">
            <w:pPr>
              <w:jc w:val="center"/>
              <w:rPr>
                <w:rFonts w:ascii="Times New Roman" w:hAnsi="Times New Roman" w:cs="Times New Roman"/>
              </w:rPr>
            </w:pPr>
            <w:r>
              <w:rPr>
                <w:rFonts w:ascii="Times New Roman" w:hAnsi="Times New Roman" w:cs="Times New Roman"/>
              </w:rPr>
              <w:t>12</w:t>
            </w:r>
          </w:p>
        </w:tc>
      </w:tr>
      <w:tr w:rsidR="00B95F15" w:rsidTr="003C7DD5">
        <w:trPr>
          <w:trHeight w:val="620"/>
        </w:trPr>
        <w:tc>
          <w:tcPr>
            <w:tcW w:w="917" w:type="dxa"/>
            <w:vMerge/>
          </w:tcPr>
          <w:p w:rsidR="00B95F15" w:rsidRDefault="00B95F15" w:rsidP="00C3604C">
            <w:pPr>
              <w:jc w:val="center"/>
              <w:rPr>
                <w:rFonts w:ascii="Times New Roman" w:hAnsi="Times New Roman" w:cs="Times New Roman"/>
              </w:rPr>
            </w:pPr>
          </w:p>
        </w:tc>
        <w:tc>
          <w:tcPr>
            <w:tcW w:w="6919" w:type="dxa"/>
          </w:tcPr>
          <w:p w:rsidR="00B95F15" w:rsidRDefault="00B95F15" w:rsidP="00C3604C">
            <w:pPr>
              <w:rPr>
                <w:rFonts w:ascii="Times New Roman" w:hAnsi="Times New Roman" w:cs="Times New Roman"/>
              </w:rPr>
            </w:pPr>
          </w:p>
          <w:p w:rsidR="00B95F15" w:rsidRDefault="00B95F15" w:rsidP="00C3604C">
            <w:pPr>
              <w:rPr>
                <w:rFonts w:ascii="Times New Roman" w:hAnsi="Times New Roman" w:cs="Times New Roman"/>
              </w:rPr>
            </w:pPr>
            <w:r>
              <w:rPr>
                <w:rFonts w:ascii="Times New Roman" w:hAnsi="Times New Roman" w:cs="Times New Roman"/>
              </w:rPr>
              <w:t>Depreciation in the value of assets</w:t>
            </w:r>
          </w:p>
        </w:tc>
        <w:tc>
          <w:tcPr>
            <w:tcW w:w="1725" w:type="dxa"/>
          </w:tcPr>
          <w:p w:rsidR="00B95F15" w:rsidRDefault="00B95F15" w:rsidP="00C3604C">
            <w:pPr>
              <w:jc w:val="center"/>
              <w:rPr>
                <w:rFonts w:ascii="Times New Roman" w:hAnsi="Times New Roman" w:cs="Times New Roman"/>
              </w:rPr>
            </w:pPr>
          </w:p>
          <w:p w:rsidR="00B95F15" w:rsidRDefault="00B95F15" w:rsidP="00C3604C">
            <w:pPr>
              <w:jc w:val="center"/>
              <w:rPr>
                <w:rFonts w:ascii="Times New Roman" w:hAnsi="Times New Roman" w:cs="Times New Roman"/>
              </w:rPr>
            </w:pPr>
            <w:r>
              <w:rPr>
                <w:rFonts w:ascii="Times New Roman" w:hAnsi="Times New Roman" w:cs="Times New Roman"/>
              </w:rPr>
              <w:t>13-14</w:t>
            </w:r>
          </w:p>
        </w:tc>
      </w:tr>
      <w:tr w:rsidR="00B95F15" w:rsidTr="003C7DD5">
        <w:trPr>
          <w:trHeight w:val="620"/>
        </w:trPr>
        <w:tc>
          <w:tcPr>
            <w:tcW w:w="917" w:type="dxa"/>
            <w:vMerge/>
          </w:tcPr>
          <w:p w:rsidR="00B95F15" w:rsidRDefault="00B95F15" w:rsidP="00C3604C">
            <w:pPr>
              <w:jc w:val="center"/>
              <w:rPr>
                <w:rFonts w:ascii="Times New Roman" w:hAnsi="Times New Roman" w:cs="Times New Roman"/>
              </w:rPr>
            </w:pPr>
          </w:p>
        </w:tc>
        <w:tc>
          <w:tcPr>
            <w:tcW w:w="6919" w:type="dxa"/>
          </w:tcPr>
          <w:p w:rsidR="00B95F15" w:rsidRDefault="00B95F15" w:rsidP="00C3604C">
            <w:pPr>
              <w:rPr>
                <w:rFonts w:ascii="Times New Roman" w:hAnsi="Times New Roman" w:cs="Times New Roman"/>
              </w:rPr>
            </w:pPr>
          </w:p>
          <w:p w:rsidR="00B95F15" w:rsidRDefault="00B95F15" w:rsidP="00C3604C">
            <w:pPr>
              <w:rPr>
                <w:rFonts w:ascii="Times New Roman" w:hAnsi="Times New Roman" w:cs="Times New Roman"/>
              </w:rPr>
            </w:pPr>
            <w:r>
              <w:rPr>
                <w:rFonts w:ascii="Times New Roman" w:hAnsi="Times New Roman" w:cs="Times New Roman"/>
              </w:rPr>
              <w:t>Clubbing of income</w:t>
            </w:r>
          </w:p>
        </w:tc>
        <w:tc>
          <w:tcPr>
            <w:tcW w:w="1725" w:type="dxa"/>
          </w:tcPr>
          <w:p w:rsidR="00B95F15" w:rsidRDefault="00B95F15" w:rsidP="00C3604C">
            <w:pPr>
              <w:jc w:val="center"/>
              <w:rPr>
                <w:rFonts w:ascii="Times New Roman" w:hAnsi="Times New Roman" w:cs="Times New Roman"/>
              </w:rPr>
            </w:pPr>
          </w:p>
          <w:p w:rsidR="00B95F15" w:rsidRDefault="00B95F15" w:rsidP="00C3604C">
            <w:pPr>
              <w:jc w:val="center"/>
              <w:rPr>
                <w:rFonts w:ascii="Times New Roman" w:hAnsi="Times New Roman" w:cs="Times New Roman"/>
              </w:rPr>
            </w:pPr>
            <w:r>
              <w:rPr>
                <w:rFonts w:ascii="Times New Roman" w:hAnsi="Times New Roman" w:cs="Times New Roman"/>
              </w:rPr>
              <w:t>15-16</w:t>
            </w:r>
          </w:p>
        </w:tc>
      </w:tr>
      <w:tr w:rsidR="00B95F15" w:rsidTr="003C7DD5">
        <w:trPr>
          <w:trHeight w:val="620"/>
        </w:trPr>
        <w:tc>
          <w:tcPr>
            <w:tcW w:w="917" w:type="dxa"/>
            <w:vMerge/>
          </w:tcPr>
          <w:p w:rsidR="00B95F15" w:rsidRDefault="00B95F15" w:rsidP="00C3604C">
            <w:pPr>
              <w:jc w:val="center"/>
              <w:rPr>
                <w:rFonts w:ascii="Times New Roman" w:hAnsi="Times New Roman" w:cs="Times New Roman"/>
              </w:rPr>
            </w:pPr>
          </w:p>
        </w:tc>
        <w:tc>
          <w:tcPr>
            <w:tcW w:w="6919" w:type="dxa"/>
          </w:tcPr>
          <w:p w:rsidR="00B95F15" w:rsidRDefault="00B95F15" w:rsidP="00C3604C">
            <w:pPr>
              <w:rPr>
                <w:rFonts w:ascii="Times New Roman" w:hAnsi="Times New Roman" w:cs="Times New Roman"/>
              </w:rPr>
            </w:pPr>
          </w:p>
          <w:p w:rsidR="00B95F15" w:rsidRDefault="00B95F15" w:rsidP="00C3604C">
            <w:pPr>
              <w:rPr>
                <w:rFonts w:ascii="Times New Roman" w:hAnsi="Times New Roman" w:cs="Times New Roman"/>
              </w:rPr>
            </w:pPr>
            <w:r>
              <w:rPr>
                <w:rFonts w:ascii="Times New Roman" w:hAnsi="Times New Roman" w:cs="Times New Roman"/>
              </w:rPr>
              <w:t>Selling for cash</w:t>
            </w:r>
          </w:p>
        </w:tc>
        <w:tc>
          <w:tcPr>
            <w:tcW w:w="1725" w:type="dxa"/>
          </w:tcPr>
          <w:p w:rsidR="00B95F15" w:rsidRDefault="00B95F15" w:rsidP="00C3604C">
            <w:pPr>
              <w:jc w:val="center"/>
              <w:rPr>
                <w:rFonts w:ascii="Times New Roman" w:hAnsi="Times New Roman" w:cs="Times New Roman"/>
              </w:rPr>
            </w:pPr>
          </w:p>
          <w:p w:rsidR="00B95F15" w:rsidRDefault="00B95F15" w:rsidP="00C3604C">
            <w:pPr>
              <w:jc w:val="center"/>
              <w:rPr>
                <w:rFonts w:ascii="Times New Roman" w:hAnsi="Times New Roman" w:cs="Times New Roman"/>
              </w:rPr>
            </w:pPr>
            <w:r>
              <w:rPr>
                <w:rFonts w:ascii="Times New Roman" w:hAnsi="Times New Roman" w:cs="Times New Roman"/>
              </w:rPr>
              <w:t>17</w:t>
            </w:r>
          </w:p>
        </w:tc>
      </w:tr>
      <w:tr w:rsidR="00BA24AD" w:rsidTr="003C7DD5">
        <w:trPr>
          <w:trHeight w:val="620"/>
        </w:trPr>
        <w:tc>
          <w:tcPr>
            <w:tcW w:w="917" w:type="dxa"/>
          </w:tcPr>
          <w:p w:rsidR="00BA24AD" w:rsidRDefault="00BA24AD" w:rsidP="00C3604C">
            <w:pPr>
              <w:jc w:val="center"/>
              <w:rPr>
                <w:rFonts w:ascii="Times New Roman" w:hAnsi="Times New Roman" w:cs="Times New Roman"/>
              </w:rPr>
            </w:pPr>
          </w:p>
          <w:p w:rsidR="00C3604C" w:rsidRPr="00C3604C" w:rsidRDefault="00C3604C" w:rsidP="00C3604C">
            <w:pPr>
              <w:jc w:val="center"/>
              <w:rPr>
                <w:rFonts w:ascii="Times New Roman" w:hAnsi="Times New Roman" w:cs="Times New Roman"/>
              </w:rPr>
            </w:pPr>
            <w:r>
              <w:rPr>
                <w:rFonts w:ascii="Times New Roman" w:hAnsi="Times New Roman" w:cs="Times New Roman"/>
              </w:rPr>
              <w:t>5</w:t>
            </w:r>
          </w:p>
        </w:tc>
        <w:tc>
          <w:tcPr>
            <w:tcW w:w="6919" w:type="dxa"/>
          </w:tcPr>
          <w:p w:rsidR="00BA24AD" w:rsidRDefault="00BA24AD" w:rsidP="00C3604C">
            <w:pPr>
              <w:rPr>
                <w:rFonts w:ascii="Times New Roman" w:hAnsi="Times New Roman" w:cs="Times New Roman"/>
              </w:rPr>
            </w:pPr>
          </w:p>
          <w:p w:rsidR="00C3604C" w:rsidRPr="00C3604C" w:rsidRDefault="005B3316" w:rsidP="00C3604C">
            <w:pPr>
              <w:rPr>
                <w:rFonts w:ascii="Times New Roman" w:hAnsi="Times New Roman" w:cs="Times New Roman"/>
              </w:rPr>
            </w:pPr>
            <w:r>
              <w:rPr>
                <w:rFonts w:ascii="Times New Roman" w:hAnsi="Times New Roman" w:cs="Times New Roman"/>
              </w:rPr>
              <w:t>GAAR</w:t>
            </w:r>
          </w:p>
        </w:tc>
        <w:tc>
          <w:tcPr>
            <w:tcW w:w="1725" w:type="dxa"/>
          </w:tcPr>
          <w:p w:rsidR="00BA24AD" w:rsidRDefault="00BA24AD" w:rsidP="00C3604C">
            <w:pPr>
              <w:jc w:val="center"/>
              <w:rPr>
                <w:rFonts w:ascii="Times New Roman" w:hAnsi="Times New Roman" w:cs="Times New Roman"/>
              </w:rPr>
            </w:pPr>
          </w:p>
          <w:p w:rsidR="00C3604C" w:rsidRPr="00C3604C" w:rsidRDefault="003C7DD5" w:rsidP="00C3604C">
            <w:pPr>
              <w:jc w:val="center"/>
              <w:rPr>
                <w:rFonts w:ascii="Times New Roman" w:hAnsi="Times New Roman" w:cs="Times New Roman"/>
              </w:rPr>
            </w:pPr>
            <w:r>
              <w:rPr>
                <w:rFonts w:ascii="Times New Roman" w:hAnsi="Times New Roman" w:cs="Times New Roman"/>
              </w:rPr>
              <w:t>17-20</w:t>
            </w:r>
          </w:p>
        </w:tc>
      </w:tr>
      <w:tr w:rsidR="00BA24AD" w:rsidTr="003C7DD5">
        <w:trPr>
          <w:trHeight w:val="620"/>
        </w:trPr>
        <w:tc>
          <w:tcPr>
            <w:tcW w:w="917" w:type="dxa"/>
          </w:tcPr>
          <w:p w:rsidR="00BA24AD" w:rsidRDefault="00BA24AD" w:rsidP="00C3604C">
            <w:pPr>
              <w:jc w:val="center"/>
              <w:rPr>
                <w:rFonts w:ascii="Times New Roman" w:hAnsi="Times New Roman" w:cs="Times New Roman"/>
              </w:rPr>
            </w:pPr>
          </w:p>
          <w:p w:rsidR="00C3604C" w:rsidRPr="00C3604C" w:rsidRDefault="00C3604C" w:rsidP="00C3604C">
            <w:pPr>
              <w:jc w:val="center"/>
              <w:rPr>
                <w:rFonts w:ascii="Times New Roman" w:hAnsi="Times New Roman" w:cs="Times New Roman"/>
              </w:rPr>
            </w:pPr>
            <w:r>
              <w:rPr>
                <w:rFonts w:ascii="Times New Roman" w:hAnsi="Times New Roman" w:cs="Times New Roman"/>
              </w:rPr>
              <w:t>6</w:t>
            </w:r>
          </w:p>
        </w:tc>
        <w:tc>
          <w:tcPr>
            <w:tcW w:w="6919" w:type="dxa"/>
          </w:tcPr>
          <w:p w:rsidR="00BA24AD" w:rsidRDefault="00BA24AD" w:rsidP="00C3604C">
            <w:pPr>
              <w:rPr>
                <w:rFonts w:ascii="Times New Roman" w:hAnsi="Times New Roman" w:cs="Times New Roman"/>
              </w:rPr>
            </w:pPr>
          </w:p>
          <w:p w:rsidR="00C3604C" w:rsidRPr="00C3604C" w:rsidRDefault="00CF2F98" w:rsidP="00C3604C">
            <w:pPr>
              <w:rPr>
                <w:rFonts w:ascii="Times New Roman" w:hAnsi="Times New Roman" w:cs="Times New Roman"/>
              </w:rPr>
            </w:pPr>
            <w:r>
              <w:rPr>
                <w:rFonts w:ascii="Times New Roman" w:hAnsi="Times New Roman" w:cs="Times New Roman"/>
              </w:rPr>
              <w:t>DTAA versu</w:t>
            </w:r>
            <w:r w:rsidR="005B3316">
              <w:rPr>
                <w:rFonts w:ascii="Times New Roman" w:hAnsi="Times New Roman" w:cs="Times New Roman"/>
              </w:rPr>
              <w:t>s DTC</w:t>
            </w:r>
          </w:p>
        </w:tc>
        <w:tc>
          <w:tcPr>
            <w:tcW w:w="1725" w:type="dxa"/>
          </w:tcPr>
          <w:p w:rsidR="00BA24AD" w:rsidRDefault="00BA24AD" w:rsidP="00C3604C">
            <w:pPr>
              <w:jc w:val="center"/>
              <w:rPr>
                <w:rFonts w:ascii="Times New Roman" w:hAnsi="Times New Roman" w:cs="Times New Roman"/>
              </w:rPr>
            </w:pPr>
          </w:p>
          <w:p w:rsidR="00C3604C" w:rsidRPr="00C3604C" w:rsidRDefault="003C7DD5" w:rsidP="00C3604C">
            <w:pPr>
              <w:jc w:val="center"/>
              <w:rPr>
                <w:rFonts w:ascii="Times New Roman" w:hAnsi="Times New Roman" w:cs="Times New Roman"/>
              </w:rPr>
            </w:pPr>
            <w:r>
              <w:rPr>
                <w:rFonts w:ascii="Times New Roman" w:hAnsi="Times New Roman" w:cs="Times New Roman"/>
              </w:rPr>
              <w:t>21-25</w:t>
            </w:r>
          </w:p>
        </w:tc>
      </w:tr>
      <w:tr w:rsidR="00BA24AD" w:rsidTr="003C7DD5">
        <w:trPr>
          <w:trHeight w:val="620"/>
        </w:trPr>
        <w:tc>
          <w:tcPr>
            <w:tcW w:w="917" w:type="dxa"/>
          </w:tcPr>
          <w:p w:rsidR="00BA24AD" w:rsidRDefault="00BA24AD" w:rsidP="00C3604C">
            <w:pPr>
              <w:jc w:val="center"/>
              <w:rPr>
                <w:rFonts w:ascii="Times New Roman" w:hAnsi="Times New Roman" w:cs="Times New Roman"/>
              </w:rPr>
            </w:pPr>
          </w:p>
          <w:p w:rsidR="00C3604C" w:rsidRPr="00C3604C" w:rsidRDefault="00C3604C" w:rsidP="00C3604C">
            <w:pPr>
              <w:jc w:val="center"/>
              <w:rPr>
                <w:rFonts w:ascii="Times New Roman" w:hAnsi="Times New Roman" w:cs="Times New Roman"/>
              </w:rPr>
            </w:pPr>
            <w:r>
              <w:rPr>
                <w:rFonts w:ascii="Times New Roman" w:hAnsi="Times New Roman" w:cs="Times New Roman"/>
              </w:rPr>
              <w:t>7</w:t>
            </w:r>
          </w:p>
        </w:tc>
        <w:tc>
          <w:tcPr>
            <w:tcW w:w="6919" w:type="dxa"/>
          </w:tcPr>
          <w:p w:rsidR="00BA24AD" w:rsidRDefault="00BA24AD" w:rsidP="00C3604C">
            <w:pPr>
              <w:rPr>
                <w:rFonts w:ascii="Times New Roman" w:hAnsi="Times New Roman" w:cs="Times New Roman"/>
              </w:rPr>
            </w:pPr>
          </w:p>
          <w:p w:rsidR="00C3604C" w:rsidRPr="00C3604C" w:rsidRDefault="005B3316" w:rsidP="00C3604C">
            <w:pPr>
              <w:rPr>
                <w:rFonts w:ascii="Times New Roman" w:hAnsi="Times New Roman" w:cs="Times New Roman"/>
              </w:rPr>
            </w:pPr>
            <w:r>
              <w:rPr>
                <w:rFonts w:ascii="Times New Roman" w:hAnsi="Times New Roman" w:cs="Times New Roman"/>
              </w:rPr>
              <w:t>Economic Crisis and Tax Haven</w:t>
            </w:r>
          </w:p>
        </w:tc>
        <w:tc>
          <w:tcPr>
            <w:tcW w:w="1725" w:type="dxa"/>
          </w:tcPr>
          <w:p w:rsidR="00BA24AD" w:rsidRDefault="00BA24AD" w:rsidP="00C3604C">
            <w:pPr>
              <w:jc w:val="center"/>
              <w:rPr>
                <w:rFonts w:ascii="Times New Roman" w:hAnsi="Times New Roman" w:cs="Times New Roman"/>
              </w:rPr>
            </w:pPr>
          </w:p>
          <w:p w:rsidR="00C3604C" w:rsidRPr="00C3604C" w:rsidRDefault="003C7DD5" w:rsidP="00C3604C">
            <w:pPr>
              <w:jc w:val="center"/>
              <w:rPr>
                <w:rFonts w:ascii="Times New Roman" w:hAnsi="Times New Roman" w:cs="Times New Roman"/>
              </w:rPr>
            </w:pPr>
            <w:r>
              <w:rPr>
                <w:rFonts w:ascii="Times New Roman" w:hAnsi="Times New Roman" w:cs="Times New Roman"/>
              </w:rPr>
              <w:t>26-27</w:t>
            </w:r>
          </w:p>
        </w:tc>
      </w:tr>
      <w:tr w:rsidR="005B3316" w:rsidTr="003C7DD5">
        <w:trPr>
          <w:trHeight w:val="620"/>
        </w:trPr>
        <w:tc>
          <w:tcPr>
            <w:tcW w:w="917" w:type="dxa"/>
          </w:tcPr>
          <w:p w:rsidR="005B3316" w:rsidRDefault="005B3316" w:rsidP="00C3604C">
            <w:pPr>
              <w:jc w:val="center"/>
              <w:rPr>
                <w:rFonts w:ascii="Times New Roman" w:hAnsi="Times New Roman" w:cs="Times New Roman"/>
              </w:rPr>
            </w:pPr>
          </w:p>
          <w:p w:rsidR="005B3316" w:rsidRDefault="005B3316" w:rsidP="00C3604C">
            <w:pPr>
              <w:jc w:val="center"/>
              <w:rPr>
                <w:rFonts w:ascii="Times New Roman" w:hAnsi="Times New Roman" w:cs="Times New Roman"/>
              </w:rPr>
            </w:pPr>
            <w:r>
              <w:rPr>
                <w:rFonts w:ascii="Times New Roman" w:hAnsi="Times New Roman" w:cs="Times New Roman"/>
              </w:rPr>
              <w:t>8</w:t>
            </w:r>
          </w:p>
        </w:tc>
        <w:tc>
          <w:tcPr>
            <w:tcW w:w="6919" w:type="dxa"/>
          </w:tcPr>
          <w:p w:rsidR="005B3316" w:rsidRDefault="005B3316" w:rsidP="00C3604C">
            <w:pPr>
              <w:rPr>
                <w:rFonts w:ascii="Times New Roman" w:hAnsi="Times New Roman" w:cs="Times New Roman"/>
              </w:rPr>
            </w:pPr>
          </w:p>
          <w:p w:rsidR="005B3316" w:rsidRDefault="005B3316" w:rsidP="00C3604C">
            <w:pPr>
              <w:rPr>
                <w:rFonts w:ascii="Times New Roman" w:hAnsi="Times New Roman" w:cs="Times New Roman"/>
              </w:rPr>
            </w:pPr>
            <w:r>
              <w:rPr>
                <w:rFonts w:ascii="Times New Roman" w:hAnsi="Times New Roman" w:cs="Times New Roman"/>
              </w:rPr>
              <w:t>Conclusion</w:t>
            </w:r>
          </w:p>
        </w:tc>
        <w:tc>
          <w:tcPr>
            <w:tcW w:w="1725" w:type="dxa"/>
          </w:tcPr>
          <w:p w:rsidR="005B3316" w:rsidRDefault="005B3316" w:rsidP="00C3604C">
            <w:pPr>
              <w:jc w:val="center"/>
              <w:rPr>
                <w:rFonts w:ascii="Times New Roman" w:hAnsi="Times New Roman" w:cs="Times New Roman"/>
              </w:rPr>
            </w:pPr>
          </w:p>
          <w:p w:rsidR="005B3316" w:rsidRDefault="003C7DD5" w:rsidP="00C3604C">
            <w:pPr>
              <w:jc w:val="center"/>
              <w:rPr>
                <w:rFonts w:ascii="Times New Roman" w:hAnsi="Times New Roman" w:cs="Times New Roman"/>
              </w:rPr>
            </w:pPr>
            <w:r>
              <w:rPr>
                <w:rFonts w:ascii="Times New Roman" w:hAnsi="Times New Roman" w:cs="Times New Roman"/>
              </w:rPr>
              <w:t>28-32</w:t>
            </w:r>
          </w:p>
        </w:tc>
      </w:tr>
    </w:tbl>
    <w:p w:rsidR="00BA24AD" w:rsidRDefault="00BA24AD" w:rsidP="00BA24AD"/>
    <w:p w:rsidR="00BA24AD" w:rsidRDefault="00BA24AD" w:rsidP="00BA24AD"/>
    <w:p w:rsidR="00BA24AD" w:rsidRDefault="00BA24AD" w:rsidP="00BA24AD"/>
    <w:p w:rsidR="00BA24AD" w:rsidRDefault="00BA24AD" w:rsidP="00BA24AD"/>
    <w:p w:rsidR="00BA24AD" w:rsidRPr="00BA24AD" w:rsidRDefault="00BA24AD" w:rsidP="00BA24AD"/>
    <w:p w:rsidR="00E439D1" w:rsidRPr="006C491A" w:rsidRDefault="00E439D1" w:rsidP="00EA704E">
      <w:pPr>
        <w:pStyle w:val="Heading1"/>
        <w:rPr>
          <w:rFonts w:ascii="Times New Roman" w:hAnsi="Times New Roman" w:cs="Times New Roman"/>
        </w:rPr>
      </w:pPr>
      <w:r w:rsidRPr="006C491A">
        <w:rPr>
          <w:rFonts w:ascii="Times New Roman" w:hAnsi="Times New Roman" w:cs="Times New Roman"/>
        </w:rPr>
        <w:lastRenderedPageBreak/>
        <w:t>INTRODUCTION</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The concept of tax</w:t>
      </w:r>
      <w:r w:rsidR="00715FA2" w:rsidRPr="006C491A">
        <w:rPr>
          <w:rFonts w:ascii="Times New Roman" w:hAnsi="Times New Roman" w:cs="Times New Roman"/>
          <w:sz w:val="24"/>
          <w:szCs w:val="24"/>
        </w:rPr>
        <w:t>ation i</w:t>
      </w:r>
      <w:r w:rsidR="00BE6471">
        <w:rPr>
          <w:rFonts w:ascii="Times New Roman" w:hAnsi="Times New Roman" w:cs="Times New Roman"/>
          <w:sz w:val="24"/>
          <w:szCs w:val="24"/>
        </w:rPr>
        <w:t>s not new in</w:t>
      </w:r>
      <w:r w:rsidR="007178A8" w:rsidRPr="006C491A">
        <w:rPr>
          <w:rFonts w:ascii="Times New Roman" w:hAnsi="Times New Roman" w:cs="Times New Roman"/>
          <w:sz w:val="24"/>
          <w:szCs w:val="24"/>
        </w:rPr>
        <w:t xml:space="preserve"> </w:t>
      </w:r>
      <w:r w:rsidR="00BE6471">
        <w:rPr>
          <w:rFonts w:ascii="Times New Roman" w:hAnsi="Times New Roman" w:cs="Times New Roman"/>
          <w:sz w:val="24"/>
          <w:szCs w:val="24"/>
        </w:rPr>
        <w:t>m</w:t>
      </w:r>
      <w:r w:rsidR="007178A8" w:rsidRPr="006C491A">
        <w:rPr>
          <w:rFonts w:ascii="Times New Roman" w:hAnsi="Times New Roman" w:cs="Times New Roman"/>
          <w:sz w:val="24"/>
          <w:szCs w:val="24"/>
        </w:rPr>
        <w:t>odern</w:t>
      </w:r>
      <w:r w:rsidRPr="006C491A">
        <w:rPr>
          <w:rFonts w:ascii="Times New Roman" w:hAnsi="Times New Roman" w:cs="Times New Roman"/>
          <w:sz w:val="24"/>
          <w:szCs w:val="24"/>
        </w:rPr>
        <w:t xml:space="preserve"> India. “Tax” was </w:t>
      </w:r>
      <w:r w:rsidR="00DC0DA1">
        <w:rPr>
          <w:rFonts w:ascii="Times New Roman" w:hAnsi="Times New Roman" w:cs="Times New Roman"/>
          <w:sz w:val="24"/>
          <w:szCs w:val="24"/>
        </w:rPr>
        <w:t>basically defined as the burden</w:t>
      </w:r>
      <w:r w:rsidRPr="006C491A">
        <w:rPr>
          <w:rFonts w:ascii="Times New Roman" w:hAnsi="Times New Roman" w:cs="Times New Roman"/>
          <w:sz w:val="24"/>
          <w:szCs w:val="24"/>
        </w:rPr>
        <w:t xml:space="preserve"> or charge imposed by the legislative power on persons or property</w:t>
      </w:r>
      <w:r w:rsidR="00DC0DA1">
        <w:rPr>
          <w:rFonts w:ascii="Times New Roman" w:hAnsi="Times New Roman" w:cs="Times New Roman"/>
          <w:sz w:val="24"/>
          <w:szCs w:val="24"/>
        </w:rPr>
        <w:t>,</w:t>
      </w:r>
      <w:r w:rsidRPr="006C491A">
        <w:rPr>
          <w:rFonts w:ascii="Times New Roman" w:hAnsi="Times New Roman" w:cs="Times New Roman"/>
          <w:sz w:val="24"/>
          <w:szCs w:val="24"/>
        </w:rPr>
        <w:t xml:space="preserve"> to raise money for public purposes</w:t>
      </w:r>
      <w:r w:rsidR="00DC0DA1">
        <w:rPr>
          <w:rFonts w:ascii="Times New Roman" w:hAnsi="Times New Roman" w:cs="Times New Roman"/>
          <w:sz w:val="24"/>
          <w:szCs w:val="24"/>
        </w:rPr>
        <w:t>,</w:t>
      </w:r>
      <w:r w:rsidRPr="006C491A">
        <w:rPr>
          <w:rFonts w:ascii="Times New Roman" w:hAnsi="Times New Roman" w:cs="Times New Roman"/>
          <w:sz w:val="24"/>
          <w:szCs w:val="24"/>
        </w:rPr>
        <w:t xml:space="preserve"> whereas “taxation” is an act or methodology of laying these charges on persons or property</w:t>
      </w:r>
      <w:r w:rsidRPr="006C491A">
        <w:rPr>
          <w:rStyle w:val="FootnoteReference"/>
          <w:rFonts w:ascii="Times New Roman" w:hAnsi="Times New Roman" w:cs="Times New Roman"/>
          <w:sz w:val="24"/>
          <w:szCs w:val="24"/>
        </w:rPr>
        <w:footnoteReference w:id="1"/>
      </w:r>
      <w:r w:rsidRPr="006C491A">
        <w:rPr>
          <w:rFonts w:ascii="Times New Roman" w:hAnsi="Times New Roman" w:cs="Times New Roman"/>
          <w:sz w:val="24"/>
          <w:szCs w:val="24"/>
        </w:rPr>
        <w:t>. It is a compulso</w:t>
      </w:r>
      <w:r w:rsidR="00DC0DA1">
        <w:rPr>
          <w:rFonts w:ascii="Times New Roman" w:hAnsi="Times New Roman" w:cs="Times New Roman"/>
          <w:sz w:val="24"/>
          <w:szCs w:val="24"/>
        </w:rPr>
        <w:t xml:space="preserve">ry contribution to the support </w:t>
      </w:r>
      <w:r w:rsidRPr="006C491A">
        <w:rPr>
          <w:rFonts w:ascii="Times New Roman" w:hAnsi="Times New Roman" w:cs="Times New Roman"/>
          <w:sz w:val="24"/>
          <w:szCs w:val="24"/>
        </w:rPr>
        <w:t>f</w:t>
      </w:r>
      <w:r w:rsidR="00DC0DA1">
        <w:rPr>
          <w:rFonts w:ascii="Times New Roman" w:hAnsi="Times New Roman" w:cs="Times New Roman"/>
          <w:sz w:val="24"/>
          <w:szCs w:val="24"/>
        </w:rPr>
        <w:t>or</w:t>
      </w:r>
      <w:r w:rsidRPr="006C491A">
        <w:rPr>
          <w:rFonts w:ascii="Times New Roman" w:hAnsi="Times New Roman" w:cs="Times New Roman"/>
          <w:sz w:val="24"/>
          <w:szCs w:val="24"/>
        </w:rPr>
        <w:t xml:space="preserve"> the government. Even Kalidas stated that this contribution was only for the good of his subjects i.e., common</w:t>
      </w:r>
      <w:r w:rsidR="00DC0DA1">
        <w:rPr>
          <w:rFonts w:ascii="Times New Roman" w:hAnsi="Times New Roman" w:cs="Times New Roman"/>
          <w:sz w:val="24"/>
          <w:szCs w:val="24"/>
        </w:rPr>
        <w:t>er</w:t>
      </w:r>
      <w:r w:rsidRPr="006C491A">
        <w:rPr>
          <w:rFonts w:ascii="Times New Roman" w:hAnsi="Times New Roman" w:cs="Times New Roman"/>
          <w:sz w:val="24"/>
          <w:szCs w:val="24"/>
        </w:rPr>
        <w:t>s</w:t>
      </w:r>
      <w:r w:rsidR="00DC0DA1">
        <w:rPr>
          <w:rFonts w:ascii="Times New Roman" w:hAnsi="Times New Roman" w:cs="Times New Roman"/>
          <w:sz w:val="24"/>
          <w:szCs w:val="24"/>
        </w:rPr>
        <w:t>,</w:t>
      </w:r>
      <w:r w:rsidRPr="006C491A">
        <w:rPr>
          <w:rFonts w:ascii="Times New Roman" w:hAnsi="Times New Roman" w:cs="Times New Roman"/>
          <w:sz w:val="24"/>
          <w:szCs w:val="24"/>
        </w:rPr>
        <w:t xml:space="preserve"> that he collected taxes from them, just as the Sun draws moisture from the Earth to give it back </w:t>
      </w:r>
      <w:r w:rsidR="00DC0DA1">
        <w:rPr>
          <w:rFonts w:ascii="Times New Roman" w:hAnsi="Times New Roman" w:cs="Times New Roman"/>
          <w:sz w:val="24"/>
          <w:szCs w:val="24"/>
        </w:rPr>
        <w:t xml:space="preserve">by </w:t>
      </w:r>
      <w:r w:rsidRPr="006C491A">
        <w:rPr>
          <w:rFonts w:ascii="Times New Roman" w:hAnsi="Times New Roman" w:cs="Times New Roman"/>
          <w:sz w:val="24"/>
          <w:szCs w:val="24"/>
        </w:rPr>
        <w:t>a thousand fold</w:t>
      </w:r>
      <w:r w:rsidR="00DC0DA1">
        <w:rPr>
          <w:rFonts w:ascii="Times New Roman" w:hAnsi="Times New Roman" w:cs="Times New Roman"/>
          <w:sz w:val="24"/>
          <w:szCs w:val="24"/>
        </w:rPr>
        <w:t>s</w:t>
      </w:r>
      <w:r w:rsidRPr="006C491A">
        <w:rPr>
          <w:rFonts w:ascii="Times New Roman" w:hAnsi="Times New Roman" w:cs="Times New Roman"/>
          <w:sz w:val="24"/>
          <w:szCs w:val="24"/>
        </w:rPr>
        <w:t xml:space="preserve">.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These contributions were deduced in the terms of revenue. The major source of revenues to the state came from within the three tier economic cycle comprising of a) corporate sector including companies and firms, b) public sector like banking institutions and c) service sector. Although the service sector and public sector contribute to the government in the form of indirect taxes like service tax, excise and customs, but the major source of revenue since then was dependent on tax levied on income which can only be abstracted from the private sectors and corporations. These corporations include Indian Companies as well as Body Corporate. These companies provide thirty percent of their turnover net profit as tax to the government. But in the present scenario, this collection is started diluting. Going through the characteristics of companies, the concept of separate legal entity is creating a paradigm of “corporate veil” meaning creating barrier between the personalities of shareholders and their obligation to pay the company’s debts. This veil is being used by the companies as a weapon to evade a large amount of tax out of their huge profit which comes in the name of goodwill of the company but instead of treated as a deferred revenue expenditure which can neither be classified as a capital expenditure, nor revenue expenditure so as to characterize it within the deductions for claiming exemptions. Furthermore, an act of creating a subsidiary for them so that they can avail the every option needed for the exploitation of the concerned resources be it a labour intensive or capital intensive in the name of those subsidiaries for getting the maximum outcome without dropping the coin which led to massive loss to the revenues of the state. Moreover, a hell lot of domestic and international transactions of the companies listed in the stock exchange are going on in the securities market which has led to the flood in the flow of speculative money in the market. To curb this The Ministry of Finance </w:t>
      </w:r>
      <w:r w:rsidRPr="006C491A">
        <w:rPr>
          <w:rFonts w:ascii="Times New Roman" w:hAnsi="Times New Roman" w:cs="Times New Roman"/>
          <w:sz w:val="24"/>
          <w:szCs w:val="24"/>
        </w:rPr>
        <w:lastRenderedPageBreak/>
        <w:t xml:space="preserve">amended the old law of Income Tax Act, 1961 and passed a new legislation in the parliament named as DTC ( Direct Tax Code) with a broadened view towards preventing disequilibrium in the economy and providing clarity and transparency in every act of legislation. Thus the paper describes on whether a new improved DTC will harmonize the wounded financial structure or it will instead rupture the existing financial background of our economy. The paper further throw light on the competency of transactions to classify it as tax evasion as Indian tax laws specifically do not contain any generic provisions relating to anti avoidance.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Accordingly, in order to determine the position with regard to anti avoidance, it is necessary to rely on various judicial decisions issued in this regard. The judicial view in India used to be that it is open to a person to avoid payment of duty by disposing off his property in any way not forbidden by law and the questions of his motives is wholly irrelevant. It has been a well accepted principle of law that an assessee can so arrange his affairs as to minimize his tax burden. Over and over again, it was held that there is nothing sinister in so arranging one’s affairs as to keep taxes as low as possible. The principles stated above were considered to be too wide and the Supreme Court in the case of McDowell &amp; Co Ltd v. Commercial Tax Officer  highlighted that courts are now concerning themselves not merely with the genuineness of transaction but with the intended effect of it on fiscal purposes. It held that no one can get away with a tax avoidance project with the mere statement that there is nothing illegal about it. </w:t>
      </w:r>
    </w:p>
    <w:p w:rsidR="00BA24AD" w:rsidRDefault="00EA704E"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This</w:t>
      </w:r>
      <w:r w:rsidR="00E439D1" w:rsidRPr="006C491A">
        <w:rPr>
          <w:rFonts w:ascii="Times New Roman" w:hAnsi="Times New Roman" w:cs="Times New Roman"/>
          <w:sz w:val="24"/>
          <w:szCs w:val="24"/>
        </w:rPr>
        <w:t xml:space="preserve"> paper ends with the manifold evil consequences of evasion. First, there is substantial loss of much needed public revenue, particularly on a welfare state like ours. Second, there is serious disturbance caused to the economy of the country by pilling up of mountains of black money causing inflation. Third, the large hidden loss to the community by some of the best brains in the country being involved in the perpetual war waged between the tax avoider and his expert team of advisers on the one side and the tax gathers and his not so skillful advisers on the other. Fourth, there will be a sense of injustice and inequality which tax avoidance arouses in the breasts of those who are unwilling or are unable to profit by it.      </w:t>
      </w:r>
    </w:p>
    <w:p w:rsidR="008E6F81" w:rsidRDefault="008E6F81" w:rsidP="005F4B57">
      <w:pPr>
        <w:spacing w:line="360" w:lineRule="auto"/>
        <w:jc w:val="both"/>
        <w:rPr>
          <w:rFonts w:ascii="Times New Roman" w:hAnsi="Times New Roman" w:cs="Times New Roman"/>
          <w:sz w:val="24"/>
          <w:szCs w:val="24"/>
        </w:rPr>
      </w:pPr>
    </w:p>
    <w:p w:rsidR="008E6F81" w:rsidRPr="006C491A" w:rsidRDefault="008E6F81" w:rsidP="005F4B57">
      <w:pPr>
        <w:spacing w:line="360" w:lineRule="auto"/>
        <w:jc w:val="both"/>
        <w:rPr>
          <w:rFonts w:ascii="Times New Roman" w:hAnsi="Times New Roman" w:cs="Times New Roman"/>
          <w:sz w:val="24"/>
          <w:szCs w:val="24"/>
        </w:rPr>
      </w:pPr>
    </w:p>
    <w:p w:rsidR="00F03339" w:rsidRPr="006C491A" w:rsidRDefault="00557F78" w:rsidP="00EA704E">
      <w:pPr>
        <w:pStyle w:val="Heading1"/>
        <w:rPr>
          <w:rFonts w:ascii="Times New Roman" w:hAnsi="Times New Roman" w:cs="Times New Roman"/>
        </w:rPr>
      </w:pPr>
      <w:r w:rsidRPr="006C491A">
        <w:rPr>
          <w:rFonts w:ascii="Times New Roman" w:hAnsi="Times New Roman" w:cs="Times New Roman"/>
        </w:rPr>
        <w:lastRenderedPageBreak/>
        <w:t xml:space="preserve">Piercing the Corporate </w:t>
      </w:r>
      <w:r w:rsidR="00BA706B" w:rsidRPr="006C491A">
        <w:rPr>
          <w:rFonts w:ascii="Times New Roman" w:hAnsi="Times New Roman" w:cs="Times New Roman"/>
        </w:rPr>
        <w:t>Veil:</w:t>
      </w:r>
      <w:r w:rsidRPr="006C491A">
        <w:rPr>
          <w:rFonts w:ascii="Times New Roman" w:hAnsi="Times New Roman" w:cs="Times New Roman"/>
        </w:rPr>
        <w:t xml:space="preserve"> A General Trend</w:t>
      </w:r>
    </w:p>
    <w:p w:rsidR="0036161C" w:rsidRPr="006C491A" w:rsidRDefault="0036161C"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In Salomon v Salomon</w:t>
      </w:r>
      <w:r w:rsidRPr="006C491A">
        <w:rPr>
          <w:rStyle w:val="FootnoteReference"/>
          <w:rFonts w:ascii="Times New Roman" w:hAnsi="Times New Roman" w:cs="Times New Roman"/>
          <w:sz w:val="24"/>
          <w:szCs w:val="24"/>
        </w:rPr>
        <w:footnoteReference w:id="2"/>
      </w:r>
      <w:r w:rsidRPr="006C491A">
        <w:rPr>
          <w:rFonts w:ascii="Times New Roman" w:hAnsi="Times New Roman" w:cs="Times New Roman"/>
          <w:sz w:val="24"/>
          <w:szCs w:val="24"/>
        </w:rPr>
        <w:t xml:space="preserve"> House of Lords affirmed </w:t>
      </w:r>
      <w:r w:rsidR="002F20CF" w:rsidRPr="006C491A">
        <w:rPr>
          <w:rFonts w:ascii="Times New Roman" w:hAnsi="Times New Roman" w:cs="Times New Roman"/>
          <w:sz w:val="24"/>
          <w:szCs w:val="24"/>
        </w:rPr>
        <w:t xml:space="preserve">the legal principle that, upon incorporation, a company is considered to be a new legal entity separate from its shareholders. Company has a distinct identity from its members but it is </w:t>
      </w:r>
      <w:r w:rsidR="00E8071E" w:rsidRPr="006C491A">
        <w:rPr>
          <w:rFonts w:ascii="Times New Roman" w:hAnsi="Times New Roman" w:cs="Times New Roman"/>
          <w:sz w:val="24"/>
          <w:szCs w:val="24"/>
        </w:rPr>
        <w:t>simply a legal fiction. In reality individuals/</w:t>
      </w:r>
      <w:r w:rsidR="00B3769D" w:rsidRPr="006C491A">
        <w:rPr>
          <w:rFonts w:ascii="Times New Roman" w:hAnsi="Times New Roman" w:cs="Times New Roman"/>
          <w:sz w:val="24"/>
          <w:szCs w:val="24"/>
        </w:rPr>
        <w:t>persons are the ones who run</w:t>
      </w:r>
      <w:r w:rsidR="00E8071E" w:rsidRPr="006C491A">
        <w:rPr>
          <w:rFonts w:ascii="Times New Roman" w:hAnsi="Times New Roman" w:cs="Times New Roman"/>
          <w:sz w:val="24"/>
          <w:szCs w:val="24"/>
        </w:rPr>
        <w:t xml:space="preserve"> the company </w:t>
      </w:r>
      <w:r w:rsidR="00B3769D" w:rsidRPr="006C491A">
        <w:rPr>
          <w:rFonts w:ascii="Times New Roman" w:hAnsi="Times New Roman" w:cs="Times New Roman"/>
          <w:sz w:val="24"/>
          <w:szCs w:val="24"/>
        </w:rPr>
        <w:t>in hopes of acquiring profit. Windeyer J, in the High Court in Peate v Federal Commissioner of Taxation,</w:t>
      </w:r>
      <w:r w:rsidR="00B3769D" w:rsidRPr="006C491A">
        <w:rPr>
          <w:rStyle w:val="FootnoteReference"/>
          <w:rFonts w:ascii="Times New Roman" w:hAnsi="Times New Roman" w:cs="Times New Roman"/>
          <w:sz w:val="24"/>
          <w:szCs w:val="24"/>
        </w:rPr>
        <w:footnoteReference w:id="3"/>
      </w:r>
      <w:r w:rsidR="00B3769D" w:rsidRPr="006C491A">
        <w:rPr>
          <w:rFonts w:ascii="Times New Roman" w:hAnsi="Times New Roman" w:cs="Times New Roman"/>
          <w:sz w:val="24"/>
          <w:szCs w:val="24"/>
        </w:rPr>
        <w:t xml:space="preserve"> </w:t>
      </w:r>
      <w:r w:rsidR="00E8071E" w:rsidRPr="006C491A">
        <w:rPr>
          <w:rFonts w:ascii="Times New Roman" w:hAnsi="Times New Roman" w:cs="Times New Roman"/>
          <w:sz w:val="24"/>
          <w:szCs w:val="24"/>
        </w:rPr>
        <w:t xml:space="preserve"> </w:t>
      </w:r>
      <w:r w:rsidR="00B3769D" w:rsidRPr="006C491A">
        <w:rPr>
          <w:rFonts w:ascii="Times New Roman" w:hAnsi="Times New Roman" w:cs="Times New Roman"/>
          <w:sz w:val="24"/>
          <w:szCs w:val="24"/>
        </w:rPr>
        <w:t>has stated that</w:t>
      </w:r>
    </w:p>
    <w:p w:rsidR="00B3769D" w:rsidRPr="006C491A" w:rsidRDefault="00B3769D"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                  </w:t>
      </w:r>
      <w:r w:rsidR="00B36858">
        <w:rPr>
          <w:rFonts w:ascii="Times New Roman" w:hAnsi="Times New Roman" w:cs="Times New Roman"/>
          <w:sz w:val="24"/>
          <w:szCs w:val="24"/>
        </w:rPr>
        <w:t>“</w:t>
      </w:r>
      <w:r w:rsidR="00555E91" w:rsidRPr="006C491A">
        <w:rPr>
          <w:rFonts w:ascii="Times New Roman" w:hAnsi="Times New Roman" w:cs="Times New Roman"/>
          <w:sz w:val="24"/>
          <w:szCs w:val="24"/>
        </w:rPr>
        <w:t>[A] new legal entity, a person in the</w:t>
      </w:r>
      <w:r w:rsidR="008E6F81">
        <w:rPr>
          <w:rFonts w:ascii="Times New Roman" w:hAnsi="Times New Roman" w:cs="Times New Roman"/>
          <w:sz w:val="24"/>
          <w:szCs w:val="24"/>
        </w:rPr>
        <w:t xml:space="preserve"> eye of the law. Perhaps it was</w:t>
      </w:r>
      <w:r w:rsidR="00555E91" w:rsidRPr="006C491A">
        <w:rPr>
          <w:rFonts w:ascii="Times New Roman" w:hAnsi="Times New Roman" w:cs="Times New Roman"/>
          <w:sz w:val="24"/>
          <w:szCs w:val="24"/>
        </w:rPr>
        <w:t xml:space="preserve"> better </w:t>
      </w:r>
      <w:r w:rsidR="00CD69C9" w:rsidRPr="006C491A">
        <w:rPr>
          <w:rFonts w:ascii="Times New Roman" w:hAnsi="Times New Roman" w:cs="Times New Roman"/>
          <w:sz w:val="24"/>
          <w:szCs w:val="24"/>
        </w:rPr>
        <w:t>in some cases to say a legal persona, for the Latin words in one of its senses means a mask: Eriptur persona, manet res.”</w:t>
      </w:r>
      <w:r w:rsidR="00CD69C9" w:rsidRPr="006C491A">
        <w:rPr>
          <w:rStyle w:val="FootnoteReference"/>
          <w:rFonts w:ascii="Times New Roman" w:hAnsi="Times New Roman" w:cs="Times New Roman"/>
          <w:sz w:val="24"/>
          <w:szCs w:val="24"/>
        </w:rPr>
        <w:footnoteReference w:id="4"/>
      </w:r>
      <w:r w:rsidR="00555E91" w:rsidRPr="006C491A">
        <w:rPr>
          <w:rFonts w:ascii="Times New Roman" w:hAnsi="Times New Roman" w:cs="Times New Roman"/>
          <w:sz w:val="24"/>
          <w:szCs w:val="24"/>
        </w:rPr>
        <w:t xml:space="preserve"> </w:t>
      </w:r>
    </w:p>
    <w:p w:rsidR="00B54F99" w:rsidRPr="006C491A" w:rsidRDefault="00CD69C9"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It is true that </w:t>
      </w:r>
      <w:r w:rsidR="00B54F99" w:rsidRPr="006C491A">
        <w:rPr>
          <w:rFonts w:ascii="Times New Roman" w:hAnsi="Times New Roman" w:cs="Times New Roman"/>
          <w:sz w:val="24"/>
          <w:szCs w:val="24"/>
        </w:rPr>
        <w:t>the legal principle is that a company is a separate legal entity distinct from its director and shareholders. However, the principle of piercing the veil of corporate personality has also been evolved. Courts have acknowledged piercing the veil of corporate personality to deny shareholders</w:t>
      </w:r>
      <w:r w:rsidR="008E6F81">
        <w:rPr>
          <w:rFonts w:ascii="Times New Roman" w:hAnsi="Times New Roman" w:cs="Times New Roman"/>
          <w:sz w:val="24"/>
          <w:szCs w:val="24"/>
        </w:rPr>
        <w:t xml:space="preserve"> the</w:t>
      </w:r>
      <w:r w:rsidR="00B54F99" w:rsidRPr="006C491A">
        <w:rPr>
          <w:rFonts w:ascii="Times New Roman" w:hAnsi="Times New Roman" w:cs="Times New Roman"/>
          <w:sz w:val="24"/>
          <w:szCs w:val="24"/>
        </w:rPr>
        <w:t xml:space="preserve"> protection that limited liability provides. </w:t>
      </w:r>
    </w:p>
    <w:p w:rsidR="00CD69C9" w:rsidRPr="006C491A" w:rsidRDefault="00AA010A"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The word veil in its verb form m</w:t>
      </w:r>
      <w:r w:rsidR="00B54F99" w:rsidRPr="006C491A">
        <w:rPr>
          <w:rFonts w:ascii="Times New Roman" w:hAnsi="Times New Roman" w:cs="Times New Roman"/>
          <w:sz w:val="24"/>
          <w:szCs w:val="24"/>
        </w:rPr>
        <w:t>eans, to hide something or</w:t>
      </w:r>
      <w:r w:rsidR="008E6F81">
        <w:rPr>
          <w:rFonts w:ascii="Times New Roman" w:hAnsi="Times New Roman" w:cs="Times New Roman"/>
          <w:sz w:val="24"/>
          <w:szCs w:val="24"/>
        </w:rPr>
        <w:t xml:space="preserve"> to</w:t>
      </w:r>
      <w:r w:rsidR="00B54F99" w:rsidRPr="006C491A">
        <w:rPr>
          <w:rFonts w:ascii="Times New Roman" w:hAnsi="Times New Roman" w:cs="Times New Roman"/>
          <w:sz w:val="24"/>
          <w:szCs w:val="24"/>
        </w:rPr>
        <w:t xml:space="preserve"> make it obscure in order to conceal</w:t>
      </w:r>
      <w:r w:rsidR="00295387" w:rsidRPr="006C491A">
        <w:rPr>
          <w:rStyle w:val="FootnoteReference"/>
          <w:rFonts w:ascii="Times New Roman" w:hAnsi="Times New Roman" w:cs="Times New Roman"/>
          <w:sz w:val="24"/>
          <w:szCs w:val="24"/>
        </w:rPr>
        <w:footnoteReference w:id="5"/>
      </w:r>
      <w:r w:rsidR="00B54F99" w:rsidRPr="006C491A">
        <w:rPr>
          <w:rFonts w:ascii="Times New Roman" w:hAnsi="Times New Roman" w:cs="Times New Roman"/>
          <w:sz w:val="24"/>
          <w:szCs w:val="24"/>
        </w:rPr>
        <w:t xml:space="preserve">. So, in literal </w:t>
      </w:r>
      <w:r w:rsidR="00295387" w:rsidRPr="006C491A">
        <w:rPr>
          <w:rFonts w:ascii="Times New Roman" w:hAnsi="Times New Roman" w:cs="Times New Roman"/>
          <w:sz w:val="24"/>
          <w:szCs w:val="24"/>
        </w:rPr>
        <w:t>sense “Piercing the Corporate Veil” refers to judicially imposed exception to separate legal entity principle. In a general sense courts are more inclined, in appropriate conditions, to “lift the veil” of company where question of control or ownership arises.</w:t>
      </w:r>
      <w:r w:rsidR="002D11BE" w:rsidRPr="006C491A">
        <w:rPr>
          <w:rStyle w:val="FootnoteReference"/>
          <w:rFonts w:ascii="Times New Roman" w:hAnsi="Times New Roman" w:cs="Times New Roman"/>
          <w:sz w:val="24"/>
          <w:szCs w:val="24"/>
        </w:rPr>
        <w:footnoteReference w:id="6"/>
      </w:r>
      <w:r w:rsidR="002D11BE" w:rsidRPr="006C491A">
        <w:rPr>
          <w:rFonts w:ascii="Times New Roman" w:hAnsi="Times New Roman" w:cs="Times New Roman"/>
          <w:sz w:val="24"/>
          <w:szCs w:val="24"/>
        </w:rPr>
        <w:t xml:space="preserve"> The corporate veil can be pierced by the court when it is requested to do so by the company itself or the shareholders in order to afford a remedy or to create an enforceable right, or lessen </w:t>
      </w:r>
      <w:r w:rsidR="00993821" w:rsidRPr="006C491A">
        <w:rPr>
          <w:rFonts w:ascii="Times New Roman" w:hAnsi="Times New Roman" w:cs="Times New Roman"/>
          <w:sz w:val="24"/>
          <w:szCs w:val="24"/>
        </w:rPr>
        <w:t xml:space="preserve">the penalty </w:t>
      </w:r>
      <w:r w:rsidR="00DF2EA2" w:rsidRPr="006C491A">
        <w:rPr>
          <w:rFonts w:ascii="Times New Roman" w:hAnsi="Times New Roman" w:cs="Times New Roman"/>
          <w:sz w:val="24"/>
          <w:szCs w:val="24"/>
        </w:rPr>
        <w:t>or it</w:t>
      </w:r>
      <w:r w:rsidR="00993821" w:rsidRPr="006C491A">
        <w:rPr>
          <w:rFonts w:ascii="Times New Roman" w:hAnsi="Times New Roman" w:cs="Times New Roman"/>
          <w:sz w:val="24"/>
          <w:szCs w:val="24"/>
        </w:rPr>
        <w:t xml:space="preserve"> is found that corporate personality is </w:t>
      </w:r>
      <w:r w:rsidR="00391BBE" w:rsidRPr="006C491A">
        <w:rPr>
          <w:rFonts w:ascii="Times New Roman" w:hAnsi="Times New Roman" w:cs="Times New Roman"/>
          <w:sz w:val="24"/>
          <w:szCs w:val="24"/>
        </w:rPr>
        <w:t>found to</w:t>
      </w:r>
      <w:r w:rsidR="00993821" w:rsidRPr="006C491A">
        <w:rPr>
          <w:rFonts w:ascii="Times New Roman" w:hAnsi="Times New Roman" w:cs="Times New Roman"/>
          <w:sz w:val="24"/>
          <w:szCs w:val="24"/>
        </w:rPr>
        <w:t xml:space="preserve"> be opposed justice, convenience and interest of the revenue of the workman or against public interest.</w:t>
      </w:r>
      <w:r w:rsidR="00993821" w:rsidRPr="006C491A">
        <w:rPr>
          <w:rStyle w:val="FootnoteReference"/>
          <w:rFonts w:ascii="Times New Roman" w:hAnsi="Times New Roman" w:cs="Times New Roman"/>
          <w:sz w:val="24"/>
          <w:szCs w:val="24"/>
        </w:rPr>
        <w:footnoteReference w:id="7"/>
      </w:r>
      <w:r w:rsidR="00993821" w:rsidRPr="006C491A">
        <w:rPr>
          <w:rFonts w:ascii="Times New Roman" w:hAnsi="Times New Roman" w:cs="Times New Roman"/>
          <w:sz w:val="24"/>
          <w:szCs w:val="24"/>
        </w:rPr>
        <w:t xml:space="preserve"> </w:t>
      </w:r>
      <w:r w:rsidR="00A67E34" w:rsidRPr="006C491A">
        <w:rPr>
          <w:rFonts w:ascii="Times New Roman" w:hAnsi="Times New Roman" w:cs="Times New Roman"/>
          <w:sz w:val="24"/>
          <w:szCs w:val="24"/>
        </w:rPr>
        <w:t xml:space="preserve">As in the case Jones v </w:t>
      </w:r>
      <w:r w:rsidR="00A67E34" w:rsidRPr="006C491A">
        <w:rPr>
          <w:rFonts w:ascii="Times New Roman" w:hAnsi="Times New Roman" w:cs="Times New Roman"/>
          <w:sz w:val="24"/>
          <w:szCs w:val="24"/>
        </w:rPr>
        <w:lastRenderedPageBreak/>
        <w:t>Lipman,</w:t>
      </w:r>
      <w:r w:rsidR="00A67E34" w:rsidRPr="006C491A">
        <w:rPr>
          <w:rStyle w:val="FootnoteReference"/>
          <w:rFonts w:ascii="Times New Roman" w:hAnsi="Times New Roman" w:cs="Times New Roman"/>
          <w:sz w:val="24"/>
          <w:szCs w:val="24"/>
        </w:rPr>
        <w:footnoteReference w:id="8"/>
      </w:r>
      <w:r w:rsidR="00A67E34" w:rsidRPr="00413087">
        <w:rPr>
          <w:rFonts w:ascii="Times New Roman" w:hAnsi="Times New Roman" w:cs="Times New Roman"/>
          <w:color w:val="FF0000"/>
          <w:sz w:val="24"/>
          <w:szCs w:val="24"/>
        </w:rPr>
        <w:t xml:space="preserve"> </w:t>
      </w:r>
      <w:r w:rsidR="00A67E34" w:rsidRPr="006C491A">
        <w:rPr>
          <w:rFonts w:ascii="Times New Roman" w:hAnsi="Times New Roman" w:cs="Times New Roman"/>
          <w:sz w:val="24"/>
          <w:szCs w:val="24"/>
        </w:rPr>
        <w:t>the court lift</w:t>
      </w:r>
      <w:r w:rsidR="00413087" w:rsidRPr="004D3869">
        <w:rPr>
          <w:rFonts w:ascii="Times New Roman" w:hAnsi="Times New Roman" w:cs="Times New Roman"/>
          <w:sz w:val="24"/>
          <w:szCs w:val="24"/>
        </w:rPr>
        <w:t>ed</w:t>
      </w:r>
      <w:r w:rsidR="00A67E34" w:rsidRPr="006C491A">
        <w:rPr>
          <w:rFonts w:ascii="Times New Roman" w:hAnsi="Times New Roman" w:cs="Times New Roman"/>
          <w:sz w:val="24"/>
          <w:szCs w:val="24"/>
        </w:rPr>
        <w:t xml:space="preserve"> the veil to prevent the plaintiff</w:t>
      </w:r>
      <w:r w:rsidR="004805F5" w:rsidRPr="006C491A">
        <w:rPr>
          <w:rFonts w:ascii="Times New Roman" w:hAnsi="Times New Roman" w:cs="Times New Roman"/>
          <w:sz w:val="24"/>
          <w:szCs w:val="24"/>
        </w:rPr>
        <w:t xml:space="preserve"> </w:t>
      </w:r>
      <w:r w:rsidR="00A67E34" w:rsidRPr="006C491A">
        <w:rPr>
          <w:rFonts w:ascii="Times New Roman" w:hAnsi="Times New Roman" w:cs="Times New Roman"/>
          <w:sz w:val="24"/>
          <w:szCs w:val="24"/>
        </w:rPr>
        <w:t>from the fraud because the defendant company was a mere sham</w:t>
      </w:r>
      <w:r w:rsidR="004805F5" w:rsidRPr="006C491A">
        <w:rPr>
          <w:rFonts w:ascii="Times New Roman" w:hAnsi="Times New Roman" w:cs="Times New Roman"/>
          <w:sz w:val="24"/>
          <w:szCs w:val="24"/>
        </w:rPr>
        <w:t xml:space="preserve">. </w:t>
      </w:r>
    </w:p>
    <w:p w:rsidR="00E439D1" w:rsidRPr="006C491A" w:rsidRDefault="00E439D1" w:rsidP="005F4B57">
      <w:pPr>
        <w:spacing w:line="360" w:lineRule="auto"/>
        <w:jc w:val="both"/>
        <w:rPr>
          <w:rFonts w:ascii="Times New Roman" w:hAnsi="Times New Roman" w:cs="Times New Roman"/>
          <w:sz w:val="24"/>
          <w:szCs w:val="24"/>
        </w:rPr>
      </w:pPr>
    </w:p>
    <w:p w:rsidR="00BA706B" w:rsidRPr="006C491A" w:rsidRDefault="00BA706B" w:rsidP="006C491A">
      <w:pPr>
        <w:pStyle w:val="Heading1"/>
        <w:rPr>
          <w:rFonts w:ascii="Times New Roman" w:hAnsi="Times New Roman" w:cs="Times New Roman"/>
        </w:rPr>
      </w:pPr>
      <w:r w:rsidRPr="006C491A">
        <w:rPr>
          <w:rFonts w:ascii="Times New Roman" w:hAnsi="Times New Roman" w:cs="Times New Roman"/>
        </w:rPr>
        <w:t>Meaning of Piercing the Corporate Veil</w:t>
      </w:r>
      <w:r w:rsidR="004805F5" w:rsidRPr="006C491A">
        <w:rPr>
          <w:rFonts w:ascii="Times New Roman" w:hAnsi="Times New Roman" w:cs="Times New Roman"/>
        </w:rPr>
        <w:t xml:space="preserve"> in Taxation Matters</w:t>
      </w:r>
    </w:p>
    <w:p w:rsidR="00BA706B" w:rsidRPr="006C491A" w:rsidRDefault="0011001C" w:rsidP="005F4B57">
      <w:pPr>
        <w:spacing w:line="360" w:lineRule="auto"/>
        <w:jc w:val="both"/>
        <w:rPr>
          <w:rStyle w:val="apple-style-span"/>
          <w:rFonts w:ascii="Times New Roman" w:hAnsi="Times New Roman" w:cs="Times New Roman"/>
          <w:sz w:val="24"/>
          <w:szCs w:val="24"/>
        </w:rPr>
      </w:pPr>
      <w:r w:rsidRPr="006C491A">
        <w:rPr>
          <w:rFonts w:ascii="Times New Roman" w:hAnsi="Times New Roman" w:cs="Times New Roman"/>
          <w:sz w:val="24"/>
          <w:szCs w:val="24"/>
        </w:rPr>
        <w:t>The literal meaning of the term “piercing the corporate veil” means that “</w:t>
      </w:r>
      <w:r w:rsidRPr="006C491A">
        <w:rPr>
          <w:rStyle w:val="apple-style-span"/>
          <w:rFonts w:ascii="Times New Roman" w:hAnsi="Times New Roman" w:cs="Times New Roman"/>
          <w:sz w:val="24"/>
          <w:szCs w:val="24"/>
        </w:rPr>
        <w:t xml:space="preserve">the Court's unwillingness to permit corporate presence and action to divert judicial course of applying law to ascertain facts” </w:t>
      </w:r>
      <w:r w:rsidRPr="006C491A">
        <w:rPr>
          <w:rStyle w:val="FootnoteReference"/>
          <w:rFonts w:ascii="Times New Roman" w:hAnsi="Times New Roman" w:cs="Times New Roman"/>
          <w:sz w:val="24"/>
          <w:szCs w:val="24"/>
        </w:rPr>
        <w:footnoteReference w:id="9"/>
      </w:r>
      <w:r w:rsidRPr="006C491A">
        <w:rPr>
          <w:rStyle w:val="apple-style-span"/>
          <w:rFonts w:ascii="Times New Roman" w:hAnsi="Times New Roman" w:cs="Times New Roman"/>
          <w:sz w:val="24"/>
          <w:szCs w:val="24"/>
        </w:rPr>
        <w:t xml:space="preserve"> </w:t>
      </w:r>
      <w:r w:rsidR="00C10BF4" w:rsidRPr="006C491A">
        <w:rPr>
          <w:rStyle w:val="apple-style-span"/>
          <w:rFonts w:ascii="Times New Roman" w:hAnsi="Times New Roman" w:cs="Times New Roman"/>
          <w:sz w:val="24"/>
          <w:szCs w:val="24"/>
        </w:rPr>
        <w:t>When this principle is invoked, it is permissible to show that the individual hiding behind the corporation is liable to discharge the obligations ignoring the concept of corporation as a separate entity.</w:t>
      </w:r>
      <w:r w:rsidR="004805F5" w:rsidRPr="006C491A">
        <w:rPr>
          <w:rStyle w:val="apple-style-span"/>
          <w:rFonts w:ascii="Times New Roman" w:hAnsi="Times New Roman" w:cs="Times New Roman"/>
          <w:sz w:val="24"/>
          <w:szCs w:val="24"/>
        </w:rPr>
        <w:t xml:space="preserve"> </w:t>
      </w:r>
    </w:p>
    <w:p w:rsidR="005664B1" w:rsidRPr="006C491A" w:rsidRDefault="005664B1" w:rsidP="006C491A">
      <w:pPr>
        <w:pStyle w:val="Heading2"/>
        <w:rPr>
          <w:rStyle w:val="apple-style-span"/>
          <w:rFonts w:ascii="Times New Roman" w:hAnsi="Times New Roman" w:cs="Times New Roman"/>
          <w:b/>
        </w:rPr>
      </w:pPr>
      <w:r w:rsidRPr="006C491A">
        <w:rPr>
          <w:rStyle w:val="apple-style-span"/>
          <w:rFonts w:ascii="Times New Roman" w:hAnsi="Times New Roman" w:cs="Times New Roman"/>
          <w:b/>
        </w:rPr>
        <w:t>Doctrine in India</w:t>
      </w:r>
    </w:p>
    <w:p w:rsidR="004314E5" w:rsidRPr="006C491A" w:rsidRDefault="007C7154" w:rsidP="005F4B57">
      <w:pPr>
        <w:spacing w:line="360" w:lineRule="auto"/>
        <w:jc w:val="both"/>
        <w:rPr>
          <w:rStyle w:val="apple-style-span"/>
          <w:rFonts w:ascii="Times New Roman" w:hAnsi="Times New Roman" w:cs="Times New Roman"/>
          <w:sz w:val="24"/>
          <w:szCs w:val="24"/>
        </w:rPr>
      </w:pPr>
      <w:r w:rsidRPr="006C491A">
        <w:rPr>
          <w:rStyle w:val="apple-style-span"/>
          <w:rFonts w:ascii="Times New Roman" w:hAnsi="Times New Roman" w:cs="Times New Roman"/>
          <w:sz w:val="24"/>
          <w:szCs w:val="24"/>
        </w:rPr>
        <w:t>There is no ambiguity that a company is a distinct legal entity separate fro</w:t>
      </w:r>
      <w:r w:rsidR="004D3869">
        <w:rPr>
          <w:rStyle w:val="apple-style-span"/>
          <w:rFonts w:ascii="Times New Roman" w:hAnsi="Times New Roman" w:cs="Times New Roman"/>
          <w:sz w:val="24"/>
          <w:szCs w:val="24"/>
        </w:rPr>
        <w:t>m its shareholders. However, this</w:t>
      </w:r>
      <w:r w:rsidRPr="006C491A">
        <w:rPr>
          <w:rStyle w:val="apple-style-span"/>
          <w:rFonts w:ascii="Times New Roman" w:hAnsi="Times New Roman" w:cs="Times New Roman"/>
          <w:sz w:val="24"/>
          <w:szCs w:val="24"/>
        </w:rPr>
        <w:t xml:space="preserve"> principle is now a well settled principle of company law,</w:t>
      </w:r>
      <w:r w:rsidRPr="006C491A">
        <w:rPr>
          <w:rStyle w:val="FootnoteReference"/>
          <w:rFonts w:ascii="Times New Roman" w:hAnsi="Times New Roman" w:cs="Times New Roman"/>
          <w:sz w:val="24"/>
          <w:szCs w:val="24"/>
        </w:rPr>
        <w:footnoteReference w:id="10"/>
      </w:r>
      <w:r w:rsidRPr="006C491A">
        <w:rPr>
          <w:rStyle w:val="apple-style-span"/>
          <w:rFonts w:ascii="Times New Roman" w:hAnsi="Times New Roman" w:cs="Times New Roman"/>
          <w:sz w:val="24"/>
          <w:szCs w:val="24"/>
        </w:rPr>
        <w:t xml:space="preserve"> and can be used now as an inst</w:t>
      </w:r>
      <w:r w:rsidR="004D3869">
        <w:rPr>
          <w:rStyle w:val="apple-style-span"/>
          <w:rFonts w:ascii="Times New Roman" w:hAnsi="Times New Roman" w:cs="Times New Roman"/>
          <w:sz w:val="24"/>
          <w:szCs w:val="24"/>
        </w:rPr>
        <w:t>rument in taxation matters. T</w:t>
      </w:r>
      <w:r w:rsidRPr="006C491A">
        <w:rPr>
          <w:rStyle w:val="apple-style-span"/>
          <w:rFonts w:ascii="Times New Roman" w:hAnsi="Times New Roman" w:cs="Times New Roman"/>
          <w:sz w:val="24"/>
          <w:szCs w:val="24"/>
        </w:rPr>
        <w:t>his principle was applied by Supreme Court in Kapila Hingorani v. State of Biha</w:t>
      </w:r>
      <w:r w:rsidR="005B55E3" w:rsidRPr="006C491A">
        <w:rPr>
          <w:rStyle w:val="apple-style-span"/>
          <w:rFonts w:ascii="Times New Roman" w:hAnsi="Times New Roman" w:cs="Times New Roman"/>
          <w:sz w:val="24"/>
          <w:szCs w:val="24"/>
        </w:rPr>
        <w:t>r</w:t>
      </w:r>
      <w:r w:rsidRPr="006C491A">
        <w:rPr>
          <w:rStyle w:val="FootnoteReference"/>
          <w:rFonts w:ascii="Times New Roman" w:hAnsi="Times New Roman" w:cs="Times New Roman"/>
          <w:sz w:val="24"/>
          <w:szCs w:val="24"/>
        </w:rPr>
        <w:footnoteReference w:id="11"/>
      </w:r>
      <w:r w:rsidR="004D3869">
        <w:rPr>
          <w:rStyle w:val="apple-style-span"/>
          <w:rFonts w:ascii="Times New Roman" w:hAnsi="Times New Roman" w:cs="Times New Roman"/>
          <w:sz w:val="24"/>
          <w:szCs w:val="24"/>
        </w:rPr>
        <w:t xml:space="preserve">, </w:t>
      </w:r>
      <w:r w:rsidR="004D3869" w:rsidRPr="006C491A">
        <w:rPr>
          <w:rStyle w:val="apple-style-span"/>
          <w:rFonts w:ascii="Times New Roman" w:hAnsi="Times New Roman" w:cs="Times New Roman"/>
          <w:sz w:val="24"/>
          <w:szCs w:val="24"/>
        </w:rPr>
        <w:t>and</w:t>
      </w:r>
      <w:r w:rsidR="00CE00E6" w:rsidRPr="006C491A">
        <w:rPr>
          <w:rStyle w:val="apple-style-span"/>
          <w:rFonts w:ascii="Times New Roman" w:hAnsi="Times New Roman" w:cs="Times New Roman"/>
          <w:sz w:val="24"/>
          <w:szCs w:val="24"/>
        </w:rPr>
        <w:t xml:space="preserve"> it is</w:t>
      </w:r>
      <w:r w:rsidR="00AB545F" w:rsidRPr="006C491A">
        <w:rPr>
          <w:rStyle w:val="apple-style-span"/>
          <w:rFonts w:ascii="Times New Roman" w:hAnsi="Times New Roman" w:cs="Times New Roman"/>
          <w:sz w:val="24"/>
          <w:szCs w:val="24"/>
        </w:rPr>
        <w:t xml:space="preserve"> also</w:t>
      </w:r>
      <w:r w:rsidR="00CE00E6" w:rsidRPr="006C491A">
        <w:rPr>
          <w:rStyle w:val="apple-style-span"/>
          <w:rFonts w:ascii="Times New Roman" w:hAnsi="Times New Roman" w:cs="Times New Roman"/>
          <w:sz w:val="24"/>
          <w:szCs w:val="24"/>
        </w:rPr>
        <w:t xml:space="preserve"> well settled that in the matter of tax avoidance </w:t>
      </w:r>
      <w:r w:rsidR="004314E5" w:rsidRPr="006C491A">
        <w:rPr>
          <w:rStyle w:val="apple-style-span"/>
          <w:rFonts w:ascii="Times New Roman" w:hAnsi="Times New Roman" w:cs="Times New Roman"/>
          <w:sz w:val="24"/>
          <w:szCs w:val="24"/>
        </w:rPr>
        <w:t>Income Tax authorities are entitled to pierce the corporate veil to look into the real transactions. In Juggi Lal Kamlapat v. CIT, U.P,</w:t>
      </w:r>
      <w:r w:rsidR="004314E5" w:rsidRPr="006C491A">
        <w:rPr>
          <w:rStyle w:val="FootnoteReference"/>
          <w:rFonts w:ascii="Times New Roman" w:hAnsi="Times New Roman" w:cs="Times New Roman"/>
          <w:sz w:val="24"/>
          <w:szCs w:val="24"/>
        </w:rPr>
        <w:footnoteReference w:id="12"/>
      </w:r>
      <w:r w:rsidR="004314E5" w:rsidRPr="006C491A">
        <w:rPr>
          <w:rStyle w:val="apple-style-span"/>
          <w:rFonts w:ascii="Times New Roman" w:hAnsi="Times New Roman" w:cs="Times New Roman"/>
          <w:sz w:val="24"/>
          <w:szCs w:val="24"/>
        </w:rPr>
        <w:t xml:space="preserve"> Ramaswami,J observed that:</w:t>
      </w:r>
    </w:p>
    <w:p w:rsidR="005664B1" w:rsidRPr="006C491A" w:rsidRDefault="004314E5" w:rsidP="005F4B57">
      <w:pPr>
        <w:spacing w:line="360" w:lineRule="auto"/>
        <w:jc w:val="both"/>
        <w:rPr>
          <w:rStyle w:val="apple-style-span"/>
          <w:rFonts w:ascii="Times New Roman" w:hAnsi="Times New Roman" w:cs="Times New Roman"/>
          <w:sz w:val="24"/>
          <w:szCs w:val="24"/>
        </w:rPr>
      </w:pPr>
      <w:r w:rsidRPr="006C491A">
        <w:rPr>
          <w:rStyle w:val="apple-style-span"/>
          <w:rFonts w:ascii="Times New Roman" w:hAnsi="Times New Roman" w:cs="Times New Roman"/>
          <w:sz w:val="24"/>
          <w:szCs w:val="24"/>
        </w:rPr>
        <w:t xml:space="preserve">        "</w:t>
      </w:r>
      <w:r w:rsidRPr="006C491A">
        <w:rPr>
          <w:rStyle w:val="apple-style-span"/>
          <w:rFonts w:ascii="Times New Roman" w:hAnsi="Times New Roman" w:cs="Times New Roman"/>
          <w:iCs/>
          <w:sz w:val="24"/>
          <w:szCs w:val="24"/>
        </w:rPr>
        <w:t xml:space="preserve">From a juristic point of view the Corporation may be a legal personality distinct from its members. But the Court is entitled to lift the mask of corporate entity if the conception is used for tax </w:t>
      </w:r>
      <w:r w:rsidR="004D3869">
        <w:rPr>
          <w:rStyle w:val="apple-style-span"/>
          <w:rFonts w:ascii="Times New Roman" w:hAnsi="Times New Roman" w:cs="Times New Roman"/>
          <w:iCs/>
          <w:sz w:val="24"/>
          <w:szCs w:val="24"/>
        </w:rPr>
        <w:t>eviction o</w:t>
      </w:r>
      <w:r w:rsidR="00486B5B" w:rsidRPr="006C491A">
        <w:rPr>
          <w:rStyle w:val="apple-style-span"/>
          <w:rFonts w:ascii="Times New Roman" w:hAnsi="Times New Roman" w:cs="Times New Roman"/>
          <w:iCs/>
          <w:sz w:val="24"/>
          <w:szCs w:val="24"/>
        </w:rPr>
        <w:t>r to circumvent tax obligation, o</w:t>
      </w:r>
      <w:r w:rsidRPr="006C491A">
        <w:rPr>
          <w:rStyle w:val="apple-style-span"/>
          <w:rFonts w:ascii="Times New Roman" w:hAnsi="Times New Roman" w:cs="Times New Roman"/>
          <w:iCs/>
          <w:sz w:val="24"/>
          <w:szCs w:val="24"/>
        </w:rPr>
        <w:t>r to perpetrate a fraud."</w:t>
      </w:r>
      <w:r w:rsidR="005B55E3" w:rsidRPr="006C491A">
        <w:rPr>
          <w:rStyle w:val="apple-style-span"/>
          <w:rFonts w:ascii="Times New Roman" w:hAnsi="Times New Roman" w:cs="Times New Roman"/>
          <w:sz w:val="24"/>
          <w:szCs w:val="24"/>
        </w:rPr>
        <w:t xml:space="preserve"> </w:t>
      </w:r>
      <w:r w:rsidR="00081417">
        <w:rPr>
          <w:rStyle w:val="apple-style-span"/>
          <w:rFonts w:ascii="Times New Roman" w:hAnsi="Times New Roman" w:cs="Times New Roman"/>
          <w:sz w:val="24"/>
          <w:szCs w:val="24"/>
        </w:rPr>
        <w:t xml:space="preserve"> </w:t>
      </w:r>
    </w:p>
    <w:p w:rsidR="006317B9" w:rsidRPr="006C491A" w:rsidRDefault="006317B9" w:rsidP="005F4B57">
      <w:pPr>
        <w:spacing w:line="360" w:lineRule="auto"/>
        <w:jc w:val="both"/>
        <w:rPr>
          <w:rStyle w:val="apple-style-span"/>
          <w:rFonts w:ascii="Times New Roman" w:hAnsi="Times New Roman" w:cs="Times New Roman"/>
          <w:sz w:val="24"/>
          <w:szCs w:val="24"/>
        </w:rPr>
      </w:pPr>
      <w:r w:rsidRPr="006C491A">
        <w:rPr>
          <w:rStyle w:val="apple-style-span"/>
          <w:rFonts w:ascii="Times New Roman" w:hAnsi="Times New Roman" w:cs="Times New Roman"/>
          <w:sz w:val="24"/>
          <w:szCs w:val="24"/>
        </w:rPr>
        <w:t xml:space="preserve">Here, we have to focus </w:t>
      </w:r>
      <w:r w:rsidR="004B01BA" w:rsidRPr="006C491A">
        <w:rPr>
          <w:rStyle w:val="apple-style-span"/>
          <w:rFonts w:ascii="Times New Roman" w:hAnsi="Times New Roman" w:cs="Times New Roman"/>
          <w:sz w:val="24"/>
          <w:szCs w:val="24"/>
        </w:rPr>
        <w:t>on the word</w:t>
      </w:r>
      <w:r w:rsidRPr="006C491A">
        <w:rPr>
          <w:rStyle w:val="apple-style-span"/>
          <w:rFonts w:ascii="Times New Roman" w:hAnsi="Times New Roman" w:cs="Times New Roman"/>
          <w:sz w:val="24"/>
          <w:szCs w:val="24"/>
        </w:rPr>
        <w:t xml:space="preserve"> tax eviction, from the above case trend of lifting the corporate veil in taxation matters has started, which is still followed, </w:t>
      </w:r>
      <w:r w:rsidR="004D3869">
        <w:rPr>
          <w:rStyle w:val="apple-style-span"/>
          <w:rFonts w:ascii="Times New Roman" w:hAnsi="Times New Roman" w:cs="Times New Roman"/>
          <w:sz w:val="24"/>
          <w:szCs w:val="24"/>
        </w:rPr>
        <w:t>as earlier there</w:t>
      </w:r>
      <w:r w:rsidR="00DF2EA2" w:rsidRPr="006C491A">
        <w:rPr>
          <w:rStyle w:val="apple-style-span"/>
          <w:rFonts w:ascii="Times New Roman" w:hAnsi="Times New Roman" w:cs="Times New Roman"/>
          <w:sz w:val="24"/>
          <w:szCs w:val="24"/>
        </w:rPr>
        <w:t xml:space="preserve"> was no </w:t>
      </w:r>
      <w:r w:rsidR="00DF2EA2" w:rsidRPr="006C491A">
        <w:rPr>
          <w:rStyle w:val="apple-style-span"/>
          <w:rFonts w:ascii="Times New Roman" w:hAnsi="Times New Roman" w:cs="Times New Roman"/>
          <w:sz w:val="24"/>
          <w:szCs w:val="24"/>
        </w:rPr>
        <w:lastRenderedPageBreak/>
        <w:t>power</w:t>
      </w:r>
      <w:r w:rsidR="004B01BA" w:rsidRPr="006C491A">
        <w:rPr>
          <w:rStyle w:val="apple-style-span"/>
          <w:rFonts w:ascii="Times New Roman" w:hAnsi="Times New Roman" w:cs="Times New Roman"/>
          <w:sz w:val="24"/>
          <w:szCs w:val="24"/>
        </w:rPr>
        <w:t xml:space="preserve"> given</w:t>
      </w:r>
      <w:r w:rsidR="00DF2EA2" w:rsidRPr="006C491A">
        <w:rPr>
          <w:rStyle w:val="apple-style-span"/>
          <w:rFonts w:ascii="Times New Roman" w:hAnsi="Times New Roman" w:cs="Times New Roman"/>
          <w:sz w:val="24"/>
          <w:szCs w:val="24"/>
        </w:rPr>
        <w:t xml:space="preserve"> to taxing authority for interfering in the works of corporation, because of which certain com</w:t>
      </w:r>
      <w:r w:rsidR="004B01BA" w:rsidRPr="006C491A">
        <w:rPr>
          <w:rStyle w:val="apple-style-span"/>
          <w:rFonts w:ascii="Times New Roman" w:hAnsi="Times New Roman" w:cs="Times New Roman"/>
          <w:sz w:val="24"/>
          <w:szCs w:val="24"/>
        </w:rPr>
        <w:t xml:space="preserve">panies started evasion of taxes and started deviating from the object of the evolvement of the concept of corporate entity. </w:t>
      </w:r>
      <w:r w:rsidR="00DF2EA2" w:rsidRPr="006C491A">
        <w:rPr>
          <w:rStyle w:val="apple-style-span"/>
          <w:rFonts w:ascii="Times New Roman" w:hAnsi="Times New Roman" w:cs="Times New Roman"/>
          <w:sz w:val="24"/>
          <w:szCs w:val="24"/>
        </w:rPr>
        <w:t xml:space="preserve">In result of this country’s economy started facing heavy revenue losses. So, courts started using the doctrine </w:t>
      </w:r>
      <w:r w:rsidR="00C3450E" w:rsidRPr="006C491A">
        <w:rPr>
          <w:rStyle w:val="apple-style-span"/>
          <w:rFonts w:ascii="Times New Roman" w:hAnsi="Times New Roman" w:cs="Times New Roman"/>
          <w:sz w:val="24"/>
          <w:szCs w:val="24"/>
        </w:rPr>
        <w:t>because it is the duty of the court, in every case where ingenuity is expended to avoid taxing and welfare legislations, to get behind the smoke-screen and discover the true state of affairs.</w:t>
      </w:r>
      <w:r w:rsidR="00C3450E" w:rsidRPr="006C491A">
        <w:rPr>
          <w:rStyle w:val="FootnoteReference"/>
          <w:rFonts w:ascii="Times New Roman" w:hAnsi="Times New Roman" w:cs="Times New Roman"/>
          <w:sz w:val="24"/>
          <w:szCs w:val="24"/>
        </w:rPr>
        <w:footnoteReference w:id="13"/>
      </w:r>
      <w:r w:rsidR="00C3450E" w:rsidRPr="006C491A">
        <w:rPr>
          <w:rStyle w:val="apple-style-span"/>
          <w:rFonts w:ascii="Times New Roman" w:hAnsi="Times New Roman" w:cs="Times New Roman"/>
          <w:sz w:val="24"/>
          <w:szCs w:val="24"/>
        </w:rPr>
        <w:t xml:space="preserve"> </w:t>
      </w:r>
    </w:p>
    <w:p w:rsidR="004B01BA" w:rsidRPr="006C491A" w:rsidRDefault="002A0D0D" w:rsidP="005F4B57">
      <w:pPr>
        <w:spacing w:line="360" w:lineRule="auto"/>
        <w:jc w:val="both"/>
        <w:rPr>
          <w:rStyle w:val="apple-style-span"/>
          <w:rFonts w:ascii="Times New Roman" w:hAnsi="Times New Roman" w:cs="Times New Roman"/>
          <w:sz w:val="24"/>
          <w:szCs w:val="24"/>
        </w:rPr>
      </w:pPr>
      <w:r w:rsidRPr="006C491A">
        <w:rPr>
          <w:rStyle w:val="apple-style-span"/>
          <w:rFonts w:ascii="Times New Roman" w:hAnsi="Times New Roman" w:cs="Times New Roman"/>
          <w:sz w:val="24"/>
          <w:szCs w:val="24"/>
        </w:rPr>
        <w:t>In CIT v. Shri Meenakshi Mills Ltd.,</w:t>
      </w:r>
      <w:r w:rsidRPr="006C491A">
        <w:rPr>
          <w:rStyle w:val="FootnoteReference"/>
          <w:rFonts w:ascii="Times New Roman" w:hAnsi="Times New Roman" w:cs="Times New Roman"/>
          <w:sz w:val="24"/>
          <w:szCs w:val="24"/>
        </w:rPr>
        <w:footnoteReference w:id="14"/>
      </w:r>
      <w:r w:rsidRPr="006C491A">
        <w:rPr>
          <w:rStyle w:val="apple-style-span"/>
          <w:rFonts w:ascii="Times New Roman" w:hAnsi="Times New Roman" w:cs="Times New Roman"/>
          <w:sz w:val="24"/>
          <w:szCs w:val="24"/>
        </w:rPr>
        <w:t xml:space="preserve"> Ramaswami observed that:</w:t>
      </w:r>
    </w:p>
    <w:p w:rsidR="002A0D0D" w:rsidRPr="006C491A" w:rsidRDefault="002A0D0D" w:rsidP="005F4B57">
      <w:pPr>
        <w:spacing w:line="360" w:lineRule="auto"/>
        <w:jc w:val="both"/>
        <w:rPr>
          <w:rStyle w:val="apple-style-span"/>
          <w:rFonts w:ascii="Times New Roman" w:hAnsi="Times New Roman" w:cs="Times New Roman"/>
          <w:sz w:val="24"/>
          <w:szCs w:val="24"/>
        </w:rPr>
      </w:pPr>
      <w:r w:rsidRPr="006C491A">
        <w:rPr>
          <w:rStyle w:val="apple-style-span"/>
          <w:rFonts w:ascii="Times New Roman" w:hAnsi="Times New Roman" w:cs="Times New Roman"/>
          <w:sz w:val="24"/>
          <w:szCs w:val="24"/>
        </w:rPr>
        <w:t xml:space="preserve">        “It is well established that in a matter of this description the Income-tax authorities are entitled to pierce the veil of corporate entity and to look at the reality of the transaction. But in certain exceptional cases the Court is entitled to lift the veil of corporate entity and to pay regard to the economic realities behind the legal facade. For example, the Court has power to disregard the corporate entity if it is used for tax evasion or to circumvent tax obligation."</w:t>
      </w:r>
    </w:p>
    <w:p w:rsidR="006C491A" w:rsidRPr="006C491A" w:rsidRDefault="002A0D0D" w:rsidP="005F4B57">
      <w:pPr>
        <w:spacing w:line="360" w:lineRule="auto"/>
        <w:jc w:val="both"/>
        <w:rPr>
          <w:rFonts w:ascii="Times New Roman" w:eastAsia="Times New Roman" w:hAnsi="Times New Roman" w:cs="Times New Roman"/>
          <w:sz w:val="24"/>
          <w:szCs w:val="24"/>
        </w:rPr>
      </w:pPr>
      <w:r w:rsidRPr="006C491A">
        <w:rPr>
          <w:rStyle w:val="apple-style-span"/>
          <w:rFonts w:ascii="Times New Roman" w:hAnsi="Times New Roman" w:cs="Times New Roman"/>
          <w:sz w:val="24"/>
          <w:szCs w:val="24"/>
        </w:rPr>
        <w:t>As recently in Richter Holding Ltd v ADIT,</w:t>
      </w:r>
      <w:r w:rsidRPr="006C491A">
        <w:rPr>
          <w:rStyle w:val="FootnoteReference"/>
          <w:rFonts w:ascii="Times New Roman" w:hAnsi="Times New Roman" w:cs="Times New Roman"/>
          <w:sz w:val="24"/>
          <w:szCs w:val="24"/>
        </w:rPr>
        <w:footnoteReference w:id="15"/>
      </w:r>
      <w:r w:rsidRPr="006C491A">
        <w:rPr>
          <w:rStyle w:val="apple-style-span"/>
          <w:rFonts w:ascii="Times New Roman" w:hAnsi="Times New Roman" w:cs="Times New Roman"/>
          <w:sz w:val="24"/>
          <w:szCs w:val="24"/>
        </w:rPr>
        <w:t xml:space="preserve">  Karnataka High Court said that</w:t>
      </w:r>
      <w:r w:rsidR="000F3E82" w:rsidRPr="006C491A">
        <w:rPr>
          <w:rStyle w:val="apple-style-span"/>
          <w:rFonts w:ascii="Times New Roman" w:hAnsi="Times New Roman" w:cs="Times New Roman"/>
          <w:sz w:val="24"/>
          <w:szCs w:val="24"/>
        </w:rPr>
        <w:t xml:space="preserve"> the taxing authorities can lift corporate veil to determine the facts of the transaction with a view to ascertain whether there is any tax avoidance or not. And they can also look into the transactions. As Income Tax Act, 1961 stands today there is no explicit provision for ‘looking through’</w:t>
      </w:r>
      <w:r w:rsidR="00704EF6" w:rsidRPr="006C491A">
        <w:rPr>
          <w:rStyle w:val="apple-style-span"/>
          <w:rFonts w:ascii="Times New Roman" w:hAnsi="Times New Roman" w:cs="Times New Roman"/>
          <w:sz w:val="24"/>
          <w:szCs w:val="24"/>
        </w:rPr>
        <w:t xml:space="preserve"> the transactions. That is why, </w:t>
      </w:r>
      <w:r w:rsidR="00704EF6" w:rsidRPr="006C491A">
        <w:rPr>
          <w:rFonts w:ascii="Times New Roman" w:eastAsia="Times New Roman" w:hAnsi="Times New Roman" w:cs="Times New Roman"/>
          <w:sz w:val="24"/>
          <w:szCs w:val="24"/>
        </w:rPr>
        <w:t xml:space="preserve">the proposed Direct Taxes Code (DTC) has General Anti Avoidance Rules (GAAR) provisions embedded in it which is essentially based on the principle of lifting of the corporate veil which provides a specific power to taxing authorities to look into the transactions and can lift the veil if there is </w:t>
      </w:r>
      <w:r w:rsidR="00366793" w:rsidRPr="006C491A">
        <w:rPr>
          <w:rFonts w:ascii="Times New Roman" w:eastAsia="Times New Roman" w:hAnsi="Times New Roman" w:cs="Times New Roman"/>
          <w:sz w:val="24"/>
          <w:szCs w:val="24"/>
        </w:rPr>
        <w:t>any</w:t>
      </w:r>
      <w:r w:rsidR="00704EF6" w:rsidRPr="006C491A">
        <w:rPr>
          <w:rFonts w:ascii="Times New Roman" w:eastAsia="Times New Roman" w:hAnsi="Times New Roman" w:cs="Times New Roman"/>
          <w:sz w:val="24"/>
          <w:szCs w:val="24"/>
        </w:rPr>
        <w:t xml:space="preserve"> kind of fraud or evasion of tax by the company.</w:t>
      </w:r>
      <w:r w:rsidR="006C491A" w:rsidRPr="006C491A">
        <w:rPr>
          <w:rFonts w:ascii="Times New Roman" w:eastAsia="Times New Roman" w:hAnsi="Times New Roman" w:cs="Times New Roman"/>
          <w:sz w:val="24"/>
          <w:szCs w:val="24"/>
        </w:rPr>
        <w:t xml:space="preserve"> </w:t>
      </w:r>
    </w:p>
    <w:p w:rsidR="00E439D1" w:rsidRPr="006C491A" w:rsidRDefault="00704EF6" w:rsidP="005F4B57">
      <w:pPr>
        <w:spacing w:line="360" w:lineRule="auto"/>
        <w:jc w:val="both"/>
        <w:rPr>
          <w:rFonts w:ascii="Times New Roman" w:eastAsia="Times New Roman" w:hAnsi="Times New Roman" w:cs="Times New Roman"/>
          <w:sz w:val="24"/>
          <w:szCs w:val="24"/>
        </w:rPr>
      </w:pPr>
      <w:r w:rsidRPr="006C491A">
        <w:rPr>
          <w:rFonts w:ascii="Times New Roman" w:eastAsia="Times New Roman" w:hAnsi="Times New Roman" w:cs="Times New Roman"/>
          <w:sz w:val="24"/>
          <w:szCs w:val="24"/>
        </w:rPr>
        <w:t xml:space="preserve"> </w:t>
      </w:r>
    </w:p>
    <w:p w:rsidR="00E439D1" w:rsidRPr="006C491A" w:rsidRDefault="00E439D1" w:rsidP="006C491A">
      <w:pPr>
        <w:pStyle w:val="Heading1"/>
        <w:rPr>
          <w:rFonts w:ascii="Times New Roman" w:hAnsi="Times New Roman" w:cs="Times New Roman"/>
        </w:rPr>
      </w:pPr>
      <w:r w:rsidRPr="006C491A">
        <w:rPr>
          <w:rFonts w:ascii="Times New Roman" w:hAnsi="Times New Roman" w:cs="Times New Roman"/>
        </w:rPr>
        <w:t xml:space="preserve">ANALYSIS OF VARIOUS TAXABLE TRANSACTIONS: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As Sec 92B of the Income Tax Act states that transactions has been defined to include an arrangement, action or understanding in concert; whether or not such understanding, arrangement or action is formal or in writing, Or, whether or not such arrangement, </w:t>
      </w:r>
      <w:r w:rsidRPr="006C491A">
        <w:rPr>
          <w:rFonts w:ascii="Times New Roman" w:hAnsi="Times New Roman" w:cs="Times New Roman"/>
          <w:sz w:val="24"/>
          <w:szCs w:val="24"/>
        </w:rPr>
        <w:lastRenderedPageBreak/>
        <w:t>understanding or action is intended to be enforceable in legal proceedings. The Act also defines international transaction as a transaction between two or more associated enterprises, either or both of whom are non-residents, in the nature of purchase, sale or lease of tangible or intangible property, or provision of services, or lending or borrowing money, or any other transaction having a bearing on the profits, income, losses or assets of such enterprises, and shall include a mutual agreement or arrangement between two or more associated enterprises for the allocation or apportionment of, or any contribution to, any cost or expense incurred or to be incurred in connection with a benefit, service or facility provided or to be provided to any one or more of such enterprises. The Statute prescribes for the application of strict interpretation of various expenditures and receipts as enshrined under Income Tax Act, 1961. The whole debate revolves around the essence of these transactions, meaning whether it is of a capital nature or revenue nature. Now the total income of the assessee (subject to statutory exemptions) is chargeable under Sec 4(1) of the said act</w:t>
      </w:r>
      <w:r w:rsidRPr="006C491A">
        <w:rPr>
          <w:rStyle w:val="FootnoteReference"/>
          <w:rFonts w:ascii="Times New Roman" w:hAnsi="Times New Roman" w:cs="Times New Roman"/>
          <w:sz w:val="24"/>
          <w:szCs w:val="24"/>
        </w:rPr>
        <w:footnoteReference w:id="16"/>
      </w:r>
      <w:r w:rsidRPr="006C491A">
        <w:rPr>
          <w:rFonts w:ascii="Times New Roman" w:hAnsi="Times New Roman" w:cs="Times New Roman"/>
          <w:sz w:val="24"/>
          <w:szCs w:val="24"/>
        </w:rPr>
        <w:t xml:space="preserve">. The scope of total income, which varies with the factor of residence, is defined under Sec 5 of the said act and the sources of income under which the abovementioned transactions can be charged is provided under Sec 14. In short, Sec 4(1) charges total income; Sec 5 defines its range; and Sec 14 classifies it for the purpose of quantifying it. Since the focus of the study lies in preventing the trend of tax evasion being followed by the body corporate, the research is restricted on profits and gain of business and profession. But this is just one facet of the coin. The other facet envisages the new rule that is going to be implemented from the next year covering all the direct taxes in a single handbook is what will be known as DTC (Direct Tax Code) 2010. Hence this provides with the betterment of the old law and shorter loopholes to the tax evasions so as to ensure regular flow of revenue to the government, because the payer of income is required to deduct tax from certain payments at the prescribed rates and pay it to the credit of the central government within the prescribed time, failing which he is deemed to be an assessee in default and becomes liable to penalties. These defaults are invoked by some assesses in certain transaction issues. Some of these indispensible transactions are as follows;  </w:t>
      </w:r>
    </w:p>
    <w:p w:rsidR="006C491A" w:rsidRPr="006C491A" w:rsidRDefault="006C491A" w:rsidP="005F4B57">
      <w:pPr>
        <w:spacing w:line="360" w:lineRule="auto"/>
        <w:jc w:val="both"/>
        <w:rPr>
          <w:rFonts w:ascii="Times New Roman" w:hAnsi="Times New Roman" w:cs="Times New Roman"/>
          <w:sz w:val="24"/>
          <w:szCs w:val="24"/>
        </w:rPr>
      </w:pPr>
    </w:p>
    <w:p w:rsidR="00E439D1" w:rsidRPr="006C491A" w:rsidRDefault="00E439D1" w:rsidP="006C491A">
      <w:pPr>
        <w:pStyle w:val="Heading2"/>
        <w:rPr>
          <w:rFonts w:ascii="Times New Roman" w:hAnsi="Times New Roman" w:cs="Times New Roman"/>
        </w:rPr>
      </w:pPr>
      <w:r w:rsidRPr="006C491A">
        <w:rPr>
          <w:rFonts w:ascii="Times New Roman" w:hAnsi="Times New Roman" w:cs="Times New Roman"/>
        </w:rPr>
        <w:lastRenderedPageBreak/>
        <w:t>1.  Dividend:</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As per Sec 2(22) dividend includes any distribution by a company of accumulated profits, whether capitalized or not, or any debentures or deposit certificates whether with or without interest, or any distribution at the time of liquidation etc but doesn’t includes any distribution made in respect of any share issued for full cash consideration, where the holder of the share is not entitled in the event of liquidation to participate in the surplus assets, or if such share is attributable to the capitalized profits of the company representing bonus shares, or any dividend which is set off by the company against the whole or any part of the sum previously paid etc. In general sense, Dividends are usually paid to owners or shareholders of business at specific periods. This is apparently based on the declared earning of the company and the recommendations made by its directors.</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Thus, if there are no profits made, dividends are not declared. But when profits are made, the company is obligated to pay corporate tax including other statutory taxes to the government. This is an essential corporate responsibility particularly profit making companies. Normally, dividend is taxable on the basis of its declaration while deemed dividend and interim dividend is taxable on the basis of payment</w:t>
      </w:r>
      <w:r w:rsidRPr="006C491A">
        <w:rPr>
          <w:rStyle w:val="FootnoteReference"/>
          <w:rFonts w:ascii="Times New Roman" w:hAnsi="Times New Roman" w:cs="Times New Roman"/>
          <w:sz w:val="24"/>
          <w:szCs w:val="24"/>
        </w:rPr>
        <w:footnoteReference w:id="17"/>
      </w:r>
      <w:r w:rsidRPr="006C491A">
        <w:rPr>
          <w:rFonts w:ascii="Times New Roman" w:hAnsi="Times New Roman" w:cs="Times New Roman"/>
          <w:sz w:val="24"/>
          <w:szCs w:val="24"/>
        </w:rPr>
        <w:t>. The taxes no doubt reduce the profits available at the disposal of the organizations, either to be retained or distributed as a dividend to shareholders of the company.</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If the dividend is more than the specified limit under section 194 (which is at present Rs. 2,500 in a year) then the dividend actually received will be after deducting a specified percentage of tax of TDS (Tax Deducted at Source). In these cases, some tax is deducted and the balance amount of Dividend is paid to the shareholder. The balance amount paid to shareholder is called net dividend or dividend received and the total dividend is called the gross dividend</w:t>
      </w:r>
      <w:r w:rsidRPr="006C491A">
        <w:rPr>
          <w:rStyle w:val="FootnoteReference"/>
          <w:rFonts w:ascii="Times New Roman" w:hAnsi="Times New Roman" w:cs="Times New Roman"/>
          <w:sz w:val="24"/>
          <w:szCs w:val="24"/>
        </w:rPr>
        <w:footnoteReference w:id="18"/>
      </w:r>
      <w:r w:rsidRPr="006C491A">
        <w:rPr>
          <w:rFonts w:ascii="Times New Roman" w:hAnsi="Times New Roman" w:cs="Times New Roman"/>
          <w:sz w:val="24"/>
          <w:szCs w:val="24"/>
        </w:rPr>
        <w:t xml:space="preserve">.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In the case of Income Tax Officer v. Kalyan M Gupta</w:t>
      </w:r>
      <w:r w:rsidRPr="006C491A">
        <w:rPr>
          <w:rStyle w:val="FootnoteReference"/>
          <w:rFonts w:ascii="Times New Roman" w:hAnsi="Times New Roman" w:cs="Times New Roman"/>
          <w:sz w:val="24"/>
          <w:szCs w:val="24"/>
        </w:rPr>
        <w:footnoteReference w:id="19"/>
      </w:r>
      <w:r w:rsidRPr="006C491A">
        <w:rPr>
          <w:rFonts w:ascii="Times New Roman" w:hAnsi="Times New Roman" w:cs="Times New Roman"/>
          <w:sz w:val="24"/>
          <w:szCs w:val="24"/>
        </w:rPr>
        <w:t xml:space="preserve">, a loan of Rs seventy three lacs by the company to its shareholder Mr Gupta was strictly interpreted as a deemed dividend by the Revenue Department. Mr Gupta tried to evade the tax by stating that the amount can’t come under the purview of loan and advances and it was just a temporary borrowing. The tribunal </w:t>
      </w:r>
      <w:r w:rsidRPr="006C491A">
        <w:rPr>
          <w:rFonts w:ascii="Times New Roman" w:hAnsi="Times New Roman" w:cs="Times New Roman"/>
          <w:sz w:val="24"/>
          <w:szCs w:val="24"/>
        </w:rPr>
        <w:lastRenderedPageBreak/>
        <w:t xml:space="preserve">examined Sections 115O, 115P and 115Q in Chapter XIID of the Act and referred to the Explanation given in this chapter. The bench ruled out that for the purposes of this Chapter, the expression “dividend” shall have the same meaning as is given to “dividend” in clause (22) of Section 2 but shall not include sub-clause (e) thereof of the ITA ACT 1961. Thus it was made chargeable to income tax on the account of deemed dividend being a dividend income and hence induces capital gain.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       A series of transactions of which the only object is to show a fictitious loss by juggling with figures, may constitute an exercise in fiscal conjuring and book-keeping fantasy but it would not constitute business. But so long as the transaction is not a sham, it would not be divested of its business character merely because it is entered into with an ulterior fiscal object</w:t>
      </w:r>
      <w:r w:rsidRPr="006C491A">
        <w:rPr>
          <w:rStyle w:val="FootnoteReference"/>
          <w:rFonts w:ascii="Times New Roman" w:hAnsi="Times New Roman" w:cs="Times New Roman"/>
          <w:sz w:val="24"/>
          <w:szCs w:val="24"/>
        </w:rPr>
        <w:footnoteReference w:id="20"/>
      </w:r>
      <w:r w:rsidRPr="006C491A">
        <w:rPr>
          <w:rFonts w:ascii="Times New Roman" w:hAnsi="Times New Roman" w:cs="Times New Roman"/>
          <w:sz w:val="24"/>
          <w:szCs w:val="24"/>
        </w:rPr>
        <w:t>. The court however ruled out in the case of Thomson v. Gurneville</w:t>
      </w:r>
      <w:r w:rsidRPr="006C491A">
        <w:rPr>
          <w:rStyle w:val="FootnoteReference"/>
          <w:rFonts w:ascii="Times New Roman" w:hAnsi="Times New Roman" w:cs="Times New Roman"/>
          <w:sz w:val="24"/>
          <w:szCs w:val="24"/>
        </w:rPr>
        <w:footnoteReference w:id="21"/>
      </w:r>
      <w:r w:rsidRPr="006C491A">
        <w:rPr>
          <w:rFonts w:ascii="Times New Roman" w:hAnsi="Times New Roman" w:cs="Times New Roman"/>
          <w:sz w:val="24"/>
          <w:szCs w:val="24"/>
        </w:rPr>
        <w:t xml:space="preserve"> that if the transaction is designed to secure a tax advantage only, eg pure dividend-stripping, the mere fact that it involves the purchase and sale of shares doesn’t suffice to make it a trading transaction; dividend stripping is tax avoidance device but not a trade</w:t>
      </w:r>
      <w:r w:rsidRPr="006C491A">
        <w:rPr>
          <w:rStyle w:val="FootnoteReference"/>
          <w:rFonts w:ascii="Times New Roman" w:hAnsi="Times New Roman" w:cs="Times New Roman"/>
          <w:sz w:val="24"/>
          <w:szCs w:val="24"/>
        </w:rPr>
        <w:footnoteReference w:id="22"/>
      </w:r>
      <w:r w:rsidRPr="006C491A">
        <w:rPr>
          <w:rFonts w:ascii="Times New Roman" w:hAnsi="Times New Roman" w:cs="Times New Roman"/>
          <w:sz w:val="24"/>
          <w:szCs w:val="24"/>
        </w:rPr>
        <w:t xml:space="preserve">.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       Similarly, another means of evasion being performed by the </w:t>
      </w:r>
      <w:r w:rsidR="002B315B" w:rsidRPr="006C491A">
        <w:rPr>
          <w:rFonts w:ascii="Times New Roman" w:hAnsi="Times New Roman" w:cs="Times New Roman"/>
          <w:sz w:val="24"/>
          <w:szCs w:val="24"/>
        </w:rPr>
        <w:t>assesses</w:t>
      </w:r>
      <w:r w:rsidRPr="006C491A">
        <w:rPr>
          <w:rFonts w:ascii="Times New Roman" w:hAnsi="Times New Roman" w:cs="Times New Roman"/>
          <w:sz w:val="24"/>
          <w:szCs w:val="24"/>
        </w:rPr>
        <w:t xml:space="preserve"> is through splitting of dividends and income shifting. If </w:t>
      </w:r>
      <w:r w:rsidR="002B315B" w:rsidRPr="006C491A">
        <w:rPr>
          <w:rFonts w:ascii="Times New Roman" w:hAnsi="Times New Roman" w:cs="Times New Roman"/>
          <w:sz w:val="24"/>
          <w:szCs w:val="24"/>
        </w:rPr>
        <w:t>assesses</w:t>
      </w:r>
      <w:r w:rsidRPr="006C491A">
        <w:rPr>
          <w:rFonts w:ascii="Times New Roman" w:hAnsi="Times New Roman" w:cs="Times New Roman"/>
          <w:sz w:val="24"/>
          <w:szCs w:val="24"/>
        </w:rPr>
        <w:t xml:space="preserve"> and his/her spouse each split dividend income 50-50, each of them will have a lower taxable income than if one partner took all the dividends. This is applicable in the case of companies also. They use to shift the dividend income thus contributing less towards the government. That is perfectly normal and acceptable for now, but the Treasury did threaten to put a stop to this practice in the last Budget with proposals about what it called 'income shifting.' Don't worry: this proposal didn't go through and for legal purposes, there is no such thing as income shifting. The proposals elicited an outcry from the entire tax and business community because they were unworkable. A consultation period is now under way on income shifting, but many believe the idea will disappear.   </w:t>
      </w:r>
    </w:p>
    <w:p w:rsidR="006C491A" w:rsidRPr="006C491A" w:rsidRDefault="006C491A" w:rsidP="005F4B57">
      <w:pPr>
        <w:spacing w:line="360" w:lineRule="auto"/>
        <w:jc w:val="both"/>
        <w:rPr>
          <w:rFonts w:ascii="Times New Roman" w:hAnsi="Times New Roman" w:cs="Times New Roman"/>
          <w:sz w:val="24"/>
          <w:szCs w:val="24"/>
        </w:rPr>
      </w:pPr>
    </w:p>
    <w:p w:rsidR="00E439D1" w:rsidRPr="006C491A" w:rsidRDefault="00E439D1" w:rsidP="006C491A">
      <w:pPr>
        <w:pStyle w:val="Heading2"/>
        <w:rPr>
          <w:rFonts w:ascii="Times New Roman" w:hAnsi="Times New Roman" w:cs="Times New Roman"/>
        </w:rPr>
      </w:pPr>
      <w:r w:rsidRPr="006C491A">
        <w:rPr>
          <w:rFonts w:ascii="Times New Roman" w:hAnsi="Times New Roman" w:cs="Times New Roman"/>
        </w:rPr>
        <w:lastRenderedPageBreak/>
        <w:t xml:space="preserve">2. Appreciation or depreciation in the value of foreign currency: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As the heading suggests, it is clear from the above written statement that there will be any impact of increase or decrease in the value of the foreign reserves kept within the government of India. Now, the increase or decrease in value will either result in shrink of the liquidity or any expansion of liquidity. For say; devaluation in the foreign currency has on the one hand made the import easy for India as well as other countries but at the same time, caused a huge loss to the Indian reserves due to short fall of U.S dollar from 47 rupees per dollar to 45.20 rupees per dollar. This can be better understood in the light of judgment delivered by Delhi High Court in the case of CIT v. Dalmia Dairy Industries Ltd</w:t>
      </w:r>
      <w:r w:rsidRPr="006C491A">
        <w:rPr>
          <w:rStyle w:val="FootnoteReference"/>
          <w:rFonts w:ascii="Times New Roman" w:hAnsi="Times New Roman" w:cs="Times New Roman"/>
          <w:sz w:val="24"/>
          <w:szCs w:val="24"/>
        </w:rPr>
        <w:footnoteReference w:id="23"/>
      </w:r>
      <w:r w:rsidRPr="006C491A">
        <w:rPr>
          <w:rFonts w:ascii="Times New Roman" w:hAnsi="Times New Roman" w:cs="Times New Roman"/>
          <w:sz w:val="24"/>
          <w:szCs w:val="24"/>
        </w:rPr>
        <w:t xml:space="preserve">. The assessee in this case was charged on the interest earned by him in his Indian bank account in the London Branch on accrual basis. Actually, the assessee was to receive the transaction amount in regard of a contract between him and one Pakistani resident from Pakistan. But due to certain exigencies and war situation between the two countries, he was restrained from receiving the amount due to him. Thus the amount was transferred by Pakistan’s national bank to London. Thereupon, on receiving the due amount of principle along with the interests attached to it for the period of span of few years, he deposited the overall entire amount again for a fixed deposit in the bank. Now, the revenue department analyzed the matter and found that the amount was chargeable to tax being a capital gain. The assessee sustained the claim of exemption stating that Rule 115 of the Income Tax Rules, 1962 which was being applied by the assessing authority for charging tax was un amended at the time of receipt of the amount and that was followed on the accrual basis on account of fluctuation in the rate of foreign exchange for the purposes of converting interest income received by the assessee in foreign currency from Pakistan’s national bank. Moreover he claimed that the money kept in London was not used for any business purpose. Rejecting all the arguments, revenue department stated that neither the money was freezed due to any blockage or immobilization, nor capitalization of the cash assets. Thus the assessee’s step to further evade the charges imposed upon him was critically summarized by the High Court stating that the act of the assessee to redeposit the principle sum and interest already received again for the fixed deposit itself contributes towards the transaction of reinvestment, thus concluding business purpose. Hence, to ascertain as to whether the assessee, on remittance of the proceeds to India </w:t>
      </w:r>
      <w:r w:rsidRPr="006C491A">
        <w:rPr>
          <w:rFonts w:ascii="Times New Roman" w:hAnsi="Times New Roman" w:cs="Times New Roman"/>
          <w:sz w:val="24"/>
          <w:szCs w:val="24"/>
        </w:rPr>
        <w:lastRenderedPageBreak/>
        <w:t xml:space="preserve">earned any profit thereon? If so, then to what extent it is. This direction is necessary as the question of law framed not only calls upon to decide the principle but also the quantum.     </w:t>
      </w:r>
    </w:p>
    <w:p w:rsidR="00E439D1" w:rsidRPr="006C491A" w:rsidRDefault="00E439D1" w:rsidP="006C491A">
      <w:pPr>
        <w:pStyle w:val="Heading2"/>
        <w:rPr>
          <w:rFonts w:ascii="Times New Roman" w:hAnsi="Times New Roman" w:cs="Times New Roman"/>
        </w:rPr>
      </w:pPr>
      <w:r w:rsidRPr="006C491A">
        <w:rPr>
          <w:rFonts w:ascii="Times New Roman" w:hAnsi="Times New Roman" w:cs="Times New Roman"/>
        </w:rPr>
        <w:t xml:space="preserve">3. Reduction in the Share capital: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The above written statement means the deduction in the total authorized share capital of which the company is formed. This condition falls in consequence of either a huge amount of unnecessary accumulation of profits with the company than required or because of incurring huge loss. This can be done in either two ways. First, by taking back some shares from the shareholders and providing them with the amount of capital they invested along with the dividend. Second option is to reduce the amount of each unit of shares and then compensating the shareholder with the company’s properties and assets.   </w: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6C491A">
      <w:pPr>
        <w:pStyle w:val="Heading2"/>
        <w:rPr>
          <w:rFonts w:ascii="Times New Roman" w:hAnsi="Times New Roman" w:cs="Times New Roman"/>
        </w:rPr>
      </w:pPr>
      <w:r w:rsidRPr="006C491A">
        <w:rPr>
          <w:rFonts w:ascii="Times New Roman" w:hAnsi="Times New Roman" w:cs="Times New Roman"/>
        </w:rPr>
        <w:t>4. Depreciation in the value of assets:</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As per accounting view, depreciation means loss in the value of assets due to normal wear and tear and efflux of time. It was explained in the case of CIT v. Anand Theatres</w:t>
      </w:r>
      <w:r w:rsidRPr="006C491A">
        <w:rPr>
          <w:rStyle w:val="FootnoteReference"/>
          <w:rFonts w:ascii="Times New Roman" w:hAnsi="Times New Roman" w:cs="Times New Roman"/>
          <w:sz w:val="24"/>
          <w:szCs w:val="24"/>
        </w:rPr>
        <w:footnoteReference w:id="24"/>
      </w:r>
      <w:r w:rsidRPr="006C491A">
        <w:rPr>
          <w:rFonts w:ascii="Times New Roman" w:hAnsi="Times New Roman" w:cs="Times New Roman"/>
          <w:sz w:val="24"/>
          <w:szCs w:val="24"/>
        </w:rPr>
        <w:t>, that depreciation is the legitimate deduction or diminution in the value of capital assets when applied to the purpose of making profit or gain. Sec 32 of Income Tax Act 1961 provides for claiming depreciation allowance in respect of certain conditions under mentioned.</w:t>
      </w:r>
    </w:p>
    <w:p w:rsidR="00E439D1" w:rsidRPr="006C491A" w:rsidRDefault="00E439D1" w:rsidP="005F4B57">
      <w:pPr>
        <w:numPr>
          <w:ilvl w:val="0"/>
          <w:numId w:val="4"/>
        </w:numPr>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It is confined to buildings, machinery, plant and furniture.</w:t>
      </w:r>
    </w:p>
    <w:p w:rsidR="00E439D1" w:rsidRPr="006C491A" w:rsidRDefault="00E439D1" w:rsidP="005F4B57">
      <w:pPr>
        <w:numPr>
          <w:ilvl w:val="0"/>
          <w:numId w:val="4"/>
        </w:numPr>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The assets are used in the accounting year for the purpose of assesses business profits.</w:t>
      </w:r>
    </w:p>
    <w:p w:rsidR="00E439D1" w:rsidRPr="006C491A" w:rsidRDefault="00E439D1" w:rsidP="005F4B57">
      <w:pPr>
        <w:numPr>
          <w:ilvl w:val="0"/>
          <w:numId w:val="4"/>
        </w:numPr>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Those assets should be owned by the assessee and not borrowed.</w:t>
      </w:r>
    </w:p>
    <w:p w:rsidR="00E439D1" w:rsidRPr="006C491A" w:rsidRDefault="00E439D1" w:rsidP="005F4B57">
      <w:pPr>
        <w:numPr>
          <w:ilvl w:val="0"/>
          <w:numId w:val="4"/>
        </w:numPr>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The allowance should not exceed the original cost of the asset.</w: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As we know a company is a perpetual succession, it is a going concern, most of the companies and body corporate in India as well as Outside Countries are carried over by their son or daughters who just control and manage the business entity already established in the name of their father or forefathers. But they used to evade taxation by claiming depreciation exceeding </w:t>
      </w:r>
      <w:r w:rsidRPr="006C491A">
        <w:rPr>
          <w:rFonts w:ascii="Times New Roman" w:hAnsi="Times New Roman" w:cs="Times New Roman"/>
          <w:sz w:val="24"/>
          <w:szCs w:val="24"/>
        </w:rPr>
        <w:lastRenderedPageBreak/>
        <w:t>the allowable amount had the succession not taken place on the assets acquired in succession. There is certain transfer which leads to succession, i.e., transfer of capital assets by a firm to a company, as contemplated in Sec 47(xiii)</w:t>
      </w:r>
      <w:r w:rsidRPr="006C491A">
        <w:rPr>
          <w:rStyle w:val="FootnoteReference"/>
          <w:rFonts w:ascii="Times New Roman" w:hAnsi="Times New Roman" w:cs="Times New Roman"/>
          <w:sz w:val="24"/>
          <w:szCs w:val="24"/>
        </w:rPr>
        <w:footnoteReference w:id="25"/>
      </w:r>
      <w:r w:rsidRPr="006C491A">
        <w:rPr>
          <w:rFonts w:ascii="Times New Roman" w:hAnsi="Times New Roman" w:cs="Times New Roman"/>
          <w:sz w:val="24"/>
          <w:szCs w:val="24"/>
        </w:rPr>
        <w:t xml:space="preserve">, transfer of capital assets by sole proprietary concern to a company, transfer of assets by an amalgamating company to the amalgamated company etc. The successor used to show that the property inherited or assets acquired was inherited as a gift and at the same time claim depreciation on that property too. Here comes the shadow of separate entity concept which prevails at the time of filing of returns. They easily show that although they acquired the property, that was not their personal benefit, and anything resumed as gain or profit belonged to the company, and not their personal income, thus more profits will be accumulated in their pocket with less capital gain for the company and thus less capital gains tax and causing loss to the Revenue Department.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For avoiding this scenario, the Act provides with Sec 49(i), which says that where the asset has been inherited by the assessee or gifted to the assessee, the cost of acquisition of the asset for which the previous owner acquired it, shall be deemed to be the cost of acquisition of the asset as increased by the cost of improvement of the assets if any, incurred or borne by the previous owner or the assessee as the case may be. It further states that Where the capital asset, being a share or debenture in a company became the property of the assessee in consideration of a transfer by way of conversion of bonds or debentures, debenture-stock or deposit certificates in any form, the cost of acquisition of the asset to the assessee shall be deemed to be that part of the cost of debenture, debenture- stock or deposit certificates in relation to which such asset is acquired by the assessee.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Another stance of evasion used by the companies is concealing the true figure and providing with the fictitious figure of the cost. There was no check and balance regarding the books of accounts of the company neither any substantive power in the Act to authorize the assessing officers to look into the matter of corporate affairs and lifting up of the corporate veil to retrieve the true hidden fact and figures</w:t>
      </w:r>
      <w:r w:rsidRPr="006C491A">
        <w:rPr>
          <w:rStyle w:val="FootnoteReference"/>
          <w:rFonts w:ascii="Times New Roman" w:hAnsi="Times New Roman" w:cs="Times New Roman"/>
          <w:sz w:val="24"/>
          <w:szCs w:val="24"/>
        </w:rPr>
        <w:footnoteReference w:id="26"/>
      </w:r>
      <w:r w:rsidRPr="006C491A">
        <w:rPr>
          <w:rFonts w:ascii="Times New Roman" w:hAnsi="Times New Roman" w:cs="Times New Roman"/>
          <w:sz w:val="24"/>
          <w:szCs w:val="24"/>
        </w:rPr>
        <w:t xml:space="preserve">. This was only applied by the court as a principle to substantiate a judgment which will now be going to enforce as a provision in the new Direct Tax Code. It says that the actual cost of any particular asset is a question of fact, and if the </w:t>
      </w:r>
      <w:r w:rsidRPr="006C491A">
        <w:rPr>
          <w:rFonts w:ascii="Times New Roman" w:hAnsi="Times New Roman" w:cs="Times New Roman"/>
          <w:sz w:val="24"/>
          <w:szCs w:val="24"/>
        </w:rPr>
        <w:lastRenderedPageBreak/>
        <w:t>circumstances show that an assessee has arranged to put a fictitious price on his assets, it is open to the income tax authorities to refuse to accept that price and to ascertain what the actual cost was. It was stated by the court in the case of Maharana Mills v. ITO</w:t>
      </w:r>
      <w:r w:rsidRPr="006C491A">
        <w:rPr>
          <w:rStyle w:val="FootnoteReference"/>
          <w:rFonts w:ascii="Times New Roman" w:hAnsi="Times New Roman" w:cs="Times New Roman"/>
          <w:sz w:val="24"/>
          <w:szCs w:val="24"/>
        </w:rPr>
        <w:footnoteReference w:id="27"/>
      </w:r>
      <w:r w:rsidRPr="006C491A">
        <w:rPr>
          <w:rFonts w:ascii="Times New Roman" w:hAnsi="Times New Roman" w:cs="Times New Roman"/>
          <w:sz w:val="24"/>
          <w:szCs w:val="24"/>
        </w:rPr>
        <w:t xml:space="preserve">, that the assessing officer is not bound to base his calculation of the written down value for the relevant assessment year on the written down value accepted in the preceding year. If a wrong figure was taken in earlier years as the figure of actual cost, the AO should determine for himself the correct figure of actual cost in ascertaining the written down value for the assessment year. Likewise, any arrangement between the assessee and the department in one year to treat the value entered in the assessee’s balance sheet as the original cost would not stop the assessee from challenging the arrangement in any subsequent year and claiming depreciation allowance on the written down value computed with reference to the actual cost.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where assets transferred to a taxpayer were previously used by another person for the purpose of his business and the Revenue Authorities are of the opinion that the main purpose of the transfer to such tax payer is to reduce tax liability (by computing depreciation on enhanced cost), then for the purposes of claiming depreciation, the actual cost of the asset for the taxpayer may be substituted by such amount as determined by the Revenue authorities. Where an asset used by a taxpayer in his business is transferred and subsequently required by the taxpayer, then the actual cost of such asset for the taxpayer would be the actual cost of the asset at the time of acquiring the asset initially as reduced by the depreciation allowed to the taxpayer under the Act, or the actual price for which the asset is re-required, whichever is lower.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The Act provides a situation where a sale and leaseback will not result in depreciation being available at the full scale value to the leasing company. Where an asset is used by a person for his business and depreciation is claimed thereon, and such asset is sold to another person ( such as a leasing company) and leased back to the original user and owner of the asset, depreciation will be available to the leasing company not on the price paid for the asset, but at the written down value of the original owner of the asset. </w:t>
      </w:r>
    </w:p>
    <w:p w:rsidR="00E439D1" w:rsidRPr="006C491A" w:rsidRDefault="00E439D1" w:rsidP="005F4B57">
      <w:pPr>
        <w:spacing w:line="360" w:lineRule="auto"/>
        <w:jc w:val="both"/>
        <w:rPr>
          <w:rFonts w:ascii="Times New Roman" w:hAnsi="Times New Roman" w:cs="Times New Roman"/>
          <w:sz w:val="24"/>
          <w:szCs w:val="24"/>
        </w:rPr>
      </w:pPr>
    </w:p>
    <w:p w:rsidR="006C491A" w:rsidRPr="006C491A" w:rsidRDefault="006C491A" w:rsidP="005F4B57">
      <w:pPr>
        <w:spacing w:line="360" w:lineRule="auto"/>
        <w:jc w:val="both"/>
        <w:rPr>
          <w:rFonts w:ascii="Times New Roman" w:hAnsi="Times New Roman" w:cs="Times New Roman"/>
          <w:sz w:val="24"/>
          <w:szCs w:val="24"/>
        </w:rPr>
      </w:pPr>
    </w:p>
    <w:p w:rsidR="00E439D1" w:rsidRPr="006C491A" w:rsidRDefault="00E439D1" w:rsidP="006C491A">
      <w:pPr>
        <w:pStyle w:val="Heading2"/>
        <w:rPr>
          <w:rFonts w:ascii="Times New Roman" w:hAnsi="Times New Roman" w:cs="Times New Roman"/>
        </w:rPr>
      </w:pPr>
      <w:r w:rsidRPr="006C491A">
        <w:rPr>
          <w:rFonts w:ascii="Times New Roman" w:hAnsi="Times New Roman" w:cs="Times New Roman"/>
        </w:rPr>
        <w:lastRenderedPageBreak/>
        <w:t xml:space="preserve">5. Clubbing of income: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The term is associated with merging or accumulation of all incomes both at the individual and the corporate level. There are evidences which show the decentralization or diversion of income in different hands so as to sustain the level below the marginal limit specified in the law for easy avoidance or evasion of the charges. With a viewpoint to curb this act, there are certain situations where one is made liable to pay taxes for someone else’s income as well. This is called clubbing of income. Mostly it takes place in the following cases: </w: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At individual level:</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b/>
          <w:sz w:val="24"/>
          <w:szCs w:val="24"/>
        </w:rPr>
        <w:t>a.</w:t>
      </w:r>
      <w:r w:rsidRPr="006C491A">
        <w:rPr>
          <w:rFonts w:ascii="Times New Roman" w:hAnsi="Times New Roman" w:cs="Times New Roman"/>
          <w:sz w:val="24"/>
          <w:szCs w:val="24"/>
        </w:rPr>
        <w:t xml:space="preserve"> Transfer of income without transfer of Asset: If any person transfers income without transferring the ownership of the asset, such income will be taxable in the hands of the transferor. Ex. X owns 5000, 14% debentures of A ltd. of Rs. 100 each , he transfers interest income to his friend Y without transferring the ownership of Debentures . In this case although interest will be received by Y but it is taxable in the hands of X.</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b/>
          <w:sz w:val="24"/>
          <w:szCs w:val="24"/>
        </w:rPr>
        <w:t>b.</w:t>
      </w:r>
      <w:r w:rsidRPr="006C491A">
        <w:rPr>
          <w:rFonts w:ascii="Times New Roman" w:hAnsi="Times New Roman" w:cs="Times New Roman"/>
          <w:sz w:val="24"/>
          <w:szCs w:val="24"/>
        </w:rPr>
        <w:t xml:space="preserve"> Revocable transfer of Asset: If any person transfers any asset to any other person in such form and condition that such transfer is revocable at any time during the lifetime of the transferee, the income earned through such asset is chargeable to tax as the income of the transferor. For ex. X transfers a house property to A. However, X has right to revoke the transfer during the life time of A. It is a revocable transfer and income arising from the house property is taxable in the hands of X.</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b/>
          <w:sz w:val="24"/>
          <w:szCs w:val="24"/>
        </w:rPr>
        <w:t>c.</w:t>
      </w:r>
      <w:r w:rsidRPr="006C491A">
        <w:rPr>
          <w:rFonts w:ascii="Times New Roman" w:hAnsi="Times New Roman" w:cs="Times New Roman"/>
          <w:sz w:val="24"/>
          <w:szCs w:val="24"/>
        </w:rPr>
        <w:t xml:space="preserve"> Remuneration to Spouse: An individual is chargeable to tax in respect of any remuneration received by the spouse from a concern in which the individual has *substantial interest. This provision has an exception. If the remuneration is received by spouse by the application of technical or professional knowledge or experience clubbing provisions will not take place. For example, X has substantial interest in A ltd. and Mrs. X is employed by A ltd. without any technical or professional qualification. In this case salary income of Mrs. X shall be taxable in the hands of X.</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b/>
          <w:sz w:val="24"/>
          <w:szCs w:val="24"/>
        </w:rPr>
        <w:lastRenderedPageBreak/>
        <w:t>d.</w:t>
      </w:r>
      <w:r w:rsidRPr="006C491A">
        <w:rPr>
          <w:rFonts w:ascii="Times New Roman" w:hAnsi="Times New Roman" w:cs="Times New Roman"/>
          <w:sz w:val="24"/>
          <w:szCs w:val="24"/>
        </w:rPr>
        <w:t xml:space="preserve"> Income from asset transfer to a person for the benefit of spouse/ son’s wife: If an individual, directly or indirectly transfers asset, without adequate consideration to a person or an association of persons for the benefit of his/her spouse /son’s wife, income arising from such asset directly or indirectly is included in the income of the transferor. For example, X transfers Government bonds without consideration to an association of persons, subject to the condition that, the interest income from these bonds will be utilized for the benefit of Mrs. X, or Mrs. X son’s wife.  Interest from bonds will be included in the income of X.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At corporate level:</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b/>
          <w:sz w:val="24"/>
          <w:szCs w:val="24"/>
        </w:rPr>
        <w:t>a.</w:t>
      </w:r>
      <w:r w:rsidRPr="006C491A">
        <w:rPr>
          <w:rFonts w:ascii="Times New Roman" w:hAnsi="Times New Roman" w:cs="Times New Roman"/>
          <w:sz w:val="24"/>
          <w:szCs w:val="24"/>
        </w:rPr>
        <w:t xml:space="preserve"> Transfer of interest or loan to the subsidiary company: when the holding company transfers the expenditure incurred by its subsidiary company by way of loan and advances and then claim deductions for the amount incurred as the amortization of preliminary expenses. In this case, following the guidelines of lifting of corporate veil, the expenditure of subsidiary company and loans from holding company were mixed to check the actual transaction and the holding will be charged.</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b/>
          <w:sz w:val="24"/>
          <w:szCs w:val="24"/>
        </w:rPr>
        <w:t>b.</w:t>
      </w:r>
      <w:r w:rsidRPr="006C491A">
        <w:rPr>
          <w:rFonts w:ascii="Times New Roman" w:hAnsi="Times New Roman" w:cs="Times New Roman"/>
          <w:sz w:val="24"/>
          <w:szCs w:val="24"/>
        </w:rPr>
        <w:t xml:space="preserve"> Transfer of net turnover: when different books of accounts maintained for various business carried on by a single assessee company to provide a cloak over the total taxable turnover, it becomes indispensible for the taxing authorities to combine all the small scale business comprising as a single unit or under a single managerial or directorship.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For e.g., an assessee A owes four separate proprietorship business. The aggregate annual turnover of all the concerns he owes exceeds Rs. 40 lakh (a limit prescribed as per Sec 44AB of Income Tax Act) but individually each business turnover is below Rs. 40 lakh. Further, separate books of accounts are maintained for each business and profit and loss account and balance sheet are prepared separately. A similar facts and circumstances occurred in a case of  ACIT  v. K. Satish Shetty  where it was held by Karnataka High Court that it doesn’t require that if any business profession is carried on by any assessee in his only directorship for the purpose of evading charges then shifting of income would be found to be infructuous  and hence a charge would be levied on it.  </w:t>
      </w:r>
    </w:p>
    <w:p w:rsidR="006C491A" w:rsidRPr="006C491A" w:rsidRDefault="006C491A" w:rsidP="005F4B57">
      <w:pPr>
        <w:spacing w:line="360" w:lineRule="auto"/>
        <w:jc w:val="both"/>
        <w:rPr>
          <w:rFonts w:ascii="Times New Roman" w:hAnsi="Times New Roman" w:cs="Times New Roman"/>
          <w:sz w:val="24"/>
          <w:szCs w:val="24"/>
        </w:rPr>
      </w:pPr>
    </w:p>
    <w:p w:rsidR="00E439D1" w:rsidRPr="006C491A" w:rsidRDefault="00E439D1" w:rsidP="006C491A">
      <w:pPr>
        <w:pStyle w:val="Heading2"/>
        <w:rPr>
          <w:rFonts w:ascii="Times New Roman" w:hAnsi="Times New Roman" w:cs="Times New Roman"/>
        </w:rPr>
      </w:pPr>
      <w:r w:rsidRPr="006C491A">
        <w:rPr>
          <w:rFonts w:ascii="Times New Roman" w:hAnsi="Times New Roman" w:cs="Times New Roman"/>
        </w:rPr>
        <w:lastRenderedPageBreak/>
        <w:t xml:space="preserve">6. Sale for cash: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Many firms particularly in the service sector face demand from two sources. Sales can be made either across the counter in ordinary way, or they can be made under the counter (at a discount) for cash. While regular sales attract sales tax, cash sales go unrecorded and escape it. Moreover, the income they generate escapes income tax. Cash sales thus provide a link between the evasion of direct and indirect taxes, a link which underlines many informal sector transactions. Casual inspection of the irregular economy reveals that the cash discount i.e., the difference between cash and regular price is typically is equal to the per unit sales tax. This saves the purchaser the indirect tax and the vendor the income tax. Why would this convention exist? One possibility is that it is the solution to a bargain struck between the firm and customer over the division of the gains from cash sales. The firm is assumed to be monopolist using cash discount as a means of price discrimination. For this to be a satisfactory explanation, the circumstances under which such a firm’s optimal pricing strategy corresponds to the observed contention must be plausible. It is also interesting to see how the firm would respond to changes in tax and enforcement parameters.</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The gains from price discrimination and the penalties incurred by detected evaders can explain why a firm might not operate completely in the informal economy. On the demand side it is less obvious why consumers should ever want anything other than cash sales, particularly in those countries where they are under no legal obligation to ensure that the price they pay includes indirect taxes</w:t>
      </w:r>
      <w:r w:rsidRPr="006C491A">
        <w:rPr>
          <w:rStyle w:val="FootnoteReference"/>
          <w:rFonts w:ascii="Times New Roman" w:hAnsi="Times New Roman" w:cs="Times New Roman"/>
          <w:sz w:val="24"/>
          <w:szCs w:val="24"/>
        </w:rPr>
        <w:footnoteReference w:id="28"/>
      </w:r>
      <w:r w:rsidRPr="006C491A">
        <w:rPr>
          <w:rFonts w:ascii="Times New Roman" w:hAnsi="Times New Roman" w:cs="Times New Roman"/>
          <w:sz w:val="24"/>
          <w:szCs w:val="24"/>
        </w:rPr>
        <w:t>.</w:t>
      </w:r>
    </w:p>
    <w:p w:rsidR="00366793" w:rsidRPr="006C491A" w:rsidRDefault="00590CE0" w:rsidP="006C491A">
      <w:pPr>
        <w:pStyle w:val="Heading1"/>
        <w:rPr>
          <w:rFonts w:ascii="Times New Roman" w:eastAsia="Times New Roman" w:hAnsi="Times New Roman" w:cs="Times New Roman"/>
        </w:rPr>
      </w:pPr>
      <w:r w:rsidRPr="006C491A">
        <w:rPr>
          <w:rFonts w:ascii="Times New Roman" w:eastAsia="Times New Roman" w:hAnsi="Times New Roman" w:cs="Times New Roman"/>
        </w:rPr>
        <w:t xml:space="preserve">General Anti Avoidance Rule </w:t>
      </w:r>
      <w:r w:rsidR="00391BBE" w:rsidRPr="006C491A">
        <w:rPr>
          <w:rFonts w:ascii="Times New Roman" w:eastAsia="Times New Roman" w:hAnsi="Times New Roman" w:cs="Times New Roman"/>
        </w:rPr>
        <w:t>(GAAR</w:t>
      </w:r>
      <w:r w:rsidRPr="006C491A">
        <w:rPr>
          <w:rFonts w:ascii="Times New Roman" w:eastAsia="Times New Roman" w:hAnsi="Times New Roman" w:cs="Times New Roman"/>
        </w:rPr>
        <w:t>)</w:t>
      </w:r>
    </w:p>
    <w:p w:rsidR="00590CE0" w:rsidRPr="006C491A" w:rsidRDefault="00EE32E2" w:rsidP="005F4B57">
      <w:pPr>
        <w:spacing w:line="360" w:lineRule="auto"/>
        <w:jc w:val="both"/>
        <w:rPr>
          <w:rStyle w:val="apple-style-span"/>
          <w:rFonts w:ascii="Times New Roman" w:hAnsi="Times New Roman" w:cs="Times New Roman"/>
          <w:sz w:val="24"/>
          <w:szCs w:val="24"/>
          <w:shd w:val="clear" w:color="auto" w:fill="FFFFFF"/>
        </w:rPr>
      </w:pPr>
      <w:r w:rsidRPr="006C491A">
        <w:rPr>
          <w:rFonts w:ascii="Times New Roman" w:eastAsia="Times New Roman" w:hAnsi="Times New Roman" w:cs="Times New Roman"/>
          <w:sz w:val="24"/>
          <w:szCs w:val="24"/>
        </w:rPr>
        <w:t xml:space="preserve">In the past, the response to tax avoidance has been the introduction of legislative amendments to deal with specific instances of tax avoidance. Since the liberalization of the Indian economy, increasingly sophisticated forms of tax avoidance are being adopted by the taxpayers and their advisers. The problem has been further compounded by tax avoidance arrangements spanning across several tax jurisdictions. This has led to severe erosion of the tax base. Further, appellate authorities and courts have been placing a heavy onus on the revenue when dealing with matters </w:t>
      </w:r>
      <w:r w:rsidRPr="006C491A">
        <w:rPr>
          <w:rFonts w:ascii="Times New Roman" w:eastAsia="Times New Roman" w:hAnsi="Times New Roman" w:cs="Times New Roman"/>
          <w:sz w:val="24"/>
          <w:szCs w:val="24"/>
        </w:rPr>
        <w:lastRenderedPageBreak/>
        <w:t>of tax avoidance even though the relevant facts are in the exclusive knowledge of the taxpayer and he chooses not to reveal them</w:t>
      </w:r>
      <w:r w:rsidR="00CB022E" w:rsidRPr="006C491A">
        <w:rPr>
          <w:rFonts w:ascii="Times New Roman" w:eastAsia="Times New Roman" w:hAnsi="Times New Roman" w:cs="Times New Roman"/>
          <w:sz w:val="24"/>
          <w:szCs w:val="24"/>
        </w:rPr>
        <w:t>.</w:t>
      </w:r>
      <w:r w:rsidR="00CB022E" w:rsidRPr="006C491A">
        <w:rPr>
          <w:rStyle w:val="FootnoteReference"/>
          <w:rFonts w:ascii="Times New Roman" w:eastAsia="Times New Roman" w:hAnsi="Times New Roman" w:cs="Times New Roman"/>
          <w:sz w:val="24"/>
          <w:szCs w:val="24"/>
        </w:rPr>
        <w:footnoteReference w:id="29"/>
      </w:r>
      <w:r w:rsidR="00CB022E" w:rsidRPr="006C491A">
        <w:rPr>
          <w:rFonts w:ascii="Times New Roman" w:eastAsia="Times New Roman" w:hAnsi="Times New Roman" w:cs="Times New Roman"/>
          <w:sz w:val="24"/>
          <w:szCs w:val="24"/>
        </w:rPr>
        <w:t xml:space="preserve"> That is why GAAR is being introduced </w:t>
      </w:r>
      <w:r w:rsidR="00CB022E" w:rsidRPr="006C491A">
        <w:rPr>
          <w:rStyle w:val="apple-style-span"/>
          <w:rFonts w:ascii="Times New Roman" w:hAnsi="Times New Roman" w:cs="Times New Roman"/>
          <w:sz w:val="24"/>
          <w:szCs w:val="24"/>
          <w:shd w:val="clear" w:color="auto" w:fill="FFFFFF"/>
        </w:rPr>
        <w:t xml:space="preserve">as a broad rule that has an effect of invalidating an arrangement that has been entered into by the taxpayer for the purpose of obtaining a tax advantage. </w:t>
      </w:r>
    </w:p>
    <w:p w:rsidR="00E61AEF" w:rsidRPr="006C491A" w:rsidRDefault="00E61AEF" w:rsidP="005F4B57">
      <w:pPr>
        <w:autoSpaceDE w:val="0"/>
        <w:autoSpaceDN w:val="0"/>
        <w:adjustRightInd w:val="0"/>
        <w:spacing w:after="0" w:line="360" w:lineRule="auto"/>
        <w:jc w:val="both"/>
        <w:rPr>
          <w:rFonts w:ascii="Times New Roman" w:hAnsi="Times New Roman" w:cs="Times New Roman"/>
          <w:sz w:val="24"/>
          <w:szCs w:val="24"/>
        </w:rPr>
      </w:pPr>
      <w:r w:rsidRPr="006C491A">
        <w:rPr>
          <w:rStyle w:val="apple-style-span"/>
          <w:rFonts w:ascii="Times New Roman" w:hAnsi="Times New Roman" w:cs="Times New Roman"/>
          <w:sz w:val="24"/>
          <w:szCs w:val="24"/>
          <w:shd w:val="clear" w:color="auto" w:fill="FFFFFF"/>
        </w:rPr>
        <w:t>As the Income Tax Act, Sec 90</w:t>
      </w:r>
      <w:r w:rsidR="00120D4F" w:rsidRPr="006C491A">
        <w:rPr>
          <w:rStyle w:val="FootnoteReference"/>
          <w:rFonts w:ascii="Times New Roman" w:hAnsi="Times New Roman" w:cs="Times New Roman"/>
          <w:sz w:val="24"/>
          <w:szCs w:val="24"/>
          <w:shd w:val="clear" w:color="auto" w:fill="FFFFFF"/>
        </w:rPr>
        <w:footnoteReference w:id="30"/>
      </w:r>
      <w:r w:rsidRPr="006C491A">
        <w:rPr>
          <w:rStyle w:val="apple-style-span"/>
          <w:rFonts w:ascii="Times New Roman" w:hAnsi="Times New Roman" w:cs="Times New Roman"/>
          <w:sz w:val="24"/>
          <w:szCs w:val="24"/>
          <w:shd w:val="clear" w:color="auto" w:fill="FFFFFF"/>
        </w:rPr>
        <w:t xml:space="preserve"> and 91</w:t>
      </w:r>
      <w:r w:rsidR="00120D4F" w:rsidRPr="006C491A">
        <w:rPr>
          <w:rStyle w:val="FootnoteReference"/>
          <w:rFonts w:ascii="Times New Roman" w:hAnsi="Times New Roman" w:cs="Times New Roman"/>
          <w:sz w:val="24"/>
          <w:szCs w:val="24"/>
          <w:shd w:val="clear" w:color="auto" w:fill="FFFFFF"/>
        </w:rPr>
        <w:footnoteReference w:id="31"/>
      </w:r>
      <w:r w:rsidRPr="006C491A">
        <w:rPr>
          <w:rStyle w:val="apple-style-span"/>
          <w:rFonts w:ascii="Times New Roman" w:hAnsi="Times New Roman" w:cs="Times New Roman"/>
          <w:sz w:val="24"/>
          <w:szCs w:val="24"/>
          <w:shd w:val="clear" w:color="auto" w:fill="FFFFFF"/>
        </w:rPr>
        <w:t xml:space="preserve">, contains </w:t>
      </w:r>
      <w:r w:rsidRPr="006C491A">
        <w:rPr>
          <w:rFonts w:ascii="Times New Roman" w:hAnsi="Times New Roman" w:cs="Times New Roman"/>
          <w:sz w:val="24"/>
          <w:szCs w:val="24"/>
        </w:rPr>
        <w:t>a provision for an agreement for avoidance of double taxation. A need for such a provision was felt so as to protect the individual or a corporate entity against the risk of being taxed twice in cases where the same income is taxable in two states. Such a situation arises when the country of residence is different from the country in which the income is generated. To prevent this, the individual is provided with the option of choosing whether to be governed by the domestic laws or by the tax treaty, whichever one is more favorable for</w:t>
      </w:r>
      <w:r w:rsidR="00120D4F" w:rsidRPr="006C491A">
        <w:rPr>
          <w:rFonts w:ascii="Times New Roman" w:hAnsi="Times New Roman" w:cs="Times New Roman"/>
          <w:sz w:val="24"/>
          <w:szCs w:val="24"/>
        </w:rPr>
        <w:t xml:space="preserve"> him.</w:t>
      </w:r>
      <w:r w:rsidR="00120D4F" w:rsidRPr="006C491A">
        <w:rPr>
          <w:rStyle w:val="FootnoteReference"/>
          <w:rFonts w:ascii="Times New Roman" w:hAnsi="Times New Roman" w:cs="Times New Roman"/>
          <w:sz w:val="24"/>
          <w:szCs w:val="24"/>
        </w:rPr>
        <w:footnoteReference w:id="32"/>
      </w:r>
      <w:r w:rsidR="00120D4F" w:rsidRPr="006C491A">
        <w:rPr>
          <w:rFonts w:ascii="Times New Roman" w:hAnsi="Times New Roman" w:cs="Times New Roman"/>
          <w:sz w:val="24"/>
          <w:szCs w:val="24"/>
        </w:rPr>
        <w:t xml:space="preserve"> However, it was observed that in many cases residents of a third country were taking advantage of this even though the agreement was meant for the resident of the contracting countries only. This process has been termed as treaty shopping and though it has been declared as lawful by the courts, the Government considers it to be a source of losing major public revenue resulting in the introduction of GAAR.</w:t>
      </w:r>
    </w:p>
    <w:p w:rsidR="00120D4F" w:rsidRPr="006C491A" w:rsidRDefault="00120D4F" w:rsidP="005F4B57">
      <w:pPr>
        <w:autoSpaceDE w:val="0"/>
        <w:autoSpaceDN w:val="0"/>
        <w:adjustRightInd w:val="0"/>
        <w:spacing w:after="0" w:line="360" w:lineRule="auto"/>
        <w:jc w:val="both"/>
        <w:rPr>
          <w:rFonts w:ascii="Times New Roman" w:hAnsi="Times New Roman" w:cs="Times New Roman"/>
          <w:sz w:val="24"/>
          <w:szCs w:val="24"/>
        </w:rPr>
      </w:pPr>
    </w:p>
    <w:p w:rsidR="00120D4F" w:rsidRPr="006C491A" w:rsidRDefault="00120D4F"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r w:rsidRPr="006C491A">
        <w:rPr>
          <w:rFonts w:ascii="Times New Roman" w:hAnsi="Times New Roman" w:cs="Times New Roman"/>
          <w:sz w:val="24"/>
          <w:szCs w:val="24"/>
        </w:rPr>
        <w:t xml:space="preserve">If we look at the history </w:t>
      </w:r>
      <w:r w:rsidR="00995CCD" w:rsidRPr="006C491A">
        <w:rPr>
          <w:rFonts w:ascii="Times New Roman" w:hAnsi="Times New Roman" w:cs="Times New Roman"/>
          <w:sz w:val="24"/>
          <w:szCs w:val="24"/>
        </w:rPr>
        <w:t xml:space="preserve">of the tax legislation of India, then this will be the first time that hese two terms </w:t>
      </w:r>
      <w:r w:rsidR="00995CCD" w:rsidRPr="006C491A">
        <w:rPr>
          <w:rStyle w:val="apple-style-span"/>
          <w:rFonts w:ascii="Times New Roman" w:hAnsi="Times New Roman" w:cs="Times New Roman"/>
          <w:sz w:val="24"/>
          <w:szCs w:val="24"/>
          <w:shd w:val="clear" w:color="auto" w:fill="FFFFFF"/>
        </w:rPr>
        <w:t>i.e. tax avoidance and tax evasion seem to be used almost interchangeably and on par in the context of their undesirability. In most judicial precedents in India (drawn liberally from case laws in the UK) have generally held that a taxpayer has a legal right to so arrange his affairs as to attract upon him the</w:t>
      </w:r>
      <w:r w:rsidR="00995CCD" w:rsidRPr="006C491A">
        <w:rPr>
          <w:rStyle w:val="apple-converted-space"/>
          <w:rFonts w:ascii="Times New Roman" w:hAnsi="Times New Roman" w:cs="Times New Roman"/>
          <w:sz w:val="24"/>
          <w:szCs w:val="24"/>
          <w:shd w:val="clear" w:color="auto" w:fill="FFFFFF"/>
        </w:rPr>
        <w:t xml:space="preserve"> least </w:t>
      </w:r>
      <w:r w:rsidR="00995CCD" w:rsidRPr="006C491A">
        <w:rPr>
          <w:rStyle w:val="apple-style-span"/>
          <w:rFonts w:ascii="Times New Roman" w:hAnsi="Times New Roman" w:cs="Times New Roman"/>
          <w:sz w:val="24"/>
          <w:szCs w:val="24"/>
          <w:shd w:val="clear" w:color="auto" w:fill="FFFFFF"/>
        </w:rPr>
        <w:t>amount of tax. The House of Lords held that:</w:t>
      </w:r>
    </w:p>
    <w:p w:rsidR="00995CCD" w:rsidRPr="006C491A" w:rsidRDefault="000866C5" w:rsidP="005F4B57">
      <w:pPr>
        <w:autoSpaceDE w:val="0"/>
        <w:autoSpaceDN w:val="0"/>
        <w:adjustRightInd w:val="0"/>
        <w:spacing w:after="0" w:line="360" w:lineRule="auto"/>
        <w:jc w:val="both"/>
        <w:rPr>
          <w:rFonts w:ascii="Times New Roman" w:hAnsi="Times New Roman" w:cs="Times New Roman"/>
          <w:sz w:val="24"/>
          <w:szCs w:val="24"/>
        </w:rPr>
      </w:pPr>
      <w:r w:rsidRPr="006C491A">
        <w:rPr>
          <w:rStyle w:val="apple-style-span"/>
          <w:rFonts w:ascii="Times New Roman" w:hAnsi="Times New Roman" w:cs="Times New Roman"/>
          <w:sz w:val="24"/>
          <w:szCs w:val="24"/>
          <w:shd w:val="clear" w:color="auto" w:fill="FFFFFF"/>
        </w:rPr>
        <w:t xml:space="preserve">          </w:t>
      </w:r>
      <w:r w:rsidR="00995CCD" w:rsidRPr="006C491A">
        <w:rPr>
          <w:rStyle w:val="apple-style-span"/>
          <w:rFonts w:ascii="Times New Roman" w:hAnsi="Times New Roman" w:cs="Times New Roman"/>
          <w:sz w:val="24"/>
          <w:szCs w:val="24"/>
          <w:shd w:val="clear" w:color="auto" w:fill="FFFFFF"/>
        </w:rPr>
        <w:t>“</w:t>
      </w:r>
      <w:r w:rsidR="00995CCD" w:rsidRPr="006C491A">
        <w:rPr>
          <w:rFonts w:ascii="Times New Roman" w:hAnsi="Times New Roman" w:cs="Times New Roman"/>
          <w:sz w:val="24"/>
          <w:szCs w:val="24"/>
        </w:rPr>
        <w:t>a tax</w:t>
      </w:r>
      <w:r w:rsidR="00995CCD" w:rsidRPr="006C491A">
        <w:rPr>
          <w:rFonts w:ascii="Candara" w:hAnsi="Candara" w:cs="Times New Roman"/>
          <w:sz w:val="24"/>
          <w:szCs w:val="24"/>
        </w:rPr>
        <w:t>‐</w:t>
      </w:r>
      <w:r w:rsidR="00995CCD" w:rsidRPr="006C491A">
        <w:rPr>
          <w:rFonts w:ascii="Times New Roman" w:hAnsi="Times New Roman" w:cs="Times New Roman"/>
          <w:sz w:val="24"/>
          <w:szCs w:val="24"/>
        </w:rPr>
        <w:t>payer has a legal right to attract upon him the least amount of tax and that tax evasion is different from tax avoidance. Thus, tax avoidance was declared legal”</w:t>
      </w:r>
      <w:r w:rsidRPr="006C491A">
        <w:rPr>
          <w:rFonts w:ascii="Times New Roman" w:hAnsi="Times New Roman" w:cs="Times New Roman"/>
          <w:sz w:val="24"/>
          <w:szCs w:val="24"/>
        </w:rPr>
        <w:t>.</w:t>
      </w:r>
      <w:r w:rsidRPr="006C491A">
        <w:rPr>
          <w:rStyle w:val="FootnoteReference"/>
          <w:rFonts w:ascii="Times New Roman" w:hAnsi="Times New Roman" w:cs="Times New Roman"/>
          <w:sz w:val="24"/>
          <w:szCs w:val="24"/>
        </w:rPr>
        <w:footnoteReference w:id="33"/>
      </w:r>
    </w:p>
    <w:p w:rsidR="000866C5" w:rsidRPr="006C491A" w:rsidRDefault="000866C5" w:rsidP="005F4B57">
      <w:pPr>
        <w:autoSpaceDE w:val="0"/>
        <w:autoSpaceDN w:val="0"/>
        <w:adjustRightInd w:val="0"/>
        <w:spacing w:after="0" w:line="360" w:lineRule="auto"/>
        <w:jc w:val="both"/>
        <w:rPr>
          <w:rFonts w:ascii="Times New Roman" w:hAnsi="Times New Roman" w:cs="Times New Roman"/>
          <w:sz w:val="24"/>
          <w:szCs w:val="24"/>
        </w:rPr>
      </w:pPr>
    </w:p>
    <w:p w:rsidR="000866C5" w:rsidRPr="006C491A" w:rsidRDefault="000866C5" w:rsidP="005F4B57">
      <w:pPr>
        <w:autoSpaceDE w:val="0"/>
        <w:autoSpaceDN w:val="0"/>
        <w:adjustRightInd w:val="0"/>
        <w:spacing w:after="0" w:line="360" w:lineRule="auto"/>
        <w:jc w:val="both"/>
        <w:rPr>
          <w:rFonts w:ascii="Times New Roman" w:hAnsi="Times New Roman" w:cs="Times New Roman"/>
          <w:iCs/>
          <w:sz w:val="24"/>
          <w:szCs w:val="24"/>
        </w:rPr>
      </w:pPr>
      <w:r w:rsidRPr="006C491A">
        <w:rPr>
          <w:rFonts w:ascii="Times New Roman" w:hAnsi="Times New Roman" w:cs="Times New Roman"/>
          <w:sz w:val="24"/>
          <w:szCs w:val="24"/>
        </w:rPr>
        <w:t xml:space="preserve">But as the DTC has been introduced, GAAR is incorporated in it vide Sec 112 of DTC to prevent tax avoidance. </w:t>
      </w:r>
      <w:r w:rsidR="005552E9" w:rsidRPr="006C491A">
        <w:rPr>
          <w:rFonts w:ascii="Times New Roman" w:hAnsi="Times New Roman" w:cs="Times New Roman"/>
          <w:sz w:val="24"/>
          <w:szCs w:val="24"/>
        </w:rPr>
        <w:t xml:space="preserve">It perceives </w:t>
      </w:r>
      <w:r w:rsidR="005552E9" w:rsidRPr="006C491A">
        <w:rPr>
          <w:rFonts w:ascii="Times New Roman" w:hAnsi="Times New Roman" w:cs="Times New Roman"/>
          <w:iCs/>
          <w:sz w:val="24"/>
          <w:szCs w:val="24"/>
        </w:rPr>
        <w:t xml:space="preserve">all </w:t>
      </w:r>
      <w:r w:rsidR="005552E9" w:rsidRPr="006C491A">
        <w:rPr>
          <w:rFonts w:ascii="Times New Roman" w:hAnsi="Times New Roman" w:cs="Times New Roman"/>
          <w:sz w:val="24"/>
          <w:szCs w:val="24"/>
        </w:rPr>
        <w:t xml:space="preserve">forms of tax planning resulting in avoidances as inequitable and undesirable. DP echoes the above objective in these words: </w:t>
      </w:r>
      <w:r w:rsidR="005552E9" w:rsidRPr="006C491A">
        <w:rPr>
          <w:rFonts w:ascii="Times New Roman" w:hAnsi="Times New Roman" w:cs="Times New Roman"/>
          <w:iCs/>
          <w:sz w:val="24"/>
          <w:szCs w:val="24"/>
        </w:rPr>
        <w:t>“Tax avoidance,</w:t>
      </w:r>
      <w:r w:rsidR="005552E9" w:rsidRPr="006C491A">
        <w:rPr>
          <w:rFonts w:ascii="Times New Roman" w:hAnsi="Times New Roman" w:cs="Times New Roman"/>
          <w:sz w:val="24"/>
          <w:szCs w:val="24"/>
        </w:rPr>
        <w:t xml:space="preserve"> </w:t>
      </w:r>
      <w:r w:rsidR="005552E9" w:rsidRPr="006C491A">
        <w:rPr>
          <w:rFonts w:ascii="Times New Roman" w:hAnsi="Times New Roman" w:cs="Times New Roman"/>
          <w:iCs/>
          <w:sz w:val="24"/>
          <w:szCs w:val="24"/>
        </w:rPr>
        <w:t>like tax evasion, seriously undermines the achievements of the public finance</w:t>
      </w:r>
      <w:r w:rsidR="005552E9" w:rsidRPr="006C491A">
        <w:rPr>
          <w:rFonts w:ascii="Times New Roman" w:hAnsi="Times New Roman" w:cs="Times New Roman"/>
          <w:sz w:val="24"/>
          <w:szCs w:val="24"/>
        </w:rPr>
        <w:t xml:space="preserve"> </w:t>
      </w:r>
      <w:r w:rsidR="005552E9" w:rsidRPr="006C491A">
        <w:rPr>
          <w:rFonts w:ascii="Times New Roman" w:hAnsi="Times New Roman" w:cs="Times New Roman"/>
          <w:iCs/>
          <w:sz w:val="24"/>
          <w:szCs w:val="24"/>
        </w:rPr>
        <w:t>objective of collecting revenues in an efficient, equitable and effective manner.</w:t>
      </w:r>
      <w:r w:rsidR="005552E9" w:rsidRPr="006C491A">
        <w:rPr>
          <w:rFonts w:ascii="Times New Roman" w:hAnsi="Times New Roman" w:cs="Times New Roman"/>
          <w:sz w:val="24"/>
          <w:szCs w:val="24"/>
        </w:rPr>
        <w:t xml:space="preserve"> </w:t>
      </w:r>
      <w:r w:rsidR="005552E9" w:rsidRPr="006C491A">
        <w:rPr>
          <w:rFonts w:ascii="Times New Roman" w:hAnsi="Times New Roman" w:cs="Times New Roman"/>
          <w:iCs/>
          <w:sz w:val="24"/>
          <w:szCs w:val="24"/>
        </w:rPr>
        <w:t>…Therefore, there is a strong general presumption in the literature on tax policy</w:t>
      </w:r>
      <w:r w:rsidR="005552E9" w:rsidRPr="006C491A">
        <w:rPr>
          <w:rFonts w:ascii="Times New Roman" w:hAnsi="Times New Roman" w:cs="Times New Roman"/>
          <w:sz w:val="24"/>
          <w:szCs w:val="24"/>
        </w:rPr>
        <w:t xml:space="preserve"> </w:t>
      </w:r>
      <w:r w:rsidR="005552E9" w:rsidRPr="006C491A">
        <w:rPr>
          <w:rFonts w:ascii="Times New Roman" w:hAnsi="Times New Roman" w:cs="Times New Roman"/>
          <w:iCs/>
          <w:sz w:val="24"/>
          <w:szCs w:val="24"/>
        </w:rPr>
        <w:t>that all tax avoidance, like tax evasion, is economically undesirable and</w:t>
      </w:r>
      <w:r w:rsidR="005552E9" w:rsidRPr="006C491A">
        <w:rPr>
          <w:rFonts w:ascii="Times New Roman" w:hAnsi="Times New Roman" w:cs="Times New Roman"/>
          <w:sz w:val="24"/>
          <w:szCs w:val="24"/>
        </w:rPr>
        <w:t xml:space="preserve"> </w:t>
      </w:r>
      <w:r w:rsidR="005552E9" w:rsidRPr="006C491A">
        <w:rPr>
          <w:rFonts w:ascii="Times New Roman" w:hAnsi="Times New Roman" w:cs="Times New Roman"/>
          <w:iCs/>
          <w:sz w:val="24"/>
          <w:szCs w:val="24"/>
        </w:rPr>
        <w:t>inequitable. On considerations of economic efficiency and fiscal justice, a taxpayer should not be allowed to use legal constructions or transactions to violate horizontal equity</w:t>
      </w:r>
      <w:r w:rsidR="005552E9" w:rsidRPr="006C491A">
        <w:rPr>
          <w:rStyle w:val="FootnoteReference"/>
          <w:rFonts w:ascii="Times New Roman" w:hAnsi="Times New Roman" w:cs="Times New Roman"/>
          <w:iCs/>
          <w:sz w:val="24"/>
          <w:szCs w:val="24"/>
        </w:rPr>
        <w:footnoteReference w:id="34"/>
      </w:r>
      <w:r w:rsidR="005552E9" w:rsidRPr="006C491A">
        <w:rPr>
          <w:rFonts w:ascii="Times New Roman" w:hAnsi="Times New Roman" w:cs="Times New Roman"/>
          <w:iCs/>
          <w:sz w:val="24"/>
          <w:szCs w:val="24"/>
        </w:rPr>
        <w:t xml:space="preserve"> </w:t>
      </w:r>
    </w:p>
    <w:p w:rsidR="005552E9" w:rsidRPr="006C491A" w:rsidRDefault="005552E9" w:rsidP="005F4B57">
      <w:pPr>
        <w:autoSpaceDE w:val="0"/>
        <w:autoSpaceDN w:val="0"/>
        <w:adjustRightInd w:val="0"/>
        <w:spacing w:after="0" w:line="360" w:lineRule="auto"/>
        <w:jc w:val="both"/>
        <w:rPr>
          <w:rFonts w:ascii="Times New Roman" w:hAnsi="Times New Roman" w:cs="Times New Roman"/>
          <w:iCs/>
          <w:sz w:val="24"/>
          <w:szCs w:val="24"/>
        </w:rPr>
      </w:pPr>
    </w:p>
    <w:p w:rsidR="005552E9" w:rsidRPr="006C491A" w:rsidRDefault="005552E9" w:rsidP="005F4B57">
      <w:pPr>
        <w:autoSpaceDE w:val="0"/>
        <w:autoSpaceDN w:val="0"/>
        <w:adjustRightInd w:val="0"/>
        <w:spacing w:after="0" w:line="360" w:lineRule="auto"/>
        <w:jc w:val="both"/>
        <w:rPr>
          <w:rFonts w:ascii="Times New Roman" w:hAnsi="Times New Roman" w:cs="Times New Roman"/>
          <w:sz w:val="24"/>
          <w:szCs w:val="24"/>
        </w:rPr>
      </w:pPr>
      <w:r w:rsidRPr="006C491A">
        <w:rPr>
          <w:rStyle w:val="apple-style-span"/>
          <w:rFonts w:ascii="Times New Roman" w:hAnsi="Times New Roman" w:cs="Times New Roman"/>
          <w:sz w:val="24"/>
          <w:szCs w:val="24"/>
          <w:shd w:val="clear" w:color="auto" w:fill="FFFFFF"/>
        </w:rPr>
        <w:t xml:space="preserve">The GAAR provision apply where a taxpayer has entered into an </w:t>
      </w:r>
      <w:r w:rsidR="00CF2E93" w:rsidRPr="006C491A">
        <w:rPr>
          <w:rStyle w:val="apple-style-span"/>
          <w:rFonts w:ascii="Times New Roman" w:hAnsi="Times New Roman" w:cs="Times New Roman"/>
          <w:sz w:val="24"/>
          <w:szCs w:val="24"/>
          <w:shd w:val="clear" w:color="auto" w:fill="FFFFFF"/>
        </w:rPr>
        <w:t>“</w:t>
      </w:r>
      <w:r w:rsidRPr="006C491A">
        <w:rPr>
          <w:rStyle w:val="apple-style-span"/>
          <w:rFonts w:ascii="Times New Roman" w:hAnsi="Times New Roman" w:cs="Times New Roman"/>
          <w:sz w:val="24"/>
          <w:szCs w:val="24"/>
          <w:shd w:val="clear" w:color="auto" w:fill="FFFFFF"/>
        </w:rPr>
        <w:t>arrangement</w:t>
      </w:r>
      <w:r w:rsidR="00CF2E93" w:rsidRPr="006C491A">
        <w:rPr>
          <w:rStyle w:val="apple-style-span"/>
          <w:rFonts w:ascii="Times New Roman" w:hAnsi="Times New Roman" w:cs="Times New Roman"/>
          <w:sz w:val="24"/>
          <w:szCs w:val="24"/>
          <w:shd w:val="clear" w:color="auto" w:fill="FFFFFF"/>
        </w:rPr>
        <w:t>”</w:t>
      </w:r>
      <w:r w:rsidRPr="006C491A">
        <w:rPr>
          <w:rStyle w:val="apple-style-span"/>
          <w:rFonts w:ascii="Times New Roman" w:hAnsi="Times New Roman" w:cs="Times New Roman"/>
          <w:sz w:val="24"/>
          <w:szCs w:val="24"/>
          <w:shd w:val="clear" w:color="auto" w:fill="FFFFFF"/>
        </w:rPr>
        <w:t xml:space="preserve">, </w:t>
      </w:r>
      <w:r w:rsidR="00CF2E93" w:rsidRPr="006C491A">
        <w:rPr>
          <w:rFonts w:ascii="Times New Roman" w:hAnsi="Times New Roman" w:cs="Times New Roman"/>
          <w:sz w:val="24"/>
          <w:szCs w:val="24"/>
        </w:rPr>
        <w:t>The GAAR has defined an “arrangement” to mean any step in, or a part or whole of, any transaction, operation, scheme, agreement or understanding, whether enforceable or not, and includes any of the foregoing involving the alienation of property. The expression “impermissible avoidance arrangement” has also been defined under</w:t>
      </w:r>
      <w:r w:rsidR="00A25BDE" w:rsidRPr="006C491A">
        <w:rPr>
          <w:rFonts w:ascii="Times New Roman" w:hAnsi="Times New Roman" w:cs="Times New Roman"/>
          <w:sz w:val="24"/>
          <w:szCs w:val="24"/>
        </w:rPr>
        <w:t xml:space="preserve"> Sec 124(15) of DTC to mean a part or whole of an arrangement whose main purpose is to obtain a tax benefit.</w:t>
      </w:r>
    </w:p>
    <w:p w:rsidR="00A25BDE" w:rsidRPr="006C491A" w:rsidRDefault="00A25BDE" w:rsidP="005F4B57">
      <w:pPr>
        <w:autoSpaceDE w:val="0"/>
        <w:autoSpaceDN w:val="0"/>
        <w:adjustRightInd w:val="0"/>
        <w:spacing w:after="0" w:line="360" w:lineRule="auto"/>
        <w:jc w:val="both"/>
        <w:rPr>
          <w:rFonts w:ascii="Times New Roman" w:hAnsi="Times New Roman" w:cs="Times New Roman"/>
          <w:sz w:val="24"/>
          <w:szCs w:val="24"/>
        </w:rPr>
      </w:pPr>
    </w:p>
    <w:p w:rsidR="00A25BDE" w:rsidRPr="006C491A" w:rsidRDefault="00A25BDE"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w:t>
      </w:r>
      <w:r w:rsidRPr="006C491A">
        <w:rPr>
          <w:rFonts w:ascii="Times New Roman" w:hAnsi="Times New Roman" w:cs="Times New Roman"/>
          <w:iCs/>
          <w:sz w:val="24"/>
          <w:szCs w:val="24"/>
        </w:rPr>
        <w:t>a</w:t>
      </w:r>
      <w:r w:rsidRPr="006C491A">
        <w:rPr>
          <w:rFonts w:ascii="Times New Roman" w:hAnsi="Times New Roman" w:cs="Times New Roman"/>
          <w:sz w:val="24"/>
          <w:szCs w:val="24"/>
        </w:rPr>
        <w:t>) creates rights, or obligations, which would not normally be created between persons dealing at arm’s length</w:t>
      </w:r>
    </w:p>
    <w:p w:rsidR="00A25BDE" w:rsidRPr="006C491A" w:rsidRDefault="00A25BDE"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w:t>
      </w:r>
      <w:r w:rsidRPr="006C491A">
        <w:rPr>
          <w:rFonts w:ascii="Times New Roman" w:hAnsi="Times New Roman" w:cs="Times New Roman"/>
          <w:iCs/>
          <w:sz w:val="24"/>
          <w:szCs w:val="24"/>
        </w:rPr>
        <w:t>b</w:t>
      </w:r>
      <w:r w:rsidRPr="006C491A">
        <w:rPr>
          <w:rFonts w:ascii="Times New Roman" w:hAnsi="Times New Roman" w:cs="Times New Roman"/>
          <w:sz w:val="24"/>
          <w:szCs w:val="24"/>
        </w:rPr>
        <w:t xml:space="preserve">) </w:t>
      </w:r>
      <w:r w:rsidR="00FF2773" w:rsidRPr="006C491A">
        <w:rPr>
          <w:rFonts w:ascii="Times New Roman" w:hAnsi="Times New Roman" w:cs="Times New Roman"/>
          <w:sz w:val="24"/>
          <w:szCs w:val="24"/>
        </w:rPr>
        <w:t>Results</w:t>
      </w:r>
      <w:r w:rsidRPr="006C491A">
        <w:rPr>
          <w:rFonts w:ascii="Times New Roman" w:hAnsi="Times New Roman" w:cs="Times New Roman"/>
          <w:sz w:val="24"/>
          <w:szCs w:val="24"/>
        </w:rPr>
        <w:t>, directly or indirectly, in the misuse, or abuse, of the provisions of this Code;</w:t>
      </w:r>
    </w:p>
    <w:p w:rsidR="00A25BDE" w:rsidRPr="006C491A" w:rsidRDefault="00A25BDE"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w:t>
      </w:r>
      <w:r w:rsidRPr="006C491A">
        <w:rPr>
          <w:rFonts w:ascii="Times New Roman" w:hAnsi="Times New Roman" w:cs="Times New Roman"/>
          <w:iCs/>
          <w:sz w:val="24"/>
          <w:szCs w:val="24"/>
        </w:rPr>
        <w:t>c</w:t>
      </w:r>
      <w:r w:rsidRPr="006C491A">
        <w:rPr>
          <w:rFonts w:ascii="Times New Roman" w:hAnsi="Times New Roman" w:cs="Times New Roman"/>
          <w:sz w:val="24"/>
          <w:szCs w:val="24"/>
        </w:rPr>
        <w:t xml:space="preserve">) </w:t>
      </w:r>
      <w:r w:rsidR="00FF2773" w:rsidRPr="006C491A">
        <w:rPr>
          <w:rFonts w:ascii="Times New Roman" w:hAnsi="Times New Roman" w:cs="Times New Roman"/>
          <w:sz w:val="24"/>
          <w:szCs w:val="24"/>
        </w:rPr>
        <w:t>Lacks</w:t>
      </w:r>
      <w:r w:rsidRPr="006C491A">
        <w:rPr>
          <w:rFonts w:ascii="Times New Roman" w:hAnsi="Times New Roman" w:cs="Times New Roman"/>
          <w:sz w:val="24"/>
          <w:szCs w:val="24"/>
        </w:rPr>
        <w:t xml:space="preserve"> commercial substance, in whole or in part; or</w:t>
      </w:r>
    </w:p>
    <w:p w:rsidR="00A25BDE" w:rsidRPr="006C491A" w:rsidRDefault="00A25BDE"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w:t>
      </w:r>
      <w:r w:rsidRPr="006C491A">
        <w:rPr>
          <w:rFonts w:ascii="Times New Roman" w:hAnsi="Times New Roman" w:cs="Times New Roman"/>
          <w:iCs/>
          <w:sz w:val="24"/>
          <w:szCs w:val="24"/>
        </w:rPr>
        <w:t>d</w:t>
      </w:r>
      <w:r w:rsidRPr="006C491A">
        <w:rPr>
          <w:rFonts w:ascii="Times New Roman" w:hAnsi="Times New Roman" w:cs="Times New Roman"/>
          <w:sz w:val="24"/>
          <w:szCs w:val="24"/>
        </w:rPr>
        <w:t xml:space="preserve">) is entered into, or carried out, by means, or in a manner, which would not normally be employed for </w:t>
      </w:r>
      <w:r w:rsidRPr="006C491A">
        <w:rPr>
          <w:rFonts w:ascii="Times New Roman" w:hAnsi="Times New Roman" w:cs="Times New Roman"/>
          <w:iCs/>
          <w:sz w:val="24"/>
          <w:szCs w:val="24"/>
        </w:rPr>
        <w:t xml:space="preserve">bona fide </w:t>
      </w:r>
      <w:r w:rsidRPr="006C491A">
        <w:rPr>
          <w:rFonts w:ascii="Times New Roman" w:hAnsi="Times New Roman" w:cs="Times New Roman"/>
          <w:sz w:val="24"/>
          <w:szCs w:val="24"/>
        </w:rPr>
        <w:t>purposes</w:t>
      </w:r>
    </w:p>
    <w:p w:rsidR="00642C97" w:rsidRPr="006C491A" w:rsidRDefault="00642C97" w:rsidP="005F4B57">
      <w:pPr>
        <w:autoSpaceDE w:val="0"/>
        <w:autoSpaceDN w:val="0"/>
        <w:adjustRightInd w:val="0"/>
        <w:spacing w:after="0" w:line="360" w:lineRule="auto"/>
        <w:jc w:val="both"/>
        <w:rPr>
          <w:rFonts w:ascii="Times New Roman" w:hAnsi="Times New Roman" w:cs="Times New Roman"/>
          <w:sz w:val="24"/>
          <w:szCs w:val="24"/>
        </w:rPr>
      </w:pPr>
    </w:p>
    <w:p w:rsidR="00642C97" w:rsidRPr="006C491A" w:rsidRDefault="00642C97"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It is very difficult to conceive a possibility in a commercial transaction which does not fall within “a part or whole of any transaction, operation, scheme, agreement or understanding”. As the definitions of “arrangement” and “impermissible avoidance arrangement” are broad enough to include even bona fide commercial transactions which are permissible in the light of </w:t>
      </w:r>
      <w:r w:rsidRPr="006C491A">
        <w:rPr>
          <w:rFonts w:ascii="Times New Roman" w:hAnsi="Times New Roman" w:cs="Times New Roman"/>
          <w:iCs/>
          <w:sz w:val="24"/>
          <w:szCs w:val="24"/>
        </w:rPr>
        <w:t xml:space="preserve">McDowell </w:t>
      </w:r>
      <w:r w:rsidRPr="006C491A">
        <w:rPr>
          <w:rFonts w:ascii="Times New Roman" w:hAnsi="Times New Roman" w:cs="Times New Roman"/>
          <w:sz w:val="24"/>
          <w:szCs w:val="24"/>
        </w:rPr>
        <w:t xml:space="preserve">and </w:t>
      </w:r>
      <w:r w:rsidRPr="006C491A">
        <w:rPr>
          <w:rFonts w:ascii="Times New Roman" w:hAnsi="Times New Roman" w:cs="Times New Roman"/>
          <w:iCs/>
          <w:sz w:val="24"/>
          <w:szCs w:val="24"/>
        </w:rPr>
        <w:t>Azadi Bachao Andolan</w:t>
      </w:r>
      <w:r w:rsidRPr="006C491A">
        <w:rPr>
          <w:rFonts w:ascii="Times New Roman" w:hAnsi="Times New Roman" w:cs="Times New Roman"/>
          <w:sz w:val="24"/>
          <w:szCs w:val="24"/>
        </w:rPr>
        <w:t xml:space="preserve"> judgments. While the corporate entity necessarily involves creation of “rights or obligations” which can attract GAAR. Moreover, failure to prove cent percent </w:t>
      </w:r>
      <w:r w:rsidRPr="006C491A">
        <w:rPr>
          <w:rFonts w:ascii="Times New Roman" w:hAnsi="Times New Roman" w:cs="Times New Roman"/>
          <w:sz w:val="24"/>
          <w:szCs w:val="24"/>
        </w:rPr>
        <w:lastRenderedPageBreak/>
        <w:t>“commercial substance” in a corporate entity which is used for tax planning can attract GAAR. In all these circumstances DTC allows lifting of corporate veil and perusing the substance of the transaction. It may be noted that the burden of proof is always on the assessee to prove otherwise.</w:t>
      </w: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The Revised Discussion Paper (RDP) on Direct Taxes Code which was released on 15th July, 2010, attempted to address some of these concerns. According to RDP, GAAR provisions do not envisage treating each and every arrangement as impermissible avoidance arrangements. The provisions shall be attracted only when the arrangement, besides obtaining tax benefit for the </w:t>
      </w:r>
      <w:r w:rsidR="00FF2773" w:rsidRPr="006C491A">
        <w:rPr>
          <w:rFonts w:ascii="Times New Roman" w:hAnsi="Times New Roman" w:cs="Times New Roman"/>
          <w:sz w:val="24"/>
          <w:szCs w:val="24"/>
        </w:rPr>
        <w:t>assesses</w:t>
      </w:r>
      <w:r w:rsidRPr="006C491A">
        <w:rPr>
          <w:rFonts w:ascii="Times New Roman" w:hAnsi="Times New Roman" w:cs="Times New Roman"/>
          <w:sz w:val="24"/>
          <w:szCs w:val="24"/>
        </w:rPr>
        <w:t>, satisfies</w:t>
      </w:r>
      <w:r w:rsidR="004F08A5" w:rsidRPr="006C491A">
        <w:rPr>
          <w:rFonts w:ascii="Times New Roman" w:hAnsi="Times New Roman" w:cs="Times New Roman"/>
          <w:sz w:val="24"/>
          <w:szCs w:val="24"/>
        </w:rPr>
        <w:t xml:space="preserve"> </w:t>
      </w:r>
      <w:r w:rsidRPr="006C491A">
        <w:rPr>
          <w:rFonts w:ascii="Times New Roman" w:hAnsi="Times New Roman" w:cs="Times New Roman"/>
          <w:sz w:val="24"/>
          <w:szCs w:val="24"/>
        </w:rPr>
        <w:t>one of the four conditions as laid down in Sec 113 of DTC The RDP proposed the following safeguards for invoking GAAR provisions</w:t>
      </w: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a) Issue of guidelines by Central Board of Direct Taxes</w:t>
      </w: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b) Invoking GAAR provisions in respect of an arrangement where tax avoidance</w:t>
      </w: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is beyond a specified threshold limit</w:t>
      </w: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c) Providing Dispute Resolution Panel for addressing grievances</w:t>
      </w: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Although the above proposals will bring in a certain degree of certainty in tax management, they are inapposite as far as building inherent checks and balances are concerned. For instance, RDP is silent on provisions regarding accountability (including certain minimum actions/ consequences) which can project an opposite sense of even handedness.</w:t>
      </w: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p>
    <w:p w:rsidR="00482B36" w:rsidRPr="006C491A" w:rsidRDefault="00482B36" w:rsidP="005F4B57">
      <w:p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The proposals such as issue of guidelines and specifying threshold limit for tax avoidance will enable the department to unilaterally draw the contours of GAAR. Thus, contingent upon the language of guidelines and the specified threshold limit, any use of corporate vehicle for tax planning may attract GAAR provisions. Further, as the composition of Dispute Resolution Panel is unknown, it remains to be seen whether it will serve as an appropriate forum for adjudicating GAAR disputes. </w:t>
      </w:r>
    </w:p>
    <w:p w:rsidR="00751DF8" w:rsidRPr="006C491A" w:rsidRDefault="00751DF8" w:rsidP="005F4B57">
      <w:pPr>
        <w:autoSpaceDE w:val="0"/>
        <w:autoSpaceDN w:val="0"/>
        <w:adjustRightInd w:val="0"/>
        <w:spacing w:after="0" w:line="360" w:lineRule="auto"/>
        <w:jc w:val="both"/>
        <w:rPr>
          <w:rFonts w:ascii="Times New Roman" w:hAnsi="Times New Roman" w:cs="Times New Roman"/>
          <w:sz w:val="24"/>
          <w:szCs w:val="24"/>
        </w:rPr>
      </w:pPr>
    </w:p>
    <w:p w:rsidR="006C491A" w:rsidRPr="006C491A" w:rsidRDefault="006C491A" w:rsidP="005F4B57">
      <w:pPr>
        <w:autoSpaceDE w:val="0"/>
        <w:autoSpaceDN w:val="0"/>
        <w:adjustRightInd w:val="0"/>
        <w:spacing w:after="0" w:line="360" w:lineRule="auto"/>
        <w:jc w:val="both"/>
        <w:rPr>
          <w:rFonts w:ascii="Times New Roman" w:hAnsi="Times New Roman" w:cs="Times New Roman"/>
          <w:b/>
          <w:sz w:val="24"/>
          <w:szCs w:val="24"/>
        </w:rPr>
      </w:pPr>
    </w:p>
    <w:p w:rsidR="006C491A" w:rsidRPr="006C491A" w:rsidRDefault="006C491A" w:rsidP="005F4B57">
      <w:pPr>
        <w:autoSpaceDE w:val="0"/>
        <w:autoSpaceDN w:val="0"/>
        <w:adjustRightInd w:val="0"/>
        <w:spacing w:after="0" w:line="360" w:lineRule="auto"/>
        <w:jc w:val="both"/>
        <w:rPr>
          <w:rFonts w:ascii="Times New Roman" w:hAnsi="Times New Roman" w:cs="Times New Roman"/>
          <w:b/>
          <w:sz w:val="24"/>
          <w:szCs w:val="24"/>
        </w:rPr>
      </w:pPr>
    </w:p>
    <w:p w:rsidR="00366793" w:rsidRPr="006C491A" w:rsidRDefault="00751DF8" w:rsidP="006C491A">
      <w:pPr>
        <w:pStyle w:val="Heading1"/>
        <w:rPr>
          <w:rFonts w:ascii="Times New Roman" w:hAnsi="Times New Roman" w:cs="Times New Roman"/>
        </w:rPr>
      </w:pPr>
      <w:r w:rsidRPr="006C491A">
        <w:rPr>
          <w:rFonts w:ascii="Times New Roman" w:hAnsi="Times New Roman" w:cs="Times New Roman"/>
        </w:rPr>
        <w:lastRenderedPageBreak/>
        <w:t xml:space="preserve">DTAA vs. </w:t>
      </w:r>
      <w:r w:rsidR="00C83C7B" w:rsidRPr="006C491A">
        <w:rPr>
          <w:rFonts w:ascii="Times New Roman" w:hAnsi="Times New Roman" w:cs="Times New Roman"/>
        </w:rPr>
        <w:t>DTC:</w:t>
      </w:r>
      <w:r w:rsidRPr="006C491A">
        <w:rPr>
          <w:rFonts w:ascii="Times New Roman" w:hAnsi="Times New Roman" w:cs="Times New Roman"/>
        </w:rPr>
        <w:t xml:space="preserve"> Analysis in Light of Vodafone Case</w:t>
      </w:r>
    </w:p>
    <w:p w:rsidR="002B315B" w:rsidRPr="006C491A" w:rsidRDefault="002B315B" w:rsidP="005F4B57">
      <w:pPr>
        <w:autoSpaceDE w:val="0"/>
        <w:autoSpaceDN w:val="0"/>
        <w:adjustRightInd w:val="0"/>
        <w:spacing w:after="0" w:line="360" w:lineRule="auto"/>
        <w:jc w:val="both"/>
        <w:rPr>
          <w:rFonts w:ascii="Times New Roman" w:hAnsi="Times New Roman" w:cs="Times New Roman"/>
          <w:b/>
          <w:sz w:val="24"/>
          <w:szCs w:val="24"/>
        </w:rPr>
      </w:pPr>
    </w:p>
    <w:p w:rsidR="00C83C7B" w:rsidRPr="006C491A" w:rsidRDefault="00C83C7B" w:rsidP="006C491A">
      <w:pPr>
        <w:pStyle w:val="Heading2"/>
        <w:rPr>
          <w:rFonts w:ascii="Times New Roman" w:hAnsi="Times New Roman" w:cs="Times New Roman"/>
        </w:rPr>
      </w:pPr>
      <w:r w:rsidRPr="006C491A">
        <w:rPr>
          <w:rFonts w:ascii="Times New Roman" w:hAnsi="Times New Roman" w:cs="Times New Roman"/>
        </w:rPr>
        <w:t>DTAA</w:t>
      </w:r>
    </w:p>
    <w:p w:rsidR="00C83C7B" w:rsidRPr="006C491A" w:rsidRDefault="00C83C7B" w:rsidP="005F4B57">
      <w:pPr>
        <w:spacing w:line="360" w:lineRule="auto"/>
        <w:jc w:val="both"/>
        <w:rPr>
          <w:rFonts w:ascii="Times New Roman" w:eastAsia="Times New Roman" w:hAnsi="Times New Roman" w:cs="Times New Roman"/>
          <w:sz w:val="24"/>
          <w:szCs w:val="24"/>
        </w:rPr>
      </w:pPr>
      <w:r w:rsidRPr="006C491A">
        <w:rPr>
          <w:rFonts w:ascii="Times New Roman" w:eastAsia="Times New Roman" w:hAnsi="Times New Roman" w:cs="Times New Roman"/>
          <w:sz w:val="24"/>
          <w:szCs w:val="24"/>
        </w:rPr>
        <w:t>Being consistent with the practice adopted in most of the countries in the world that hav</w:t>
      </w:r>
      <w:r w:rsidR="00CC33EB" w:rsidRPr="006C491A">
        <w:rPr>
          <w:rFonts w:ascii="Times New Roman" w:eastAsia="Times New Roman" w:hAnsi="Times New Roman" w:cs="Times New Roman"/>
          <w:sz w:val="24"/>
          <w:szCs w:val="24"/>
        </w:rPr>
        <w:t xml:space="preserve">e taken to levy tax on income or </w:t>
      </w:r>
      <w:r w:rsidRPr="006C491A">
        <w:rPr>
          <w:rFonts w:ascii="Times New Roman" w:eastAsia="Times New Roman" w:hAnsi="Times New Roman" w:cs="Times New Roman"/>
          <w:sz w:val="24"/>
          <w:szCs w:val="24"/>
        </w:rPr>
        <w:t xml:space="preserve">capital, India has adopted the system under which Income Tax on residents is imposed on the "total world income" i.e. income earned anywhere in the world. Whereas a tax payer’s own country (referred to as home country) has a sovereign right to tax him, the source of income may be in some other country (referred to as host country) which country also claims a right to tax the income arising in that country. The result is that income arising to a resident out of India is subjected to tax in India as it is part of total world income and, also in the host country which provides the source for that income. All this resulted as a double taxation for a single transaction for the traders. </w:t>
      </w:r>
    </w:p>
    <w:p w:rsidR="00527E5B" w:rsidRPr="006C491A" w:rsidRDefault="00527E5B" w:rsidP="005F4B57">
      <w:pPr>
        <w:spacing w:line="360" w:lineRule="auto"/>
        <w:jc w:val="both"/>
        <w:rPr>
          <w:rFonts w:ascii="Times New Roman" w:eastAsia="Times New Roman" w:hAnsi="Times New Roman" w:cs="Times New Roman"/>
          <w:sz w:val="24"/>
          <w:szCs w:val="24"/>
        </w:rPr>
      </w:pPr>
      <w:r w:rsidRPr="006C491A">
        <w:rPr>
          <w:rFonts w:ascii="Times New Roman" w:eastAsia="Times New Roman" w:hAnsi="Times New Roman" w:cs="Times New Roman"/>
          <w:sz w:val="24"/>
          <w:szCs w:val="24"/>
        </w:rPr>
        <w:t xml:space="preserve">In the case of non-residents, however, it is not the "total world income" but only that income is subjected to tax in India which is earned in this country. Since a resident is taxed in respect of foreign income in his own country as well as in the country where it is earned, he is subjected to tax in both the countries in respect of the same income. All because of these double taxation issues DTAA come into play to avoid double taxation. As there was a phenomenal growth in international trade and commerce and increasing interactivity among the nations, residents of one country extend their sphere of business operations to other countries. Cross-country flow of capital, services and technology is the order of the day particularly after the country embarked on the path of globalization of economy. Presence of double or multiple taxation acts as a major determining factor in decisions relating to location of investment, technology etc. as it affects the bottom-line of a business enterprise. The effort is, therefore, to ensure that heavy tax burden is not cast as a result of double or multiple taxation. </w:t>
      </w:r>
    </w:p>
    <w:p w:rsidR="0065386E" w:rsidRPr="006C491A" w:rsidRDefault="002D4EFD"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According to the World Investment Report (UNCTAD, 2009), as of 2008 there were 2805 comprehensive or limited bilateral treaties between countries from a possible maximum of around 50,000 treaties. These treaties are usually between countries with substantial trade or other economic relations. Most treaties are between pairs of developed countries while, of the </w:t>
      </w:r>
      <w:r w:rsidRPr="006C491A">
        <w:rPr>
          <w:rFonts w:ascii="Times New Roman" w:hAnsi="Times New Roman" w:cs="Times New Roman"/>
          <w:sz w:val="24"/>
          <w:szCs w:val="24"/>
        </w:rPr>
        <w:lastRenderedPageBreak/>
        <w:t>balance, most are between developed and developing countries. DTAAs (a) provide reciprocal concessions to mitigate double taxation, (b) assign taxation rights roughly in accordance with that “existing consensus” described below and (c) largely though not rigidly follow the OECD Model Tax Convention or, for developing countries, the UN Tax Convention.</w:t>
      </w:r>
      <w:r w:rsidRPr="006C491A">
        <w:rPr>
          <w:rStyle w:val="FootnoteReference"/>
          <w:rFonts w:ascii="Times New Roman" w:hAnsi="Times New Roman" w:cs="Times New Roman"/>
          <w:sz w:val="24"/>
          <w:szCs w:val="24"/>
        </w:rPr>
        <w:footnoteReference w:id="35"/>
      </w:r>
      <w:r w:rsidRPr="006C491A">
        <w:rPr>
          <w:rFonts w:ascii="Times New Roman" w:hAnsi="Times New Roman" w:cs="Times New Roman"/>
          <w:sz w:val="24"/>
          <w:szCs w:val="24"/>
        </w:rPr>
        <w:t xml:space="preserve"> Recent treaties contain new clauses following the OECD Model Tax Conventions of 2005 to 2010 which extend areas of cooperation to administrative and information issues. While current treaties deal mainly with the right to tax incomes and, occasionally, capital, the OECD‟s recent Model VAT Guidelines could expand the scope of bilateral treaties in future to also cover the VAT (Owens, 2002).</w:t>
      </w:r>
    </w:p>
    <w:p w:rsidR="00CD1EB0" w:rsidRPr="006C491A" w:rsidRDefault="00CD1EB0" w:rsidP="006C491A">
      <w:pPr>
        <w:pStyle w:val="Heading2"/>
        <w:rPr>
          <w:rFonts w:ascii="Times New Roman" w:hAnsi="Times New Roman" w:cs="Times New Roman"/>
        </w:rPr>
      </w:pPr>
      <w:r w:rsidRPr="006C491A">
        <w:rPr>
          <w:rFonts w:ascii="Times New Roman" w:hAnsi="Times New Roman" w:cs="Times New Roman"/>
        </w:rPr>
        <w:t xml:space="preserve">Direct Tax Code (DTC) </w:t>
      </w:r>
    </w:p>
    <w:p w:rsidR="00BA119F" w:rsidRPr="006C491A" w:rsidRDefault="00CD1EB0" w:rsidP="005F4B57">
      <w:pPr>
        <w:autoSpaceDE w:val="0"/>
        <w:autoSpaceDN w:val="0"/>
        <w:adjustRightInd w:val="0"/>
        <w:spacing w:after="0" w:line="360" w:lineRule="auto"/>
        <w:jc w:val="both"/>
        <w:rPr>
          <w:rFonts w:ascii="Times New Roman" w:hAnsi="Times New Roman" w:cs="Times New Roman"/>
          <w:iCs/>
          <w:sz w:val="24"/>
          <w:szCs w:val="24"/>
        </w:rPr>
      </w:pPr>
      <w:r w:rsidRPr="006C491A">
        <w:rPr>
          <w:rFonts w:ascii="Times New Roman" w:hAnsi="Times New Roman" w:cs="Times New Roman"/>
          <w:sz w:val="24"/>
          <w:szCs w:val="24"/>
        </w:rPr>
        <w:t>The Direct Taxes Code Bill (DTC) unveiled on August 12, 2009</w:t>
      </w:r>
      <w:r w:rsidR="00191F42" w:rsidRPr="006C491A">
        <w:rPr>
          <w:rFonts w:ascii="Times New Roman" w:hAnsi="Times New Roman" w:cs="Times New Roman"/>
          <w:sz w:val="24"/>
          <w:szCs w:val="24"/>
        </w:rPr>
        <w:t xml:space="preserve"> </w:t>
      </w:r>
      <w:r w:rsidRPr="006C491A">
        <w:rPr>
          <w:rFonts w:ascii="Times New Roman" w:hAnsi="Times New Roman" w:cs="Times New Roman"/>
          <w:sz w:val="24"/>
          <w:szCs w:val="24"/>
        </w:rPr>
        <w:t>envisages the creation of a robust tax system in India. It was expected to come</w:t>
      </w:r>
      <w:r w:rsidR="00191F42" w:rsidRPr="006C491A">
        <w:rPr>
          <w:rFonts w:ascii="Times New Roman" w:hAnsi="Times New Roman" w:cs="Times New Roman"/>
          <w:sz w:val="24"/>
          <w:szCs w:val="24"/>
        </w:rPr>
        <w:t xml:space="preserve"> </w:t>
      </w:r>
      <w:r w:rsidRPr="006C491A">
        <w:rPr>
          <w:rFonts w:ascii="Times New Roman" w:hAnsi="Times New Roman" w:cs="Times New Roman"/>
          <w:sz w:val="24"/>
          <w:szCs w:val="24"/>
        </w:rPr>
        <w:t>into force on April 1, 2011, but was subsequently postponed to April 1, 2012. DTC</w:t>
      </w:r>
      <w:r w:rsidR="00191F42" w:rsidRPr="006C491A">
        <w:rPr>
          <w:rFonts w:ascii="Times New Roman" w:hAnsi="Times New Roman" w:cs="Times New Roman"/>
          <w:sz w:val="24"/>
          <w:szCs w:val="24"/>
        </w:rPr>
        <w:t xml:space="preserve"> </w:t>
      </w:r>
      <w:r w:rsidRPr="006C491A">
        <w:rPr>
          <w:rFonts w:ascii="Times New Roman" w:hAnsi="Times New Roman" w:cs="Times New Roman"/>
          <w:sz w:val="24"/>
          <w:szCs w:val="24"/>
        </w:rPr>
        <w:t>seeks to consolidate and amend the existing direct tax law.</w:t>
      </w:r>
      <w:r w:rsidR="00191F42" w:rsidRPr="006C491A">
        <w:rPr>
          <w:rFonts w:ascii="Times New Roman" w:hAnsi="Times New Roman" w:cs="Times New Roman"/>
          <w:sz w:val="24"/>
          <w:szCs w:val="24"/>
        </w:rPr>
        <w:t xml:space="preserve"> This step was required because of growing international transaction has led to numerous tax disputes in the world. So international tax jurisprudence requires legitimate tax planning.</w:t>
      </w:r>
      <w:r w:rsidR="00191F42" w:rsidRPr="006C491A">
        <w:rPr>
          <w:rStyle w:val="FootnoteReference"/>
          <w:rFonts w:ascii="Times New Roman" w:hAnsi="Times New Roman" w:cs="Times New Roman"/>
          <w:sz w:val="24"/>
          <w:szCs w:val="24"/>
        </w:rPr>
        <w:footnoteReference w:id="36"/>
      </w:r>
      <w:r w:rsidR="00191F42" w:rsidRPr="006C491A">
        <w:rPr>
          <w:rFonts w:ascii="Times New Roman" w:hAnsi="Times New Roman" w:cs="Times New Roman"/>
          <w:sz w:val="24"/>
          <w:szCs w:val="24"/>
        </w:rPr>
        <w:t xml:space="preserve"> In the discussion paper the object of the Act is stated clear, that it is to establish an economically efficient, effective and equitable direct tax system which shall facilitate voluntary compliance and raise the tax-GDP ratio. It intends to reduce the scope for disputes and minimize litigation. According to the Discussion Paper (DP) on the draft, an attempt has been made to avoid ambiguity that invariably gives rise to rival interpretations. The objective is to bring assessor and </w:t>
      </w:r>
      <w:r w:rsidR="004C2811" w:rsidRPr="006C491A">
        <w:rPr>
          <w:rFonts w:ascii="Times New Roman" w:hAnsi="Times New Roman" w:cs="Times New Roman"/>
          <w:sz w:val="24"/>
          <w:szCs w:val="24"/>
        </w:rPr>
        <w:t>assesses</w:t>
      </w:r>
      <w:r w:rsidR="00191F42" w:rsidRPr="006C491A">
        <w:rPr>
          <w:rFonts w:ascii="Times New Roman" w:hAnsi="Times New Roman" w:cs="Times New Roman"/>
          <w:sz w:val="24"/>
          <w:szCs w:val="24"/>
        </w:rPr>
        <w:t xml:space="preserve"> at </w:t>
      </w:r>
      <w:r w:rsidR="00191F42" w:rsidRPr="006C491A">
        <w:rPr>
          <w:rFonts w:ascii="Times New Roman" w:hAnsi="Times New Roman" w:cs="Times New Roman"/>
          <w:iCs/>
          <w:sz w:val="24"/>
          <w:szCs w:val="24"/>
        </w:rPr>
        <w:t xml:space="preserve">ad idem </w:t>
      </w:r>
      <w:r w:rsidR="00191F42" w:rsidRPr="006C491A">
        <w:rPr>
          <w:rFonts w:ascii="Times New Roman" w:hAnsi="Times New Roman" w:cs="Times New Roman"/>
          <w:sz w:val="24"/>
          <w:szCs w:val="24"/>
        </w:rPr>
        <w:t>on the provisions of law</w:t>
      </w:r>
      <w:r w:rsidR="00BA119F" w:rsidRPr="006C491A">
        <w:rPr>
          <w:rFonts w:ascii="Times New Roman" w:hAnsi="Times New Roman" w:cs="Times New Roman"/>
          <w:sz w:val="24"/>
          <w:szCs w:val="24"/>
        </w:rPr>
        <w:t>. As the objects were laid down in a very broad manner but there was still a conflict like India was still following Westminster rule that tax avoidance is legal and that a citizen is entitled to the benefit of the letter of the law, even if result is manifestly contrary to its spirit. This seems rather well established, until Justice Chinappa “concurring” opinion in Mc Dowell v. CTO,</w:t>
      </w:r>
      <w:r w:rsidR="00BA119F" w:rsidRPr="006C491A">
        <w:rPr>
          <w:rStyle w:val="FootnoteReference"/>
          <w:rFonts w:ascii="Times New Roman" w:hAnsi="Times New Roman" w:cs="Times New Roman"/>
          <w:sz w:val="24"/>
          <w:szCs w:val="24"/>
        </w:rPr>
        <w:footnoteReference w:id="37"/>
      </w:r>
      <w:r w:rsidR="00BA119F" w:rsidRPr="006C491A">
        <w:rPr>
          <w:rFonts w:ascii="Times New Roman" w:hAnsi="Times New Roman" w:cs="Times New Roman"/>
          <w:sz w:val="24"/>
          <w:szCs w:val="24"/>
        </w:rPr>
        <w:t xml:space="preserve"> that the “ghost” of the duke of Westminster must </w:t>
      </w:r>
      <w:r w:rsidR="00BA119F" w:rsidRPr="006C491A">
        <w:rPr>
          <w:rFonts w:ascii="Times New Roman" w:hAnsi="Times New Roman" w:cs="Times New Roman"/>
          <w:sz w:val="24"/>
          <w:szCs w:val="24"/>
        </w:rPr>
        <w:lastRenderedPageBreak/>
        <w:t xml:space="preserve">be “exorcised” and that any device intended to avoid tax liability is illegal. But still after this decision there was a conflict and confusion about what is tax avoidance and tax evasion? </w:t>
      </w:r>
      <w:r w:rsidR="005076A5" w:rsidRPr="006C491A">
        <w:rPr>
          <w:rFonts w:ascii="Times New Roman" w:hAnsi="Times New Roman" w:cs="Times New Roman"/>
          <w:sz w:val="24"/>
          <w:szCs w:val="24"/>
        </w:rPr>
        <w:t xml:space="preserve">And what will be the consequences in both the cases. And if there is dispute between DTAA and DTC which law will prevail. All these questions arose in the recent case of </w:t>
      </w:r>
      <w:r w:rsidR="005076A5" w:rsidRPr="006C491A">
        <w:rPr>
          <w:rFonts w:ascii="Times New Roman" w:hAnsi="Times New Roman" w:cs="Times New Roman"/>
          <w:iCs/>
          <w:sz w:val="24"/>
          <w:szCs w:val="24"/>
        </w:rPr>
        <w:t xml:space="preserve">Vodafone International Holdings BV </w:t>
      </w:r>
      <w:r w:rsidR="005076A5" w:rsidRPr="006C491A">
        <w:rPr>
          <w:rFonts w:ascii="Times New Roman" w:hAnsi="Times New Roman" w:cs="Times New Roman"/>
          <w:sz w:val="24"/>
          <w:szCs w:val="24"/>
        </w:rPr>
        <w:t xml:space="preserve">v. </w:t>
      </w:r>
      <w:r w:rsidR="005076A5" w:rsidRPr="006C491A">
        <w:rPr>
          <w:rFonts w:ascii="Times New Roman" w:hAnsi="Times New Roman" w:cs="Times New Roman"/>
          <w:iCs/>
          <w:sz w:val="24"/>
          <w:szCs w:val="24"/>
        </w:rPr>
        <w:t>Union of India.</w:t>
      </w:r>
      <w:r w:rsidR="005076A5" w:rsidRPr="006C491A">
        <w:rPr>
          <w:rStyle w:val="FootnoteReference"/>
          <w:rFonts w:ascii="Times New Roman" w:hAnsi="Times New Roman" w:cs="Times New Roman"/>
          <w:iCs/>
          <w:sz w:val="24"/>
          <w:szCs w:val="24"/>
        </w:rPr>
        <w:footnoteReference w:id="38"/>
      </w:r>
    </w:p>
    <w:p w:rsidR="00E81E20" w:rsidRPr="006C491A" w:rsidRDefault="00E81E20" w:rsidP="005F4B57">
      <w:pPr>
        <w:autoSpaceDE w:val="0"/>
        <w:autoSpaceDN w:val="0"/>
        <w:adjustRightInd w:val="0"/>
        <w:spacing w:after="0" w:line="360" w:lineRule="auto"/>
        <w:jc w:val="both"/>
        <w:rPr>
          <w:rFonts w:ascii="Times New Roman" w:hAnsi="Times New Roman" w:cs="Times New Roman"/>
          <w:iCs/>
          <w:sz w:val="24"/>
          <w:szCs w:val="24"/>
        </w:rPr>
      </w:pPr>
    </w:p>
    <w:p w:rsidR="005076A5" w:rsidRPr="006C491A" w:rsidRDefault="00E81E20" w:rsidP="006C491A">
      <w:pPr>
        <w:pStyle w:val="Heading2"/>
        <w:rPr>
          <w:rFonts w:ascii="Times New Roman" w:hAnsi="Times New Roman" w:cs="Times New Roman"/>
        </w:rPr>
      </w:pPr>
      <w:r w:rsidRPr="006C491A">
        <w:rPr>
          <w:rFonts w:ascii="Times New Roman" w:hAnsi="Times New Roman" w:cs="Times New Roman"/>
        </w:rPr>
        <w:t>Vodafone Case</w:t>
      </w:r>
    </w:p>
    <w:p w:rsidR="00E81E20" w:rsidRPr="006C491A" w:rsidRDefault="00E81E20" w:rsidP="005F4B57">
      <w:pPr>
        <w:spacing w:after="192" w:line="360" w:lineRule="auto"/>
        <w:jc w:val="both"/>
        <w:rPr>
          <w:rFonts w:ascii="Times New Roman" w:eastAsia="Times New Roman" w:hAnsi="Times New Roman" w:cs="Times New Roman"/>
          <w:sz w:val="24"/>
          <w:szCs w:val="24"/>
        </w:rPr>
      </w:pPr>
      <w:r w:rsidRPr="006C491A">
        <w:rPr>
          <w:rFonts w:ascii="Times New Roman" w:eastAsia="Times New Roman" w:hAnsi="Times New Roman" w:cs="Times New Roman"/>
          <w:sz w:val="24"/>
          <w:szCs w:val="24"/>
        </w:rPr>
        <w:t>In December, 2006, Hutchison Telecommunications International Ltd. (HTIL), a company incorporated in Cayman Islands and having its principal executive office at Hong Kong, held 66.9848% interest in an Indian company, Hutchison Essar Ltd. (HEL) through a maze of subsidiaries in British Virgin Islands, Cayman Islands and Mauritius (around 15 offshore companies) and through complicated ‘option’ agreements with a number of Indian companies. HEL along with its Indian subsidiaries held licences for providing cellular services in 23 telecom circles in India. The balance 33.0152% interest in HEL was held by the Essar Group of Companies.</w:t>
      </w:r>
    </w:p>
    <w:p w:rsidR="00E81E20" w:rsidRPr="006C491A" w:rsidRDefault="00E81E20" w:rsidP="005F4B57">
      <w:pPr>
        <w:spacing w:after="192" w:line="360" w:lineRule="auto"/>
        <w:jc w:val="both"/>
        <w:rPr>
          <w:rFonts w:ascii="Times New Roman" w:eastAsia="Times New Roman" w:hAnsi="Times New Roman" w:cs="Times New Roman"/>
          <w:sz w:val="24"/>
          <w:szCs w:val="24"/>
        </w:rPr>
      </w:pPr>
      <w:r w:rsidRPr="006C491A">
        <w:rPr>
          <w:rFonts w:ascii="Times New Roman" w:eastAsia="Times New Roman" w:hAnsi="Times New Roman" w:cs="Times New Roman"/>
          <w:sz w:val="24"/>
          <w:szCs w:val="24"/>
        </w:rPr>
        <w:t>Vodafone (through its Netherlands entity) entered into a share purchase agreement with HTIL in February 2007 to acquire the said 66.9848% interest in Hutchison Essar Ltd. and it claims to have acquired the same through purchase of the solitary share of a Cayman Island company of the Hutch Group [viz., CGP Investments (Holdings) Ltd. (CGP)].</w:t>
      </w:r>
    </w:p>
    <w:p w:rsidR="00E81E20" w:rsidRPr="006C491A" w:rsidRDefault="00E81E20" w:rsidP="005F4B57">
      <w:pPr>
        <w:spacing w:after="192" w:line="360" w:lineRule="auto"/>
        <w:jc w:val="both"/>
        <w:rPr>
          <w:rFonts w:ascii="Times New Roman" w:eastAsia="Times New Roman" w:hAnsi="Times New Roman" w:cs="Times New Roman"/>
          <w:sz w:val="24"/>
          <w:szCs w:val="24"/>
        </w:rPr>
      </w:pPr>
      <w:r w:rsidRPr="006C491A">
        <w:rPr>
          <w:rFonts w:ascii="Times New Roman" w:eastAsia="Times New Roman" w:hAnsi="Times New Roman" w:cs="Times New Roman"/>
          <w:sz w:val="24"/>
          <w:szCs w:val="24"/>
        </w:rPr>
        <w:t>The Indian Revenue Authorities alleged that Vodafone International Holdings B.V., Netherlands (Vodafone BV) had failed to withhold income-tax on the payment of consideration made to HTIL and, hence, sought to assess tax in its hands as a taxpayer in default and it issued a notice to Vodafone.</w:t>
      </w:r>
    </w:p>
    <w:p w:rsidR="00E81E20" w:rsidRPr="006C491A" w:rsidRDefault="00E81E20" w:rsidP="005F4B57">
      <w:pPr>
        <w:autoSpaceDE w:val="0"/>
        <w:autoSpaceDN w:val="0"/>
        <w:adjustRightInd w:val="0"/>
        <w:spacing w:after="0" w:line="360" w:lineRule="auto"/>
        <w:jc w:val="both"/>
        <w:rPr>
          <w:rFonts w:ascii="Times New Roman" w:eastAsia="Times New Roman" w:hAnsi="Times New Roman" w:cs="Times New Roman"/>
          <w:sz w:val="24"/>
          <w:szCs w:val="24"/>
        </w:rPr>
      </w:pPr>
      <w:r w:rsidRPr="006C491A">
        <w:rPr>
          <w:rFonts w:ascii="Times New Roman" w:eastAsia="Times New Roman" w:hAnsi="Times New Roman" w:cs="Times New Roman"/>
          <w:sz w:val="24"/>
          <w:szCs w:val="24"/>
        </w:rPr>
        <w:t xml:space="preserve">Vodafone BV had challenged the issue of this notice before the Bombay High Court and the case was decided against it. Vodafone filed a petition before the Supreme Court (SC); however, the same was dismissed by the SC and it directed the Revenue Authorities to decide whether it had </w:t>
      </w:r>
      <w:r w:rsidRPr="006C491A">
        <w:rPr>
          <w:rFonts w:ascii="Times New Roman" w:eastAsia="Times New Roman" w:hAnsi="Times New Roman" w:cs="Times New Roman"/>
          <w:sz w:val="24"/>
          <w:szCs w:val="24"/>
        </w:rPr>
        <w:lastRenderedPageBreak/>
        <w:t>jurisdiction to tax the transaction and it also said that if the issue was decided against Vodafone BV</w:t>
      </w:r>
      <w:r w:rsidR="0035379D" w:rsidRPr="006C491A">
        <w:rPr>
          <w:rFonts w:ascii="Times New Roman" w:eastAsia="Times New Roman" w:hAnsi="Times New Roman" w:cs="Times New Roman"/>
          <w:sz w:val="24"/>
          <w:szCs w:val="24"/>
        </w:rPr>
        <w:t xml:space="preserve">. </w:t>
      </w:r>
    </w:p>
    <w:p w:rsidR="00DA5F84" w:rsidRPr="006C491A" w:rsidRDefault="00DA5F84" w:rsidP="005F4B57">
      <w:pPr>
        <w:autoSpaceDE w:val="0"/>
        <w:autoSpaceDN w:val="0"/>
        <w:adjustRightInd w:val="0"/>
        <w:spacing w:after="0" w:line="360" w:lineRule="auto"/>
        <w:jc w:val="both"/>
        <w:rPr>
          <w:rFonts w:ascii="Times New Roman" w:eastAsia="Times New Roman" w:hAnsi="Times New Roman" w:cs="Times New Roman"/>
          <w:sz w:val="24"/>
          <w:szCs w:val="24"/>
        </w:rPr>
      </w:pPr>
    </w:p>
    <w:p w:rsidR="007E5C2B" w:rsidRPr="006C491A" w:rsidRDefault="00DA5F84"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r w:rsidRPr="006C491A">
        <w:rPr>
          <w:rFonts w:ascii="Times New Roman" w:hAnsi="Times New Roman" w:cs="Times New Roman"/>
          <w:sz w:val="24"/>
          <w:szCs w:val="24"/>
        </w:rPr>
        <w:t xml:space="preserve">In </w:t>
      </w:r>
      <w:r w:rsidRPr="006C491A">
        <w:rPr>
          <w:rFonts w:ascii="Times New Roman" w:hAnsi="Times New Roman" w:cs="Times New Roman"/>
          <w:iCs/>
          <w:sz w:val="24"/>
          <w:szCs w:val="24"/>
        </w:rPr>
        <w:t xml:space="preserve">Vodafone, </w:t>
      </w:r>
      <w:r w:rsidRPr="006C491A">
        <w:rPr>
          <w:rFonts w:ascii="Times New Roman" w:hAnsi="Times New Roman" w:cs="Times New Roman"/>
          <w:sz w:val="24"/>
          <w:szCs w:val="24"/>
        </w:rPr>
        <w:t xml:space="preserve">the High Court tried to lift the veil over the intermediary foreign company, holding that the transfer of </w:t>
      </w:r>
      <w:r w:rsidR="005B47EB" w:rsidRPr="006C491A">
        <w:rPr>
          <w:rFonts w:ascii="Times New Roman" w:hAnsi="Times New Roman" w:cs="Times New Roman"/>
          <w:sz w:val="24"/>
          <w:szCs w:val="24"/>
        </w:rPr>
        <w:t>‘</w:t>
      </w:r>
      <w:r w:rsidRPr="006C491A">
        <w:rPr>
          <w:rFonts w:ascii="Times New Roman" w:hAnsi="Times New Roman" w:cs="Times New Roman"/>
          <w:sz w:val="24"/>
          <w:szCs w:val="24"/>
        </w:rPr>
        <w:t>shares</w:t>
      </w:r>
      <w:r w:rsidR="005B47EB" w:rsidRPr="006C491A">
        <w:rPr>
          <w:rFonts w:ascii="Times New Roman" w:hAnsi="Times New Roman" w:cs="Times New Roman"/>
          <w:sz w:val="24"/>
          <w:szCs w:val="24"/>
        </w:rPr>
        <w:t>’</w:t>
      </w:r>
      <w:r w:rsidRPr="006C491A">
        <w:rPr>
          <w:rFonts w:ascii="Times New Roman" w:hAnsi="Times New Roman" w:cs="Times New Roman"/>
          <w:sz w:val="24"/>
          <w:szCs w:val="24"/>
        </w:rPr>
        <w:t xml:space="preserve"> of the intermediary company in fact amounted to the transfer of controlling interest in Hutchinson-Essar which is an Indian company. Interestingly, in response to a specific query from the High </w:t>
      </w:r>
      <w:r w:rsidR="005B47EB" w:rsidRPr="006C491A">
        <w:rPr>
          <w:rFonts w:ascii="Times New Roman" w:hAnsi="Times New Roman" w:cs="Times New Roman"/>
          <w:sz w:val="24"/>
          <w:szCs w:val="24"/>
        </w:rPr>
        <w:t>Court, it was</w:t>
      </w:r>
      <w:r w:rsidRPr="006C491A">
        <w:rPr>
          <w:rFonts w:ascii="Times New Roman" w:hAnsi="Times New Roman" w:cs="Times New Roman"/>
          <w:sz w:val="24"/>
          <w:szCs w:val="24"/>
        </w:rPr>
        <w:t xml:space="preserve"> categorically asserted that it was not the case of the respondents that the transaction entered into by Hutchinson and Vodafone was a colourable attempt to evade tax. It was also not contended that the corporate entity was abused for unjust and inequitable purposes. The Court lifted the corporate veil without any discussion on the fulfillment of these conditions, ignoring the principle that lifting the corporate veil is an exception</w:t>
      </w:r>
      <w:r w:rsidR="005B47EB" w:rsidRPr="006C491A">
        <w:rPr>
          <w:rFonts w:ascii="Times New Roman" w:hAnsi="Times New Roman" w:cs="Times New Roman"/>
          <w:sz w:val="24"/>
          <w:szCs w:val="24"/>
        </w:rPr>
        <w:t xml:space="preserve"> </w:t>
      </w:r>
      <w:r w:rsidRPr="006C491A">
        <w:rPr>
          <w:rFonts w:ascii="Times New Roman" w:hAnsi="Times New Roman" w:cs="Times New Roman"/>
          <w:sz w:val="24"/>
          <w:szCs w:val="24"/>
        </w:rPr>
        <w:t xml:space="preserve">and not a rule by itself. The stream of reasoning in the </w:t>
      </w:r>
      <w:r w:rsidRPr="006C491A">
        <w:rPr>
          <w:rFonts w:ascii="Times New Roman" w:hAnsi="Times New Roman" w:cs="Times New Roman"/>
          <w:iCs/>
          <w:sz w:val="24"/>
          <w:szCs w:val="24"/>
        </w:rPr>
        <w:t xml:space="preserve">Vodafone </w:t>
      </w:r>
      <w:r w:rsidRPr="006C491A">
        <w:rPr>
          <w:rFonts w:ascii="Times New Roman" w:hAnsi="Times New Roman" w:cs="Times New Roman"/>
          <w:sz w:val="24"/>
          <w:szCs w:val="24"/>
        </w:rPr>
        <w:t xml:space="preserve">judgment lacks logic and coherence which are the essential ingredients of legal reasoning. The judgment completely disregarded the principles laid down in </w:t>
      </w:r>
      <w:r w:rsidRPr="006C491A">
        <w:rPr>
          <w:rFonts w:ascii="Times New Roman" w:hAnsi="Times New Roman" w:cs="Times New Roman"/>
          <w:iCs/>
          <w:sz w:val="24"/>
          <w:szCs w:val="24"/>
        </w:rPr>
        <w:t xml:space="preserve">McDowell </w:t>
      </w:r>
      <w:r w:rsidRPr="006C491A">
        <w:rPr>
          <w:rFonts w:ascii="Times New Roman" w:hAnsi="Times New Roman" w:cs="Times New Roman"/>
          <w:sz w:val="24"/>
          <w:szCs w:val="24"/>
        </w:rPr>
        <w:t xml:space="preserve">and </w:t>
      </w:r>
      <w:r w:rsidRPr="006C491A">
        <w:rPr>
          <w:rFonts w:ascii="Times New Roman" w:hAnsi="Times New Roman" w:cs="Times New Roman"/>
          <w:iCs/>
          <w:sz w:val="24"/>
          <w:szCs w:val="24"/>
        </w:rPr>
        <w:t>Azadi Bachao</w:t>
      </w:r>
      <w:r w:rsidRPr="006C491A">
        <w:rPr>
          <w:rFonts w:ascii="Times New Roman" w:hAnsi="Times New Roman" w:cs="Times New Roman"/>
          <w:sz w:val="24"/>
          <w:szCs w:val="24"/>
        </w:rPr>
        <w:t xml:space="preserve"> </w:t>
      </w:r>
      <w:r w:rsidRPr="006C491A">
        <w:rPr>
          <w:rFonts w:ascii="Times New Roman" w:hAnsi="Times New Roman" w:cs="Times New Roman"/>
          <w:iCs/>
          <w:sz w:val="24"/>
          <w:szCs w:val="24"/>
        </w:rPr>
        <w:t xml:space="preserve">Andolan </w:t>
      </w:r>
      <w:r w:rsidRPr="006C491A">
        <w:rPr>
          <w:rFonts w:ascii="Times New Roman" w:hAnsi="Times New Roman" w:cs="Times New Roman"/>
          <w:sz w:val="24"/>
          <w:szCs w:val="24"/>
        </w:rPr>
        <w:t>judgments.</w:t>
      </w:r>
      <w:r w:rsidR="005B47EB" w:rsidRPr="006C491A">
        <w:rPr>
          <w:rFonts w:ascii="Times New Roman" w:hAnsi="Times New Roman" w:cs="Times New Roman"/>
          <w:sz w:val="24"/>
          <w:szCs w:val="24"/>
        </w:rPr>
        <w:t xml:space="preserve"> And as principle laid down in Azadi Bachao Andolan that in casse of any conflict between DTAA and Income Tax Act then in that case DTAA will prevail and i</w:t>
      </w:r>
      <w:r w:rsidRPr="006C491A">
        <w:rPr>
          <w:rFonts w:ascii="Times New Roman" w:hAnsi="Times New Roman" w:cs="Times New Roman"/>
          <w:sz w:val="24"/>
          <w:szCs w:val="24"/>
        </w:rPr>
        <w:t>t was not</w:t>
      </w:r>
      <w:r w:rsidR="005B47EB" w:rsidRPr="006C491A">
        <w:rPr>
          <w:rFonts w:ascii="Times New Roman" w:hAnsi="Times New Roman" w:cs="Times New Roman"/>
          <w:sz w:val="24"/>
          <w:szCs w:val="24"/>
        </w:rPr>
        <w:t xml:space="preserve"> also</w:t>
      </w:r>
      <w:r w:rsidRPr="006C491A">
        <w:rPr>
          <w:rFonts w:ascii="Times New Roman" w:hAnsi="Times New Roman" w:cs="Times New Roman"/>
          <w:sz w:val="24"/>
          <w:szCs w:val="24"/>
        </w:rPr>
        <w:t xml:space="preserve"> proved that the arrangement/transaction was a </w:t>
      </w:r>
      <w:r w:rsidR="00024138" w:rsidRPr="006C491A">
        <w:rPr>
          <w:rFonts w:ascii="Times New Roman" w:hAnsi="Times New Roman" w:cs="Times New Roman"/>
          <w:sz w:val="24"/>
          <w:szCs w:val="24"/>
        </w:rPr>
        <w:t>colorable</w:t>
      </w:r>
      <w:r w:rsidRPr="006C491A">
        <w:rPr>
          <w:rFonts w:ascii="Times New Roman" w:hAnsi="Times New Roman" w:cs="Times New Roman"/>
          <w:sz w:val="24"/>
          <w:szCs w:val="24"/>
        </w:rPr>
        <w:t xml:space="preserve"> device to bring down tax liability.</w:t>
      </w:r>
      <w:r w:rsidR="00341F6A" w:rsidRPr="006C491A">
        <w:rPr>
          <w:rFonts w:ascii="Times New Roman" w:hAnsi="Times New Roman" w:cs="Times New Roman"/>
          <w:sz w:val="24"/>
          <w:szCs w:val="24"/>
        </w:rPr>
        <w:t xml:space="preserve"> </w:t>
      </w:r>
      <w:r w:rsidR="00341F6A" w:rsidRPr="006C491A">
        <w:rPr>
          <w:rStyle w:val="apple-style-span"/>
          <w:rFonts w:ascii="Times New Roman" w:hAnsi="Times New Roman" w:cs="Times New Roman"/>
          <w:sz w:val="24"/>
          <w:szCs w:val="24"/>
          <w:shd w:val="clear" w:color="auto" w:fill="FFFFFF"/>
        </w:rPr>
        <w:t>While an appeal in the</w:t>
      </w:r>
      <w:r w:rsidR="00341F6A" w:rsidRPr="006C491A">
        <w:rPr>
          <w:rStyle w:val="apple-converted-space"/>
          <w:rFonts w:ascii="Times New Roman" w:hAnsi="Times New Roman" w:cs="Times New Roman"/>
          <w:sz w:val="24"/>
          <w:szCs w:val="24"/>
          <w:shd w:val="clear" w:color="auto" w:fill="FFFFFF"/>
        </w:rPr>
        <w:t> </w:t>
      </w:r>
      <w:r w:rsidR="00341F6A" w:rsidRPr="006C491A">
        <w:rPr>
          <w:rStyle w:val="Emphasis"/>
          <w:rFonts w:ascii="Times New Roman" w:hAnsi="Times New Roman" w:cs="Times New Roman"/>
          <w:sz w:val="24"/>
          <w:szCs w:val="24"/>
          <w:shd w:val="clear" w:color="auto" w:fill="FFFFFF"/>
        </w:rPr>
        <w:t>Vodafone Case</w:t>
      </w:r>
      <w:r w:rsidR="00341F6A" w:rsidRPr="006C491A">
        <w:rPr>
          <w:rStyle w:val="apple-converted-space"/>
          <w:rFonts w:ascii="Times New Roman" w:hAnsi="Times New Roman" w:cs="Times New Roman"/>
          <w:iCs/>
          <w:sz w:val="24"/>
          <w:szCs w:val="24"/>
          <w:shd w:val="clear" w:color="auto" w:fill="FFFFFF"/>
        </w:rPr>
        <w:t> </w:t>
      </w:r>
      <w:r w:rsidR="00341F6A" w:rsidRPr="006C491A">
        <w:rPr>
          <w:rStyle w:val="apple-style-span"/>
          <w:rFonts w:ascii="Times New Roman" w:hAnsi="Times New Roman" w:cs="Times New Roman"/>
          <w:sz w:val="24"/>
          <w:szCs w:val="24"/>
          <w:shd w:val="clear" w:color="auto" w:fill="FFFFFF"/>
        </w:rPr>
        <w:t>is pending before the Supreme Court, the Karnataka High Court recently had announced a judgment in</w:t>
      </w:r>
      <w:r w:rsidR="00341F6A" w:rsidRPr="006C491A">
        <w:rPr>
          <w:rStyle w:val="apple-converted-space"/>
          <w:rFonts w:ascii="Times New Roman" w:hAnsi="Times New Roman" w:cs="Times New Roman"/>
          <w:sz w:val="24"/>
          <w:szCs w:val="24"/>
          <w:shd w:val="clear" w:color="auto" w:fill="FFFFFF"/>
        </w:rPr>
        <w:t> </w:t>
      </w:r>
      <w:r w:rsidR="00341F6A" w:rsidRPr="006C491A">
        <w:rPr>
          <w:rStyle w:val="Emphasis"/>
          <w:rFonts w:ascii="Times New Roman" w:hAnsi="Times New Roman" w:cs="Times New Roman"/>
          <w:sz w:val="24"/>
          <w:szCs w:val="24"/>
          <w:shd w:val="clear" w:color="auto" w:fill="FFFFFF"/>
        </w:rPr>
        <w:t>Richter Holding v. The Assistant Director of Income Tax,</w:t>
      </w:r>
      <w:r w:rsidR="00341F6A" w:rsidRPr="006C491A">
        <w:rPr>
          <w:rStyle w:val="FootnoteReference"/>
          <w:rFonts w:ascii="Times New Roman" w:hAnsi="Times New Roman" w:cs="Times New Roman"/>
          <w:iCs/>
          <w:sz w:val="24"/>
          <w:szCs w:val="24"/>
          <w:shd w:val="clear" w:color="auto" w:fill="FFFFFF"/>
        </w:rPr>
        <w:footnoteReference w:id="39"/>
      </w:r>
      <w:r w:rsidR="00341F6A" w:rsidRPr="006C491A">
        <w:rPr>
          <w:rStyle w:val="apple-converted-space"/>
          <w:rFonts w:ascii="Times New Roman" w:hAnsi="Times New Roman" w:cs="Times New Roman"/>
          <w:iCs/>
          <w:sz w:val="24"/>
          <w:szCs w:val="24"/>
          <w:shd w:val="clear" w:color="auto" w:fill="FFFFFF"/>
        </w:rPr>
        <w:t> </w:t>
      </w:r>
      <w:r w:rsidR="00341F6A" w:rsidRPr="006C491A">
        <w:rPr>
          <w:rStyle w:val="apple-style-span"/>
          <w:rFonts w:ascii="Times New Roman" w:hAnsi="Times New Roman" w:cs="Times New Roman"/>
          <w:sz w:val="24"/>
          <w:szCs w:val="24"/>
          <w:shd w:val="clear" w:color="auto" w:fill="FFFFFF"/>
        </w:rPr>
        <w:t xml:space="preserve">on a similar fact situation. Although the Karnataka High Court too </w:t>
      </w:r>
      <w:r w:rsidR="00024138" w:rsidRPr="006C491A">
        <w:rPr>
          <w:rStyle w:val="apple-style-span"/>
          <w:rFonts w:ascii="Times New Roman" w:hAnsi="Times New Roman" w:cs="Times New Roman"/>
          <w:sz w:val="24"/>
          <w:szCs w:val="24"/>
          <w:shd w:val="clear" w:color="auto" w:fill="FFFFFF"/>
        </w:rPr>
        <w:t>sided</w:t>
      </w:r>
      <w:r w:rsidR="00341F6A" w:rsidRPr="006C491A">
        <w:rPr>
          <w:rStyle w:val="apple-style-span"/>
          <w:rFonts w:ascii="Times New Roman" w:hAnsi="Times New Roman" w:cs="Times New Roman"/>
          <w:sz w:val="24"/>
          <w:szCs w:val="24"/>
          <w:shd w:val="clear" w:color="auto" w:fill="FFFFFF"/>
        </w:rPr>
        <w:t xml:space="preserve"> the revenue, the reasoning substantially deviates from</w:t>
      </w:r>
      <w:r w:rsidR="00341F6A" w:rsidRPr="006C491A">
        <w:rPr>
          <w:rStyle w:val="apple-converted-space"/>
          <w:rFonts w:ascii="Times New Roman" w:hAnsi="Times New Roman" w:cs="Times New Roman"/>
          <w:sz w:val="24"/>
          <w:szCs w:val="24"/>
          <w:shd w:val="clear" w:color="auto" w:fill="FFFFFF"/>
        </w:rPr>
        <w:t> </w:t>
      </w:r>
      <w:r w:rsidR="00341F6A" w:rsidRPr="006C491A">
        <w:rPr>
          <w:rStyle w:val="Emphasis"/>
          <w:rFonts w:ascii="Times New Roman" w:hAnsi="Times New Roman" w:cs="Times New Roman"/>
          <w:sz w:val="24"/>
          <w:szCs w:val="24"/>
          <w:shd w:val="clear" w:color="auto" w:fill="FFFFFF"/>
        </w:rPr>
        <w:t>Vodafone</w:t>
      </w:r>
      <w:r w:rsidR="00341F6A" w:rsidRPr="006C491A">
        <w:rPr>
          <w:rStyle w:val="apple-style-span"/>
          <w:rFonts w:ascii="Times New Roman" w:hAnsi="Times New Roman" w:cs="Times New Roman"/>
          <w:sz w:val="24"/>
          <w:szCs w:val="24"/>
          <w:shd w:val="clear" w:color="auto" w:fill="FFFFFF"/>
        </w:rPr>
        <w:t>.</w:t>
      </w:r>
      <w:r w:rsidR="00024138" w:rsidRPr="006C491A">
        <w:rPr>
          <w:rStyle w:val="apple-style-span"/>
          <w:rFonts w:ascii="Times New Roman" w:hAnsi="Times New Roman" w:cs="Times New Roman"/>
          <w:sz w:val="24"/>
          <w:szCs w:val="24"/>
          <w:shd w:val="clear" w:color="auto" w:fill="FFFFFF"/>
        </w:rPr>
        <w:t xml:space="preserve"> As in Vodafone case the main issue was on the show cause notice to company an there reply but court without looking into the main issue </w:t>
      </w:r>
      <w:r w:rsidR="0035379D" w:rsidRPr="006C491A">
        <w:rPr>
          <w:rStyle w:val="apple-style-span"/>
          <w:rFonts w:ascii="Times New Roman" w:hAnsi="Times New Roman" w:cs="Times New Roman"/>
          <w:sz w:val="24"/>
          <w:szCs w:val="24"/>
          <w:shd w:val="clear" w:color="auto" w:fill="FFFFFF"/>
        </w:rPr>
        <w:t>directed the</w:t>
      </w:r>
      <w:r w:rsidR="00024138" w:rsidRPr="006C491A">
        <w:rPr>
          <w:rStyle w:val="apple-style-span"/>
          <w:rFonts w:ascii="Times New Roman" w:hAnsi="Times New Roman" w:cs="Times New Roman"/>
          <w:sz w:val="24"/>
          <w:szCs w:val="24"/>
          <w:shd w:val="clear" w:color="auto" w:fill="FFFFFF"/>
        </w:rPr>
        <w:t xml:space="preserve"> authority to lift the veil to look into the transactions that whether there is any kind of tax evasion or not as basing </w:t>
      </w:r>
      <w:r w:rsidR="0035379D" w:rsidRPr="006C491A">
        <w:rPr>
          <w:rStyle w:val="apple-style-span"/>
          <w:rFonts w:ascii="Times New Roman" w:hAnsi="Times New Roman" w:cs="Times New Roman"/>
          <w:sz w:val="24"/>
          <w:szCs w:val="24"/>
          <w:shd w:val="clear" w:color="auto" w:fill="FFFFFF"/>
        </w:rPr>
        <w:t>their</w:t>
      </w:r>
      <w:r w:rsidR="00024138" w:rsidRPr="006C491A">
        <w:rPr>
          <w:rStyle w:val="apple-style-span"/>
          <w:rFonts w:ascii="Times New Roman" w:hAnsi="Times New Roman" w:cs="Times New Roman"/>
          <w:sz w:val="24"/>
          <w:szCs w:val="24"/>
          <w:shd w:val="clear" w:color="auto" w:fill="FFFFFF"/>
        </w:rPr>
        <w:t xml:space="preserve"> </w:t>
      </w:r>
      <w:r w:rsidR="00E36E63" w:rsidRPr="006C491A">
        <w:rPr>
          <w:rStyle w:val="apple-style-span"/>
          <w:rFonts w:ascii="Times New Roman" w:hAnsi="Times New Roman" w:cs="Times New Roman"/>
          <w:sz w:val="24"/>
          <w:szCs w:val="24"/>
          <w:shd w:val="clear" w:color="auto" w:fill="FFFFFF"/>
        </w:rPr>
        <w:t>reasoning</w:t>
      </w:r>
      <w:r w:rsidR="00024138" w:rsidRPr="006C491A">
        <w:rPr>
          <w:rStyle w:val="apple-style-span"/>
          <w:rFonts w:ascii="Times New Roman" w:hAnsi="Times New Roman" w:cs="Times New Roman"/>
          <w:sz w:val="24"/>
          <w:szCs w:val="24"/>
          <w:shd w:val="clear" w:color="auto" w:fill="FFFFFF"/>
        </w:rPr>
        <w:t xml:space="preserve"> on the aims and objectives of the DTC. But it is the well settled principle</w:t>
      </w:r>
      <w:r w:rsidR="00E36E63" w:rsidRPr="006C491A">
        <w:rPr>
          <w:rStyle w:val="apple-style-span"/>
          <w:rFonts w:ascii="Times New Roman" w:hAnsi="Times New Roman" w:cs="Times New Roman"/>
          <w:sz w:val="24"/>
          <w:szCs w:val="24"/>
          <w:shd w:val="clear" w:color="auto" w:fill="FFFFFF"/>
        </w:rPr>
        <w:t xml:space="preserve"> that in conflict of It and DTAA the later will prevail. And if we look into the provisions of DTC, they either of being specific are more contradictory on this point because in one case DTC is providing arbitrary power to taxing authorities to lift the veil of any company to look into the transaction and in other case it is providing a wider ambit to non-resident companies to evade tax as per Sec 9 of DTC. But DTC cannot be followed</w:t>
      </w:r>
      <w:r w:rsidR="003E4D24" w:rsidRPr="006C491A">
        <w:rPr>
          <w:rStyle w:val="apple-style-span"/>
          <w:rFonts w:ascii="Times New Roman" w:hAnsi="Times New Roman" w:cs="Times New Roman"/>
          <w:sz w:val="24"/>
          <w:szCs w:val="24"/>
          <w:shd w:val="clear" w:color="auto" w:fill="FFFFFF"/>
        </w:rPr>
        <w:t xml:space="preserve"> as it has</w:t>
      </w:r>
      <w:r w:rsidR="00E36E63" w:rsidRPr="006C491A">
        <w:rPr>
          <w:rStyle w:val="apple-style-span"/>
          <w:rFonts w:ascii="Times New Roman" w:hAnsi="Times New Roman" w:cs="Times New Roman"/>
          <w:sz w:val="24"/>
          <w:szCs w:val="24"/>
          <w:shd w:val="clear" w:color="auto" w:fill="FFFFFF"/>
        </w:rPr>
        <w:t xml:space="preserve"> not </w:t>
      </w:r>
      <w:r w:rsidR="00BD0DBD" w:rsidRPr="006C491A">
        <w:rPr>
          <w:rStyle w:val="apple-style-span"/>
          <w:rFonts w:ascii="Times New Roman" w:hAnsi="Times New Roman" w:cs="Times New Roman"/>
          <w:sz w:val="24"/>
          <w:szCs w:val="24"/>
          <w:shd w:val="clear" w:color="auto" w:fill="FFFFFF"/>
        </w:rPr>
        <w:t>come</w:t>
      </w:r>
      <w:r w:rsidR="00E36E63" w:rsidRPr="006C491A">
        <w:rPr>
          <w:rStyle w:val="apple-style-span"/>
          <w:rFonts w:ascii="Times New Roman" w:hAnsi="Times New Roman" w:cs="Times New Roman"/>
          <w:sz w:val="24"/>
          <w:szCs w:val="24"/>
          <w:shd w:val="clear" w:color="auto" w:fill="FFFFFF"/>
        </w:rPr>
        <w:t xml:space="preserve"> into force and income tax act is still </w:t>
      </w:r>
      <w:r w:rsidR="003E4D24" w:rsidRPr="006C491A">
        <w:rPr>
          <w:rStyle w:val="apple-style-span"/>
          <w:rFonts w:ascii="Times New Roman" w:hAnsi="Times New Roman" w:cs="Times New Roman"/>
          <w:sz w:val="24"/>
          <w:szCs w:val="24"/>
          <w:shd w:val="clear" w:color="auto" w:fill="FFFFFF"/>
        </w:rPr>
        <w:lastRenderedPageBreak/>
        <w:t xml:space="preserve">followed. In </w:t>
      </w:r>
      <w:r w:rsidR="00444D24" w:rsidRPr="006C491A">
        <w:rPr>
          <w:rStyle w:val="apple-style-span"/>
          <w:rFonts w:ascii="Times New Roman" w:hAnsi="Times New Roman" w:cs="Times New Roman"/>
          <w:sz w:val="24"/>
          <w:szCs w:val="24"/>
          <w:shd w:val="clear" w:color="auto" w:fill="FFFFFF"/>
        </w:rPr>
        <w:t>Richter Holding Co. case court favored the taxing authorities but they have not looked into the fact that whether there was any transaction within India/ income accrued in India and also that whether there was any treaty between the two countri</w:t>
      </w:r>
      <w:r w:rsidR="00AE5555" w:rsidRPr="006C491A">
        <w:rPr>
          <w:rStyle w:val="apple-style-span"/>
          <w:rFonts w:ascii="Times New Roman" w:hAnsi="Times New Roman" w:cs="Times New Roman"/>
          <w:sz w:val="24"/>
          <w:szCs w:val="24"/>
          <w:shd w:val="clear" w:color="auto" w:fill="FFFFFF"/>
        </w:rPr>
        <w:t>es to avoid the double taxation. As Sec 3(3)</w:t>
      </w:r>
      <w:r w:rsidR="00CB425D" w:rsidRPr="006C491A">
        <w:rPr>
          <w:rStyle w:val="apple-style-span"/>
          <w:rFonts w:ascii="Times New Roman" w:hAnsi="Times New Roman" w:cs="Times New Roman"/>
          <w:sz w:val="24"/>
          <w:szCs w:val="24"/>
          <w:shd w:val="clear" w:color="auto" w:fill="FFFFFF"/>
        </w:rPr>
        <w:t>,</w:t>
      </w:r>
      <w:r w:rsidR="00CB425D" w:rsidRPr="006C491A">
        <w:rPr>
          <w:rStyle w:val="FootnoteReference"/>
          <w:rFonts w:ascii="Times New Roman" w:hAnsi="Times New Roman" w:cs="Times New Roman"/>
          <w:sz w:val="24"/>
          <w:szCs w:val="24"/>
          <w:shd w:val="clear" w:color="auto" w:fill="FFFFFF"/>
        </w:rPr>
        <w:footnoteReference w:id="40"/>
      </w:r>
      <w:r w:rsidR="00AE5555" w:rsidRPr="006C491A">
        <w:rPr>
          <w:rStyle w:val="apple-style-span"/>
          <w:rFonts w:ascii="Times New Roman" w:hAnsi="Times New Roman" w:cs="Times New Roman"/>
          <w:sz w:val="24"/>
          <w:szCs w:val="24"/>
          <w:shd w:val="clear" w:color="auto" w:fill="FFFFFF"/>
        </w:rPr>
        <w:t xml:space="preserve"> of DTC is couched in absolute terms for including in the total </w:t>
      </w:r>
      <w:r w:rsidR="00DB1F68" w:rsidRPr="006C491A">
        <w:rPr>
          <w:rStyle w:val="apple-style-span"/>
          <w:rFonts w:ascii="Times New Roman" w:hAnsi="Times New Roman" w:cs="Times New Roman"/>
          <w:sz w:val="24"/>
          <w:szCs w:val="24"/>
          <w:shd w:val="clear" w:color="auto" w:fill="FFFFFF"/>
        </w:rPr>
        <w:t xml:space="preserve">income of a resident his foreign income, irrespective of whether it has been charged outside India, meaning that such income would also be included which a tax treaty may dictate to be excluded. As regards income of the non-resident arising in India, the scope has been extended to transportation to transfer of shares </w:t>
      </w:r>
      <w:r w:rsidR="007E5C2B" w:rsidRPr="006C491A">
        <w:rPr>
          <w:rStyle w:val="apple-style-span"/>
          <w:rFonts w:ascii="Times New Roman" w:hAnsi="Times New Roman" w:cs="Times New Roman"/>
          <w:sz w:val="24"/>
          <w:szCs w:val="24"/>
          <w:shd w:val="clear" w:color="auto" w:fill="FFFFFF"/>
        </w:rPr>
        <w:t>as it is transfer of assets which was discussed in Vodafone case and answer was given in the negative sense for the company and recently this been followed in Richter case.</w:t>
      </w:r>
    </w:p>
    <w:p w:rsidR="00BA119F" w:rsidRPr="006C491A" w:rsidRDefault="007E5C2B"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r w:rsidRPr="006C491A">
        <w:rPr>
          <w:rStyle w:val="apple-style-span"/>
          <w:rFonts w:ascii="Times New Roman" w:hAnsi="Times New Roman" w:cs="Times New Roman"/>
          <w:sz w:val="24"/>
          <w:szCs w:val="24"/>
          <w:shd w:val="clear" w:color="auto" w:fill="FFFFFF"/>
        </w:rPr>
        <w:t xml:space="preserve"> </w:t>
      </w:r>
      <w:r w:rsidR="00DB1F68" w:rsidRPr="006C491A">
        <w:rPr>
          <w:rStyle w:val="apple-style-span"/>
          <w:rFonts w:ascii="Times New Roman" w:hAnsi="Times New Roman" w:cs="Times New Roman"/>
          <w:sz w:val="24"/>
          <w:szCs w:val="24"/>
          <w:shd w:val="clear" w:color="auto" w:fill="FFFFFF"/>
        </w:rPr>
        <w:t xml:space="preserve"> </w:t>
      </w:r>
    </w:p>
    <w:p w:rsidR="00C3450E" w:rsidRPr="006C491A" w:rsidRDefault="00444D24"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r w:rsidRPr="006C491A">
        <w:rPr>
          <w:rStyle w:val="apple-style-span"/>
          <w:rFonts w:ascii="Times New Roman" w:hAnsi="Times New Roman" w:cs="Times New Roman"/>
          <w:sz w:val="24"/>
          <w:szCs w:val="24"/>
          <w:shd w:val="clear" w:color="auto" w:fill="FFFFFF"/>
        </w:rPr>
        <w:t xml:space="preserve">If we look </w:t>
      </w:r>
      <w:r w:rsidR="00AE5555" w:rsidRPr="006C491A">
        <w:rPr>
          <w:rStyle w:val="apple-style-span"/>
          <w:rFonts w:ascii="Times New Roman" w:hAnsi="Times New Roman" w:cs="Times New Roman"/>
          <w:sz w:val="24"/>
          <w:szCs w:val="24"/>
          <w:shd w:val="clear" w:color="auto" w:fill="FFFFFF"/>
        </w:rPr>
        <w:t>f</w:t>
      </w:r>
      <w:r w:rsidRPr="006C491A">
        <w:rPr>
          <w:rStyle w:val="apple-style-span"/>
          <w:rFonts w:ascii="Times New Roman" w:hAnsi="Times New Roman" w:cs="Times New Roman"/>
          <w:sz w:val="24"/>
          <w:szCs w:val="24"/>
          <w:shd w:val="clear" w:color="auto" w:fill="FFFFFF"/>
        </w:rPr>
        <w:t>rom a macro-perspective, the legal position seems to have been confounded even further</w:t>
      </w:r>
      <w:r w:rsidR="007E5C2B" w:rsidRPr="006C491A">
        <w:rPr>
          <w:rStyle w:val="apple-style-span"/>
          <w:rFonts w:ascii="Times New Roman" w:hAnsi="Times New Roman" w:cs="Times New Roman"/>
          <w:sz w:val="24"/>
          <w:szCs w:val="24"/>
          <w:shd w:val="clear" w:color="auto" w:fill="FFFFFF"/>
        </w:rPr>
        <w:t xml:space="preserve"> the intention of the legislature to tax such transactions is clear, the implications under the current income tax law become critical for completed transactions and existing structures. Notices alleging liability to tax on such indirect transfers have </w:t>
      </w:r>
      <w:r w:rsidR="00C706DC" w:rsidRPr="006C491A">
        <w:rPr>
          <w:rStyle w:val="apple-style-span"/>
          <w:rFonts w:ascii="Times New Roman" w:hAnsi="Times New Roman" w:cs="Times New Roman"/>
          <w:sz w:val="24"/>
          <w:szCs w:val="24"/>
          <w:shd w:val="clear" w:color="auto" w:fill="FFFFFF"/>
        </w:rPr>
        <w:t xml:space="preserve">already been issued to Sanofi, Tata The changed approach of the tax department and the consequent uncertainty of taxation is creating apprehensions in the minds of the investors. As the prevailing aggressive tax approach has been adopted but it is in a very negative way which in result will create anarchy of a specific law and will cause a loss in the tax gdp ratio which is ultimately frustrating the main objective of the Direct Tax </w:t>
      </w:r>
      <w:r w:rsidR="00CB425D" w:rsidRPr="006C491A">
        <w:rPr>
          <w:rStyle w:val="apple-style-span"/>
          <w:rFonts w:ascii="Times New Roman" w:hAnsi="Times New Roman" w:cs="Times New Roman"/>
          <w:sz w:val="24"/>
          <w:szCs w:val="24"/>
          <w:shd w:val="clear" w:color="auto" w:fill="FFFFFF"/>
        </w:rPr>
        <w:t xml:space="preserve">Code </w:t>
      </w:r>
      <w:r w:rsidR="00C5082D" w:rsidRPr="006C491A">
        <w:rPr>
          <w:rStyle w:val="apple-style-span"/>
          <w:rFonts w:ascii="Times New Roman" w:hAnsi="Times New Roman" w:cs="Times New Roman"/>
          <w:sz w:val="24"/>
          <w:szCs w:val="24"/>
          <w:shd w:val="clear" w:color="auto" w:fill="FFFFFF"/>
        </w:rPr>
        <w:t>(DTC</w:t>
      </w:r>
      <w:r w:rsidR="00CB425D" w:rsidRPr="006C491A">
        <w:rPr>
          <w:rStyle w:val="apple-style-span"/>
          <w:rFonts w:ascii="Times New Roman" w:hAnsi="Times New Roman" w:cs="Times New Roman"/>
          <w:sz w:val="24"/>
          <w:szCs w:val="24"/>
          <w:shd w:val="clear" w:color="auto" w:fill="FFFFFF"/>
        </w:rPr>
        <w:t>)</w:t>
      </w:r>
      <w:r w:rsidR="00C706DC" w:rsidRPr="006C491A">
        <w:rPr>
          <w:rStyle w:val="apple-style-span"/>
          <w:rFonts w:ascii="Times New Roman" w:hAnsi="Times New Roman" w:cs="Times New Roman"/>
          <w:sz w:val="24"/>
          <w:szCs w:val="24"/>
          <w:shd w:val="clear" w:color="auto" w:fill="FFFFFF"/>
        </w:rPr>
        <w:t xml:space="preserve"> </w:t>
      </w:r>
    </w:p>
    <w:p w:rsidR="006C491A" w:rsidRDefault="006C491A"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B95F15" w:rsidRDefault="00B95F15"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B95F15" w:rsidRPr="006C491A" w:rsidRDefault="00B95F15"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6C491A">
      <w:pPr>
        <w:pStyle w:val="Heading1"/>
        <w:rPr>
          <w:rFonts w:ascii="Times New Roman" w:hAnsi="Times New Roman" w:cs="Times New Roman"/>
        </w:rPr>
      </w:pPr>
      <w:r w:rsidRPr="006C491A">
        <w:rPr>
          <w:rFonts w:ascii="Times New Roman" w:hAnsi="Times New Roman" w:cs="Times New Roman"/>
        </w:rPr>
        <w:lastRenderedPageBreak/>
        <w:t>ECONOMIC CRISIS AND TAX HAVEN</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The global financial and economic crisis presents major challenges for tax administration. With the economic downturn, tax agencies are encountering growing compliance risks and greater demands for taxpayer support in the face of prospective budget cuts. With worsening economic conditions, tax agencies around the world face growing compliance risks involving such issues as tax arrears, loss-reporting businesses, tax withholding, and the cash economy. At the same time, agencies are being asked to provide taxpayers with additional support and assistance to help them cope with their obligations. Theoretical and empirical studies suggest that an economic downturn tends to worsen taxpayer compliance in important aspects. While a drop in compliance may have some countercyclical effects on the economy, tolerating noncompliance is not an appropriate response to the crisis because it is distortionary, inequitable, and, perhaps most importantly, hampers the rebuilding of tax bases over the medium-term</w:t>
      </w:r>
      <w:r w:rsidRPr="006C491A">
        <w:rPr>
          <w:rStyle w:val="FootnoteReference"/>
          <w:rFonts w:ascii="Times New Roman" w:hAnsi="Times New Roman" w:cs="Times New Roman"/>
          <w:sz w:val="24"/>
          <w:szCs w:val="24"/>
        </w:rPr>
        <w:footnoteReference w:id="41"/>
      </w:r>
      <w:r w:rsidRPr="006C491A">
        <w:rPr>
          <w:rFonts w:ascii="Times New Roman" w:hAnsi="Times New Roman" w:cs="Times New Roman"/>
          <w:sz w:val="24"/>
          <w:szCs w:val="24"/>
        </w:rPr>
        <w:t xml:space="preserve">. The global economic crisis has led to a substantial decline in government revenue relative to gross domestic product (GDP) in many countries, which seems likely to continue for some time. The most recent example of this affected virus is the degradation of a huge power packed economy of the U.S. with the decline in the growth potentiality and credit availability of the economy, the credit rating agencies have slashed down the ruler of all market economy to the floor that shook the whole world to doubt their capability in international market. The United States faces unparalleled fiscal challenges. Over the next decade, the gap between revenue and spending that would result from continuing current tax and spending policies appears unsustainable.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With equity markets plunging, most investors have suffered losses to their pension funds and portfolios, but those able to meet the multi-million dollar investment thresholds of private equity and some hedge funds are coming out ahead. "The super rich are doing very well. They're getting good advice, they're getting access to stuff that other people don't have access to". Certain investment vehicles, such as hedge funds, can thrive at times of market stress because they are able to use risk management tools such as derivatives and make short-selling sales that make money when an asset price falls. The fact that the super rich can write cheques for millions of dollars also means they have exclusive access to the few real estate assets where prices are still </w:t>
      </w:r>
      <w:r w:rsidRPr="006C491A">
        <w:rPr>
          <w:rFonts w:ascii="Times New Roman" w:hAnsi="Times New Roman" w:cs="Times New Roman"/>
          <w:sz w:val="24"/>
          <w:szCs w:val="24"/>
        </w:rPr>
        <w:lastRenderedPageBreak/>
        <w:t>rising, such as the central London residential property market</w:t>
      </w:r>
      <w:r w:rsidRPr="006C491A">
        <w:rPr>
          <w:rStyle w:val="FootnoteReference"/>
          <w:rFonts w:ascii="Times New Roman" w:hAnsi="Times New Roman" w:cs="Times New Roman"/>
          <w:sz w:val="24"/>
          <w:szCs w:val="24"/>
        </w:rPr>
        <w:footnoteReference w:id="42"/>
      </w:r>
      <w:r w:rsidRPr="006C491A">
        <w:rPr>
          <w:rFonts w:ascii="Times New Roman" w:hAnsi="Times New Roman" w:cs="Times New Roman"/>
          <w:sz w:val="24"/>
          <w:szCs w:val="24"/>
        </w:rPr>
        <w:t xml:space="preserve">. While property prices around the world drop or stagnate, house prices in the smallest areas are increasing.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Two and half years ago, financial markets rallied strongly on the assumption that the worst of the slump was over. There was relief that Great Depression 2 had been avoided. But now the talk is over double dip inflation. Today governments are seen not as the solution but as part of the problem. The debt burden accumulated by the banks was, in effect, nationalized during this crisis. It was hoped this would prove temporary, but the persistence of weak growth means that a private debt crisis has now become a sovereign debt crisis. Concern has reignited fears about the health of global financial system. Markets have been operating on the assumption that large dollops of financial help from the taxpayer and a return to growth have made the global banking system immune from fresh collapse</w:t>
      </w:r>
      <w:r w:rsidRPr="006C491A">
        <w:rPr>
          <w:rStyle w:val="FootnoteReference"/>
          <w:rFonts w:ascii="Times New Roman" w:hAnsi="Times New Roman" w:cs="Times New Roman"/>
          <w:sz w:val="24"/>
          <w:szCs w:val="24"/>
        </w:rPr>
        <w:footnoteReference w:id="43"/>
      </w:r>
      <w:r w:rsidRPr="006C491A">
        <w:rPr>
          <w:rFonts w:ascii="Times New Roman" w:hAnsi="Times New Roman" w:cs="Times New Roman"/>
          <w:sz w:val="24"/>
          <w:szCs w:val="24"/>
        </w:rPr>
        <w:t xml:space="preserve">. </w:t>
      </w:r>
    </w:p>
    <w:p w:rsidR="00E439D1"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For all entire crisis, the blame was charged on the banking institutions such as offshore financial centers which evolved a major route for tax evasion. This is a myth perpetuated by G 20 nations that these OFCs encourage tax evasion. In reality excessive tax burdens in welfare states encourage tax evasion, leading a capital flight to OFCs. These offshore institutions as banks are effectively known for their character of shadow banking which covers all the transactions of credit in the books of the depositors account. The secrecy is being maintained of the additions made to the piling up of assesses assets over and above.  Banking secrecy is not a smokescreen for tax evasions. Confidentiality is a core principle for banks everywhere; not because people have something to hide, but because they wish to keep their financial affairs private.  Logic dictates that if politicians wish to eliminate capital flight, they should lower their country’s oppressive taxes</w:t>
      </w:r>
      <w:r w:rsidRPr="006C491A">
        <w:rPr>
          <w:rStyle w:val="FootnoteReference"/>
          <w:rFonts w:ascii="Times New Roman" w:hAnsi="Times New Roman" w:cs="Times New Roman"/>
          <w:sz w:val="24"/>
          <w:szCs w:val="24"/>
        </w:rPr>
        <w:footnoteReference w:id="44"/>
      </w:r>
      <w:r w:rsidRPr="006C491A">
        <w:rPr>
          <w:rFonts w:ascii="Times New Roman" w:hAnsi="Times New Roman" w:cs="Times New Roman"/>
          <w:sz w:val="24"/>
          <w:szCs w:val="24"/>
        </w:rPr>
        <w:t xml:space="preserve">. This is because these extra limitless taxes give birth to the adoption of tax evasion measures.    </w:t>
      </w:r>
    </w:p>
    <w:p w:rsidR="00B95F15" w:rsidRDefault="00B95F15" w:rsidP="005F4B57">
      <w:pPr>
        <w:spacing w:line="360" w:lineRule="auto"/>
        <w:jc w:val="both"/>
        <w:rPr>
          <w:rFonts w:ascii="Times New Roman" w:hAnsi="Times New Roman" w:cs="Times New Roman"/>
          <w:sz w:val="24"/>
          <w:szCs w:val="24"/>
        </w:rPr>
      </w:pPr>
    </w:p>
    <w:p w:rsidR="00B95F15" w:rsidRPr="006C491A" w:rsidRDefault="00B95F15" w:rsidP="005F4B57">
      <w:pPr>
        <w:spacing w:line="360" w:lineRule="auto"/>
        <w:jc w:val="both"/>
        <w:rPr>
          <w:rFonts w:ascii="Times New Roman" w:hAnsi="Times New Roman" w:cs="Times New Roman"/>
          <w:sz w:val="24"/>
          <w:szCs w:val="24"/>
        </w:rPr>
      </w:pPr>
    </w:p>
    <w:p w:rsidR="00E439D1" w:rsidRPr="006C491A" w:rsidRDefault="00E439D1" w:rsidP="006C491A">
      <w:pPr>
        <w:pStyle w:val="Heading1"/>
        <w:rPr>
          <w:rFonts w:ascii="Times New Roman" w:hAnsi="Times New Roman" w:cs="Times New Roman"/>
        </w:rPr>
      </w:pPr>
      <w:r w:rsidRPr="006C491A">
        <w:rPr>
          <w:rFonts w:ascii="Times New Roman" w:hAnsi="Times New Roman" w:cs="Times New Roman"/>
        </w:rPr>
        <w:lastRenderedPageBreak/>
        <w:t>CONCLUSION</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India’s emergence as a global economic power has helped inward investment and domestic business activity to soar. Indeed, India’s tax legislation has caused much concern for domestic and foreign business. In an effort to address this, the Government of India has initiated a significant overhaul with the creation of the Direct Tax Code (DTC). </w:t>
      </w:r>
    </w:p>
    <w:p w:rsidR="00E439D1" w:rsidRPr="006C491A" w:rsidRDefault="00E439D1" w:rsidP="005F4B57">
      <w:pPr>
        <w:spacing w:line="360" w:lineRule="auto"/>
        <w:jc w:val="both"/>
        <w:rPr>
          <w:rStyle w:val="Strong"/>
          <w:rFonts w:ascii="Times New Roman" w:hAnsi="Times New Roman" w:cs="Times New Roman"/>
          <w:sz w:val="24"/>
          <w:szCs w:val="24"/>
        </w:rPr>
      </w:pPr>
      <w:r w:rsidRPr="006C491A">
        <w:rPr>
          <w:rFonts w:ascii="Times New Roman" w:hAnsi="Times New Roman" w:cs="Times New Roman"/>
          <w:sz w:val="24"/>
          <w:szCs w:val="24"/>
        </w:rPr>
        <w:t>One aim of the new tax code is to provide a system which takes into account the increase in cross-border mergers and acquisitions undertaken by Indian companies over the last few years. In addition, while lowering corporate tax rates, the DTC aims to remove the administrative burden on foreign companies and investors for whom the country is now a leading target for investment. By implementing the new code, the Government of India also intends to streamline and simplify legislation, as well as iron out many ambiguities in the current system.</w:t>
      </w:r>
      <w:r w:rsidRPr="006C491A">
        <w:rPr>
          <w:rFonts w:ascii="Times New Roman" w:hAnsi="Times New Roman" w:cs="Times New Roman"/>
          <w:sz w:val="24"/>
          <w:szCs w:val="24"/>
        </w:rPr>
        <w:br/>
        <w:t xml:space="preserve">The need to maintain a balance between reaping tax rewards under the new legislation and maintaining the interest of businesses and investors is of utmost importance. “Since there is a direct correlation between taxation and economic growth, tax policies need to be directed so they achieve objectives such as increasing growth, savings and investments, consumption, and so on. </w:t>
      </w:r>
      <w:r w:rsidRPr="006C491A">
        <w:rPr>
          <w:rStyle w:val="Strong"/>
          <w:rFonts w:ascii="Times New Roman" w:hAnsi="Times New Roman" w:cs="Times New Roman"/>
          <w:sz w:val="24"/>
          <w:szCs w:val="24"/>
        </w:rPr>
        <w:t xml:space="preserve"> </w:t>
      </w:r>
    </w:p>
    <w:p w:rsidR="00E439D1" w:rsidRPr="006C491A" w:rsidRDefault="00E439D1" w:rsidP="005F4B57">
      <w:pPr>
        <w:spacing w:line="360" w:lineRule="auto"/>
        <w:jc w:val="both"/>
        <w:rPr>
          <w:rFonts w:ascii="Times New Roman" w:hAnsi="Times New Roman" w:cs="Times New Roman"/>
          <w:sz w:val="24"/>
          <w:szCs w:val="24"/>
        </w:rPr>
      </w:pPr>
      <w:r w:rsidRPr="006C491A">
        <w:rPr>
          <w:rStyle w:val="Strong"/>
          <w:rFonts w:ascii="Times New Roman" w:hAnsi="Times New Roman" w:cs="Times New Roman"/>
          <w:sz w:val="24"/>
          <w:szCs w:val="24"/>
        </w:rPr>
        <w:t>Residency</w:t>
      </w:r>
      <w:r w:rsidRPr="006C491A">
        <w:rPr>
          <w:rFonts w:ascii="Times New Roman" w:hAnsi="Times New Roman" w:cs="Times New Roman"/>
          <w:sz w:val="24"/>
          <w:szCs w:val="24"/>
        </w:rPr>
        <w:br/>
        <w:t xml:space="preserve">The provisions of the ITA tax companies resident in India on their global income, and this will not change under the DTC. The new legislation does, however, bring a significant shift in the concept of tax residency with the adoption of more internationally accepted terms. Under the current system, foreign companies are treated as tax residents if their control and management is located wholly in India. This is set to change to whether a company’s place of effective management (POEM) resides ‘wholly or partly’ in India.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Multinationals with interests in India may well see this as a positive step as the shift removes any ambiguities that may currently exist. But it also risks creating greater administrative burdens. This provision is very wide as it only requires the POEM test to be met at any time during the year, forcing multinational groups both foreign and Indian to ensure they can demonstrate where decisions are made and key functions are performed for the relevant foreign companies in their structures. Thus the issue of residency remains extremely important to companies and investors with a presence in India. The DTC aims to address a number of disparities contained in the ITA </w:t>
      </w:r>
      <w:r w:rsidRPr="006C491A">
        <w:rPr>
          <w:rFonts w:ascii="Times New Roman" w:hAnsi="Times New Roman" w:cs="Times New Roman"/>
          <w:sz w:val="24"/>
          <w:szCs w:val="24"/>
        </w:rPr>
        <w:lastRenderedPageBreak/>
        <w:t xml:space="preserve">regarding resident and non-resident actors. The imposition of a uniform corporate tax on both foreign and domestic companies is one such measure. Both resident and non-resident companies will now be subject, in most cases, to a 30 percent tax of profits, a drop from 40 percent for foreign companies and 33.2 percent for residents. </w:t>
      </w:r>
    </w:p>
    <w:p w:rsidR="00E439D1" w:rsidRPr="006C491A" w:rsidRDefault="00E439D1" w:rsidP="005F4B57">
      <w:pPr>
        <w:spacing w:line="360" w:lineRule="auto"/>
        <w:jc w:val="both"/>
        <w:rPr>
          <w:rStyle w:val="Strong"/>
          <w:rFonts w:ascii="Times New Roman" w:hAnsi="Times New Roman" w:cs="Times New Roman"/>
          <w:sz w:val="24"/>
          <w:szCs w:val="24"/>
        </w:rPr>
      </w:pPr>
      <w:r w:rsidRPr="006C491A">
        <w:rPr>
          <w:rFonts w:ascii="Times New Roman" w:hAnsi="Times New Roman" w:cs="Times New Roman"/>
          <w:sz w:val="24"/>
          <w:szCs w:val="24"/>
        </w:rPr>
        <w:t>While the DTC has attempted to harmonise tax rates for resident and non-resident actors, it does herald a raft of changes which may impact the activities of foreign companies and investors.</w:t>
      </w:r>
      <w:r w:rsidRPr="006C491A">
        <w:rPr>
          <w:rFonts w:ascii="Times New Roman" w:hAnsi="Times New Roman" w:cs="Times New Roman"/>
          <w:sz w:val="24"/>
          <w:szCs w:val="24"/>
        </w:rPr>
        <w:br/>
      </w:r>
      <w:r w:rsidRPr="006C491A">
        <w:rPr>
          <w:rFonts w:ascii="Times New Roman" w:hAnsi="Times New Roman" w:cs="Times New Roman"/>
          <w:sz w:val="24"/>
          <w:szCs w:val="24"/>
        </w:rPr>
        <w:br/>
      </w:r>
      <w:r w:rsidRPr="006C491A">
        <w:rPr>
          <w:rStyle w:val="Strong"/>
          <w:rFonts w:ascii="Times New Roman" w:hAnsi="Times New Roman" w:cs="Times New Roman"/>
          <w:sz w:val="24"/>
          <w:szCs w:val="24"/>
        </w:rPr>
        <w:t>Anti-avoidance measures</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The introduction of GAAR aims to curb tax avoidance by disregarding any arrangement entered into or carried out in a manner which is not normally employed for legitimate business purposes, is not at arm’s length prices, abuses the provisions of the DTC, or lacks economic substance. If the conditions are right for invoking GAAR, the Tax Authority would be empowered to declare the arrangement as an impermissible avoidance arrangement and thereafter determine tax consequences as if the arrangement had not been entered into.</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Further precautions are included in the CFC rules, typically enacted to prevent companies parking in offshore jurisdictions to avoid tax in their home countries. Under the DTC, passive income earned by foreign companies, either directly or indirectly controlled by a resident in India, and which is not distributed to shareholders resulting in deferral of taxes, will be deemed to have been distributed, and become taxable. CFC rules apply to foreign companies over which a resident taxpayer has ‘control’, either through 50 percent or more control over voting power or capital, or as a combination of substantial interest, influence or control over the CFC’s income or assets. CFC provisions will not apply if the tax paid by the foreign company in its country of residence is below 50 percent of the tax it would have been paid under DTC. It should be noted that the CFC regime does not provide for any credit of foreign taxes paid by the CFC.  Breaches of CFC rules or GAAR will allow India's tax department to override the preferential status of international treaties. Furthermore, the DTC makes law the government’s right to impose capital gains tax on offshore acquisitions in cases where the acquired company holds more than 50 percent of its assets in India.</w:t>
      </w:r>
    </w:p>
    <w:p w:rsidR="00E439D1" w:rsidRPr="006C491A" w:rsidRDefault="00E439D1" w:rsidP="005F4B57">
      <w:pPr>
        <w:spacing w:line="360" w:lineRule="auto"/>
        <w:jc w:val="both"/>
        <w:rPr>
          <w:rFonts w:ascii="Times New Roman" w:hAnsi="Times New Roman" w:cs="Times New Roman"/>
          <w:sz w:val="24"/>
          <w:szCs w:val="24"/>
        </w:rPr>
      </w:pPr>
      <w:r w:rsidRPr="006C491A">
        <w:rPr>
          <w:rStyle w:val="Strong"/>
          <w:rFonts w:ascii="Times New Roman" w:hAnsi="Times New Roman" w:cs="Times New Roman"/>
          <w:sz w:val="24"/>
          <w:szCs w:val="24"/>
        </w:rPr>
        <w:lastRenderedPageBreak/>
        <w:t>Reception</w:t>
      </w:r>
      <w:r w:rsidRPr="006C491A">
        <w:rPr>
          <w:rFonts w:ascii="Times New Roman" w:hAnsi="Times New Roman" w:cs="Times New Roman"/>
          <w:sz w:val="24"/>
          <w:szCs w:val="24"/>
        </w:rPr>
        <w:br/>
        <w:t xml:space="preserve">Taking a holistic view, the new structure appears to remove many of the issues which originally made foreign companies wary and also held back domestic business. This should allow investors to approach transactions in India with greater confidence. “From an overall perspective, investors looking to invest in India stand to significantly benefit from the introduction of the DTC,”. With the introduction of a harmonised and consolidated legislation, investors will have greater clarity on their tax liabilities and therefore will be in a position to plan their investments more efficiently. </w:t>
      </w:r>
    </w:p>
    <w:p w:rsidR="00E439D1" w:rsidRPr="006C491A" w:rsidRDefault="00E439D1" w:rsidP="005F4B57">
      <w:pPr>
        <w:spacing w:after="0" w:line="360" w:lineRule="auto"/>
        <w:jc w:val="both"/>
        <w:rPr>
          <w:rFonts w:ascii="Times New Roman" w:eastAsia="Times New Roman" w:hAnsi="Times New Roman" w:cs="Times New Roman"/>
          <w:sz w:val="24"/>
          <w:szCs w:val="24"/>
        </w:rPr>
      </w:pPr>
      <w:r w:rsidRPr="006C491A">
        <w:rPr>
          <w:rFonts w:ascii="Times New Roman" w:eastAsia="Times New Roman" w:hAnsi="Times New Roman" w:cs="Times New Roman"/>
          <w:sz w:val="24"/>
          <w:szCs w:val="24"/>
        </w:rPr>
        <w:t xml:space="preserve">However, in some areas, the DTC has created more uncertainty for foreign investors and Indian companies, especially in areas like GAAR where no guidelines have been announced, indirect transfer of capital assets. While the aim of the DTC is to foster conditions for future economic growth, in the short term, its provisions may serve to stifle international investment. Although India is one of the fastest growing economies in the world, it still needs substantial investment before it becomes a fully developed economic power. Keeping that in mind, the government will need to ensure the provisions of the DTC are implemented effectively and successfully to safeguard the country’s long term ambitions. </w:t>
      </w:r>
    </w:p>
    <w:p w:rsidR="00E439D1" w:rsidRPr="006C491A" w:rsidRDefault="00E439D1" w:rsidP="005F4B57">
      <w:pPr>
        <w:spacing w:after="0" w:line="360" w:lineRule="auto"/>
        <w:jc w:val="both"/>
        <w:rPr>
          <w:rFonts w:ascii="Times New Roman" w:eastAsia="Times New Roman" w:hAnsi="Times New Roman" w:cs="Times New Roman"/>
          <w:sz w:val="24"/>
          <w:szCs w:val="24"/>
        </w:rPr>
      </w:pPr>
    </w:p>
    <w:p w:rsidR="00E439D1" w:rsidRPr="006C491A" w:rsidRDefault="00E439D1" w:rsidP="005F4B57">
      <w:pPr>
        <w:spacing w:after="0" w:line="360" w:lineRule="auto"/>
        <w:jc w:val="both"/>
        <w:rPr>
          <w:rFonts w:ascii="Times New Roman" w:eastAsia="Times New Roman" w:hAnsi="Times New Roman" w:cs="Times New Roman"/>
          <w:b/>
          <w:sz w:val="24"/>
          <w:szCs w:val="24"/>
        </w:rPr>
      </w:pPr>
      <w:r w:rsidRPr="006C491A">
        <w:rPr>
          <w:rFonts w:ascii="Times New Roman" w:eastAsia="Times New Roman" w:hAnsi="Times New Roman" w:cs="Times New Roman"/>
          <w:b/>
          <w:sz w:val="24"/>
          <w:szCs w:val="24"/>
        </w:rPr>
        <w:t>Impact of DTC on equilibrium analysis and Deadweight loss</w:t>
      </w:r>
    </w:p>
    <w:p w:rsidR="00E439D1" w:rsidRPr="006C491A" w:rsidRDefault="00E439D1" w:rsidP="005F4B57">
      <w:pPr>
        <w:spacing w:after="0" w:line="360" w:lineRule="auto"/>
        <w:jc w:val="both"/>
        <w:rPr>
          <w:rFonts w:ascii="Times New Roman" w:eastAsia="Times New Roman" w:hAnsi="Times New Roman" w:cs="Times New Roman"/>
          <w:b/>
          <w:sz w:val="24"/>
          <w:szCs w:val="24"/>
        </w:rPr>
      </w:pPr>
    </w:p>
    <w:p w:rsidR="00E439D1" w:rsidRPr="006C491A" w:rsidRDefault="00E9669B" w:rsidP="005F4B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222.75pt;margin-top:8.1pt;width:243pt;height:202.05pt;z-index:251660288" fillcolor="#4bacc6" strokecolor="#f2f2f2" strokeweight="3pt">
            <v:shadow on="t" type="perspective" color="#205867" opacity=".5" offset="1pt" offset2="-1pt"/>
            <v:textbox style="mso-next-textbox:#_x0000_s1026">
              <w:txbxContent>
                <w:p w:rsidR="00E439D1" w:rsidRDefault="00E439D1" w:rsidP="00E439D1">
                  <w:r>
                    <w:rPr>
                      <w:rFonts w:ascii="Times New Roman" w:eastAsia="Times New Roman" w:hAnsi="Times New Roman"/>
                      <w:noProof/>
                      <w:sz w:val="24"/>
                      <w:szCs w:val="24"/>
                      <w:lang w:bidi="ar-SA"/>
                    </w:rPr>
                    <w:drawing>
                      <wp:inline distT="0" distB="0" distL="0" distR="0">
                        <wp:extent cx="2895600" cy="2590800"/>
                        <wp:effectExtent l="19050" t="0" r="0" b="0"/>
                        <wp:docPr id="1" name="Picture 1" descr="graph-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02.jpg"/>
                                <pic:cNvPicPr>
                                  <a:picLocks noChangeAspect="1" noChangeArrowheads="1"/>
                                </pic:cNvPicPr>
                              </pic:nvPicPr>
                              <pic:blipFill>
                                <a:blip r:embed="rId9"/>
                                <a:srcRect/>
                                <a:stretch>
                                  <a:fillRect/>
                                </a:stretch>
                              </pic:blipFill>
                              <pic:spPr bwMode="auto">
                                <a:xfrm>
                                  <a:off x="0" y="0"/>
                                  <a:ext cx="2895600" cy="2590800"/>
                                </a:xfrm>
                                <a:prstGeom prst="rect">
                                  <a:avLst/>
                                </a:prstGeom>
                                <a:noFill/>
                                <a:ln w="9525">
                                  <a:noFill/>
                                  <a:miter lim="800000"/>
                                  <a:headEnd/>
                                  <a:tailEnd/>
                                </a:ln>
                              </pic:spPr>
                            </pic:pic>
                          </a:graphicData>
                        </a:graphic>
                      </wp:inline>
                    </w:drawing>
                  </w:r>
                </w:p>
              </w:txbxContent>
            </v:textbox>
          </v:shape>
        </w:pict>
      </w:r>
      <w:r w:rsidR="00E439D1" w:rsidRPr="006C491A">
        <w:rPr>
          <w:rFonts w:ascii="Times New Roman" w:eastAsia="Times New Roman" w:hAnsi="Times New Roman" w:cs="Times New Roman"/>
          <w:sz w:val="24"/>
          <w:szCs w:val="24"/>
        </w:rPr>
        <w:t>Price without charges</w:t>
      </w:r>
    </w:p>
    <w:p w:rsidR="00E439D1" w:rsidRPr="006C491A" w:rsidRDefault="00E9669B" w:rsidP="005F4B5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28" type="#_x0000_t202" style="position:absolute;left:0;text-align:left;margin-left:.75pt;margin-top:6.9pt;width:198pt;height:182.55pt;z-index:251662336" strokecolor="#4bacc6" strokeweight="2.5pt">
            <v:shadow color="#868686"/>
            <v:textbox style="mso-next-textbox:#_x0000_s1028">
              <w:txbxContent>
                <w:p w:rsidR="00E439D1" w:rsidRPr="00780528" w:rsidRDefault="00E439D1" w:rsidP="00E439D1">
                  <w:pPr>
                    <w:rPr>
                      <w:rFonts w:ascii="Times New Roman" w:hAnsi="Times New Roman"/>
                    </w:rPr>
                  </w:pPr>
                  <w:r w:rsidRPr="00780528">
                    <w:rPr>
                      <w:rFonts w:ascii="Times New Roman" w:hAnsi="Times New Roman"/>
                    </w:rPr>
                    <w:t xml:space="preserve">Here, </w:t>
                  </w:r>
                </w:p>
                <w:p w:rsidR="00E439D1" w:rsidRPr="00780528" w:rsidRDefault="00E439D1" w:rsidP="00E439D1">
                  <w:pPr>
                    <w:rPr>
                      <w:rFonts w:ascii="Times New Roman" w:hAnsi="Times New Roman"/>
                    </w:rPr>
                  </w:pPr>
                  <w:r w:rsidRPr="00780528">
                    <w:rPr>
                      <w:rFonts w:ascii="Times New Roman" w:hAnsi="Times New Roman"/>
                      <w:b/>
                    </w:rPr>
                    <w:t>P</w:t>
                  </w:r>
                  <w:r w:rsidRPr="00780528">
                    <w:rPr>
                      <w:rFonts w:ascii="Times New Roman" w:hAnsi="Times New Roman"/>
                    </w:rPr>
                    <w:t xml:space="preserve"> stands for Price,</w:t>
                  </w:r>
                </w:p>
                <w:p w:rsidR="00E439D1" w:rsidRPr="00780528" w:rsidRDefault="00E439D1" w:rsidP="00E439D1">
                  <w:pPr>
                    <w:rPr>
                      <w:rFonts w:ascii="Times New Roman" w:hAnsi="Times New Roman"/>
                    </w:rPr>
                  </w:pPr>
                  <w:r w:rsidRPr="00780528">
                    <w:rPr>
                      <w:rFonts w:ascii="Times New Roman" w:hAnsi="Times New Roman"/>
                      <w:b/>
                    </w:rPr>
                    <w:t>Q</w:t>
                  </w:r>
                  <w:r w:rsidRPr="00780528">
                    <w:rPr>
                      <w:rFonts w:ascii="Times New Roman" w:hAnsi="Times New Roman"/>
                    </w:rPr>
                    <w:t xml:space="preserve"> stands for Quantity (in terms of goods and services)</w:t>
                  </w:r>
                </w:p>
                <w:p w:rsidR="00E439D1" w:rsidRPr="00780528" w:rsidRDefault="00E439D1" w:rsidP="00E439D1">
                  <w:pPr>
                    <w:rPr>
                      <w:rFonts w:ascii="Times New Roman" w:hAnsi="Times New Roman"/>
                    </w:rPr>
                  </w:pPr>
                  <w:r w:rsidRPr="00780528">
                    <w:rPr>
                      <w:rFonts w:ascii="Times New Roman" w:hAnsi="Times New Roman"/>
                      <w:b/>
                    </w:rPr>
                    <w:t>S</w:t>
                  </w:r>
                  <w:r w:rsidRPr="00780528">
                    <w:rPr>
                      <w:rFonts w:ascii="Times New Roman" w:hAnsi="Times New Roman"/>
                    </w:rPr>
                    <w:t xml:space="preserve"> stands for supply curve,</w:t>
                  </w:r>
                </w:p>
                <w:p w:rsidR="00E439D1" w:rsidRPr="00780528" w:rsidRDefault="00E439D1" w:rsidP="00E439D1">
                  <w:pPr>
                    <w:rPr>
                      <w:rFonts w:ascii="Times New Roman" w:hAnsi="Times New Roman"/>
                    </w:rPr>
                  </w:pPr>
                  <w:r w:rsidRPr="00780528">
                    <w:rPr>
                      <w:rFonts w:ascii="Times New Roman" w:hAnsi="Times New Roman"/>
                      <w:b/>
                    </w:rPr>
                    <w:t>D</w:t>
                  </w:r>
                  <w:r w:rsidRPr="00780528">
                    <w:rPr>
                      <w:rFonts w:ascii="Times New Roman" w:hAnsi="Times New Roman"/>
                    </w:rPr>
                    <w:t xml:space="preserve"> stands for demand curve,</w:t>
                  </w:r>
                </w:p>
                <w:p w:rsidR="00E439D1" w:rsidRPr="00780528" w:rsidRDefault="00E439D1" w:rsidP="00E439D1">
                  <w:pPr>
                    <w:rPr>
                      <w:rFonts w:ascii="Times New Roman" w:hAnsi="Times New Roman"/>
                    </w:rPr>
                  </w:pPr>
                  <w:r w:rsidRPr="00780528">
                    <w:rPr>
                      <w:rFonts w:ascii="Times New Roman" w:hAnsi="Times New Roman"/>
                      <w:b/>
                    </w:rPr>
                    <w:t>E</w:t>
                  </w:r>
                  <w:r w:rsidRPr="00780528">
                    <w:rPr>
                      <w:rFonts w:ascii="Times New Roman" w:hAnsi="Times New Roman"/>
                    </w:rPr>
                    <w:t xml:space="preserve"> stands for Equilibrium position.</w:t>
                  </w:r>
                </w:p>
                <w:p w:rsidR="00E439D1" w:rsidRPr="00780528" w:rsidRDefault="00E439D1" w:rsidP="00E439D1">
                  <w:pPr>
                    <w:rPr>
                      <w:rFonts w:ascii="Times New Roman" w:hAnsi="Times New Roman"/>
                    </w:rPr>
                  </w:pPr>
                </w:p>
              </w:txbxContent>
            </v:textbox>
          </v:shape>
        </w:pict>
      </w:r>
      <w:r>
        <w:rPr>
          <w:rFonts w:ascii="Times New Roman" w:hAnsi="Times New Roman" w:cs="Times New Roman"/>
          <w:noProof/>
          <w:sz w:val="24"/>
          <w:szCs w:val="24"/>
        </w:rPr>
        <w:pict>
          <v:shape id="_x0000_s1030" type="#_x0000_t202" style="position:absolute;left:0;text-align:left;margin-left:414.75pt;margin-top:25.65pt;width:21pt;height:21.75pt;z-index:251664384">
            <v:textbox style="mso-next-textbox:#_x0000_s1030">
              <w:txbxContent>
                <w:p w:rsidR="00E439D1" w:rsidRPr="003D4D7F" w:rsidRDefault="00E439D1" w:rsidP="00E439D1">
                  <w:pPr>
                    <w:rPr>
                      <w:rFonts w:ascii="Times New Roman" w:hAnsi="Times New Roman"/>
                      <w:b/>
                    </w:rPr>
                  </w:pPr>
                  <w:r w:rsidRPr="003D4D7F">
                    <w:rPr>
                      <w:rFonts w:ascii="Times New Roman" w:hAnsi="Times New Roman"/>
                      <w:b/>
                    </w:rPr>
                    <w:t>S</w:t>
                  </w:r>
                </w:p>
              </w:txbxContent>
            </v:textbox>
          </v:shape>
        </w:pic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9669B" w:rsidP="005F4B5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4" type="#_x0000_t202" style="position:absolute;left:0;text-align:left;margin-left:327pt;margin-top:1pt;width:18pt;height:17.25pt;z-index:251668480">
            <v:textbox style="mso-next-textbox:#_x0000_s1034">
              <w:txbxContent>
                <w:p w:rsidR="00E439D1" w:rsidRPr="00BC7790" w:rsidRDefault="00E439D1" w:rsidP="00E439D1">
                  <w:pPr>
                    <w:rPr>
                      <w:rFonts w:ascii="Times New Roman" w:hAnsi="Times New Roman"/>
                      <w:b/>
                    </w:rPr>
                  </w:pPr>
                  <w:r w:rsidRPr="00BC7790">
                    <w:rPr>
                      <w:rFonts w:ascii="Times New Roman" w:hAnsi="Times New Roman"/>
                      <w:b/>
                    </w:rPr>
                    <w:t>E</w:t>
                  </w:r>
                </w:p>
              </w:txbxContent>
            </v:textbox>
          </v:shape>
        </w:pic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9669B" w:rsidP="005F4B5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1" type="#_x0000_t202" style="position:absolute;left:0;text-align:left;margin-left:414.75pt;margin-top:8.6pt;width:21pt;height:22.5pt;z-index:251665408">
            <v:textbox style="mso-next-textbox:#_x0000_s1031">
              <w:txbxContent>
                <w:p w:rsidR="00E439D1" w:rsidRPr="003D4D7F" w:rsidRDefault="00E439D1" w:rsidP="00E439D1">
                  <w:pPr>
                    <w:rPr>
                      <w:rFonts w:ascii="Times New Roman" w:hAnsi="Times New Roman"/>
                      <w:b/>
                    </w:rPr>
                  </w:pPr>
                  <w:r w:rsidRPr="003D4D7F">
                    <w:rPr>
                      <w:rFonts w:ascii="Times New Roman" w:hAnsi="Times New Roman"/>
                      <w:b/>
                    </w:rPr>
                    <w:t>D</w:t>
                  </w:r>
                </w:p>
              </w:txbxContent>
            </v:textbox>
          </v:shape>
        </w:pic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9669B" w:rsidP="005F4B5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shape id="_x0000_s1027" type="#_x0000_t202" style="position:absolute;left:0;text-align:left;margin-left:246pt;margin-top:.8pt;width:231.75pt;height:201pt;z-index:251661312" fillcolor="#4bacc6" strokecolor="#f2f2f2" strokeweight="3pt">
            <v:shadow on="t" type="perspective" color="#205867" opacity=".5" offset="1pt" offset2="-1pt"/>
            <v:textbox style="mso-next-textbox:#_x0000_s1027">
              <w:txbxContent>
                <w:p w:rsidR="00E439D1" w:rsidRDefault="00E439D1" w:rsidP="00E439D1">
                  <w:r>
                    <w:rPr>
                      <w:rFonts w:ascii="Times New Roman" w:eastAsia="Times New Roman" w:hAnsi="Times New Roman"/>
                      <w:noProof/>
                      <w:sz w:val="24"/>
                      <w:szCs w:val="24"/>
                      <w:lang w:bidi="ar-SA"/>
                    </w:rPr>
                    <w:drawing>
                      <wp:inline distT="0" distB="0" distL="0" distR="0">
                        <wp:extent cx="2724150" cy="2457450"/>
                        <wp:effectExtent l="19050" t="0" r="0" b="0"/>
                        <wp:docPr id="2" name="Picture 2" descr="graph-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03.jpg"/>
                                <pic:cNvPicPr>
                                  <a:picLocks noChangeAspect="1" noChangeArrowheads="1"/>
                                </pic:cNvPicPr>
                              </pic:nvPicPr>
                              <pic:blipFill>
                                <a:blip r:embed="rId10"/>
                                <a:srcRect/>
                                <a:stretch>
                                  <a:fillRect/>
                                </a:stretch>
                              </pic:blipFill>
                              <pic:spPr bwMode="auto">
                                <a:xfrm>
                                  <a:off x="0" y="0"/>
                                  <a:ext cx="2724150" cy="2457450"/>
                                </a:xfrm>
                                <a:prstGeom prst="rect">
                                  <a:avLst/>
                                </a:prstGeom>
                                <a:noFill/>
                                <a:ln w="9525">
                                  <a:noFill/>
                                  <a:miter lim="800000"/>
                                  <a:headEnd/>
                                  <a:tailEnd/>
                                </a:ln>
                              </pic:spPr>
                            </pic:pic>
                          </a:graphicData>
                        </a:graphic>
                      </wp:inline>
                    </w:drawing>
                  </w:r>
                </w:p>
              </w:txbxContent>
            </v:textbox>
          </v:shape>
        </w:pict>
      </w:r>
      <w:r w:rsidR="00E439D1" w:rsidRPr="006C491A">
        <w:rPr>
          <w:rFonts w:ascii="Times New Roman" w:hAnsi="Times New Roman" w:cs="Times New Roman"/>
          <w:sz w:val="24"/>
          <w:szCs w:val="24"/>
        </w:rPr>
        <w:t>Price after addition of charges</w:t>
      </w:r>
    </w:p>
    <w:p w:rsidR="00E439D1" w:rsidRPr="006C491A" w:rsidRDefault="00E9669B" w:rsidP="005F4B5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29" type="#_x0000_t202" style="position:absolute;left:0;text-align:left;margin-left:-.75pt;margin-top:.95pt;width:214.5pt;height:170.15pt;z-index:251663360" strokecolor="#4bacc6" strokeweight="2.5pt">
            <v:shadow color="#868686"/>
            <v:textbox style="mso-next-textbox:#_x0000_s1029">
              <w:txbxContent>
                <w:p w:rsidR="00E439D1" w:rsidRPr="00BC7790" w:rsidRDefault="00E439D1" w:rsidP="00E439D1">
                  <w:pPr>
                    <w:rPr>
                      <w:rFonts w:ascii="Times New Roman" w:hAnsi="Times New Roman"/>
                    </w:rPr>
                  </w:pPr>
                  <w:r w:rsidRPr="00BC7790">
                    <w:rPr>
                      <w:rFonts w:ascii="Times New Roman" w:hAnsi="Times New Roman"/>
                    </w:rPr>
                    <w:t xml:space="preserve">Here, </w:t>
                  </w:r>
                </w:p>
                <w:p w:rsidR="00E439D1" w:rsidRPr="00BC7790" w:rsidRDefault="00E439D1" w:rsidP="00E439D1">
                  <w:pPr>
                    <w:rPr>
                      <w:rFonts w:ascii="Times New Roman" w:hAnsi="Times New Roman"/>
                    </w:rPr>
                  </w:pPr>
                  <w:r w:rsidRPr="00BC7790">
                    <w:rPr>
                      <w:rFonts w:ascii="Times New Roman" w:hAnsi="Times New Roman"/>
                      <w:b/>
                    </w:rPr>
                    <w:t>P</w:t>
                  </w:r>
                  <w:r w:rsidRPr="00BC7790">
                    <w:rPr>
                      <w:rFonts w:ascii="Times New Roman" w:hAnsi="Times New Roman"/>
                    </w:rPr>
                    <w:t xml:space="preserve"> stands for Price,</w:t>
                  </w:r>
                </w:p>
                <w:p w:rsidR="00E439D1" w:rsidRPr="00BC7790" w:rsidRDefault="00E439D1" w:rsidP="00E439D1">
                  <w:pPr>
                    <w:rPr>
                      <w:rFonts w:ascii="Times New Roman" w:hAnsi="Times New Roman"/>
                    </w:rPr>
                  </w:pPr>
                  <w:r w:rsidRPr="00BC7790">
                    <w:rPr>
                      <w:rFonts w:ascii="Times New Roman" w:hAnsi="Times New Roman"/>
                      <w:b/>
                    </w:rPr>
                    <w:t>Q</w:t>
                  </w:r>
                  <w:r w:rsidRPr="00BC7790">
                    <w:rPr>
                      <w:rFonts w:ascii="Times New Roman" w:hAnsi="Times New Roman"/>
                    </w:rPr>
                    <w:t xml:space="preserve"> stands for Quantity (in terms of goods and services)</w:t>
                  </w:r>
                </w:p>
                <w:p w:rsidR="00E439D1" w:rsidRPr="00BC7790" w:rsidRDefault="00E439D1" w:rsidP="00E439D1">
                  <w:pPr>
                    <w:rPr>
                      <w:rFonts w:ascii="Times New Roman" w:hAnsi="Times New Roman"/>
                    </w:rPr>
                  </w:pPr>
                  <w:r w:rsidRPr="00BC7790">
                    <w:rPr>
                      <w:rFonts w:ascii="Times New Roman" w:hAnsi="Times New Roman"/>
                      <w:b/>
                    </w:rPr>
                    <w:t>S</w:t>
                  </w:r>
                  <w:r w:rsidRPr="00BC7790">
                    <w:rPr>
                      <w:rFonts w:ascii="Times New Roman" w:hAnsi="Times New Roman"/>
                    </w:rPr>
                    <w:t xml:space="preserve"> stands for supply curve,</w:t>
                  </w:r>
                </w:p>
                <w:p w:rsidR="00E439D1" w:rsidRPr="00BC7790" w:rsidRDefault="00E439D1" w:rsidP="00E439D1">
                  <w:pPr>
                    <w:rPr>
                      <w:rFonts w:ascii="Times New Roman" w:hAnsi="Times New Roman"/>
                    </w:rPr>
                  </w:pPr>
                  <w:r w:rsidRPr="00BC7790">
                    <w:rPr>
                      <w:rFonts w:ascii="Times New Roman" w:hAnsi="Times New Roman"/>
                      <w:b/>
                    </w:rPr>
                    <w:t>D</w:t>
                  </w:r>
                  <w:r w:rsidRPr="00BC7790">
                    <w:rPr>
                      <w:rFonts w:ascii="Times New Roman" w:hAnsi="Times New Roman"/>
                    </w:rPr>
                    <w:t xml:space="preserve"> stands for demand curve,</w:t>
                  </w:r>
                </w:p>
                <w:p w:rsidR="00E439D1" w:rsidRPr="00BC7790" w:rsidRDefault="00E439D1" w:rsidP="00E439D1">
                  <w:pPr>
                    <w:rPr>
                      <w:rFonts w:ascii="Times New Roman" w:hAnsi="Times New Roman"/>
                    </w:rPr>
                  </w:pPr>
                  <w:r w:rsidRPr="00BC7790">
                    <w:rPr>
                      <w:rFonts w:ascii="Times New Roman" w:hAnsi="Times New Roman"/>
                      <w:b/>
                    </w:rPr>
                    <w:t>E</w:t>
                  </w:r>
                  <w:r w:rsidRPr="00BC7790">
                    <w:rPr>
                      <w:rFonts w:ascii="Times New Roman" w:hAnsi="Times New Roman"/>
                    </w:rPr>
                    <w:t xml:space="preserve"> stands for Equilibrium position.</w:t>
                  </w:r>
                </w:p>
                <w:p w:rsidR="00E439D1" w:rsidRPr="00BC7790" w:rsidRDefault="00E439D1" w:rsidP="00E439D1">
                  <w:pPr>
                    <w:rPr>
                      <w:rFonts w:ascii="Times New Roman" w:hAnsi="Times New Roman"/>
                    </w:rPr>
                  </w:pPr>
                  <w:r w:rsidRPr="00BC7790">
                    <w:rPr>
                      <w:rFonts w:ascii="Times New Roman" w:hAnsi="Times New Roman"/>
                    </w:rPr>
                    <w:t xml:space="preserve"> </w:t>
                  </w:r>
                </w:p>
              </w:txbxContent>
            </v:textbox>
          </v:shape>
        </w:pict>
      </w:r>
      <w:r>
        <w:rPr>
          <w:rFonts w:ascii="Times New Roman" w:hAnsi="Times New Roman" w:cs="Times New Roman"/>
          <w:noProof/>
          <w:sz w:val="24"/>
          <w:szCs w:val="24"/>
        </w:rPr>
        <w:pict>
          <v:shape id="_x0000_s1032" type="#_x0000_t202" style="position:absolute;left:0;text-align:left;margin-left:437.25pt;margin-top:.95pt;width:21pt;height:22.5pt;z-index:251666432">
            <v:textbox style="mso-next-textbox:#_x0000_s1032">
              <w:txbxContent>
                <w:p w:rsidR="00E439D1" w:rsidRPr="003D4D7F" w:rsidRDefault="00E439D1" w:rsidP="00E439D1">
                  <w:pPr>
                    <w:rPr>
                      <w:rFonts w:ascii="Times New Roman" w:hAnsi="Times New Roman"/>
                      <w:b/>
                    </w:rPr>
                  </w:pPr>
                  <w:r w:rsidRPr="003D4D7F">
                    <w:rPr>
                      <w:rFonts w:ascii="Times New Roman" w:hAnsi="Times New Roman"/>
                      <w:b/>
                    </w:rPr>
                    <w:t>S</w:t>
                  </w:r>
                </w:p>
              </w:txbxContent>
            </v:textbox>
          </v:shape>
        </w:pict>
      </w:r>
    </w:p>
    <w:p w:rsidR="00E439D1" w:rsidRPr="006C491A" w:rsidRDefault="00E9669B" w:rsidP="005F4B5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5" type="#_x0000_t202" style="position:absolute;left:0;text-align:left;margin-left:350.25pt;margin-top:5.4pt;width:21pt;height:18.75pt;z-index:251669504">
            <v:textbox style="mso-next-textbox:#_x0000_s1035">
              <w:txbxContent>
                <w:p w:rsidR="00E439D1" w:rsidRPr="00BC7790" w:rsidRDefault="00E439D1" w:rsidP="00E439D1">
                  <w:pPr>
                    <w:rPr>
                      <w:rFonts w:ascii="Times New Roman" w:hAnsi="Times New Roman"/>
                      <w:b/>
                    </w:rPr>
                  </w:pPr>
                  <w:r w:rsidRPr="00BC7790">
                    <w:rPr>
                      <w:rFonts w:ascii="Times New Roman" w:hAnsi="Times New Roman"/>
                      <w:b/>
                    </w:rPr>
                    <w:t>E</w:t>
                  </w:r>
                </w:p>
              </w:txbxContent>
            </v:textbox>
          </v:shape>
        </w:pic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9669B" w:rsidP="005F4B5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3" type="#_x0000_t202" style="position:absolute;left:0;text-align:left;margin-left:437.25pt;margin-top:23.5pt;width:21pt;height:21.75pt;z-index:251667456">
            <v:textbox style="mso-next-textbox:#_x0000_s1033">
              <w:txbxContent>
                <w:p w:rsidR="00E439D1" w:rsidRPr="003D4D7F" w:rsidRDefault="00E439D1" w:rsidP="00E439D1">
                  <w:pPr>
                    <w:rPr>
                      <w:rFonts w:ascii="Times New Roman" w:hAnsi="Times New Roman"/>
                      <w:b/>
                    </w:rPr>
                  </w:pPr>
                  <w:r w:rsidRPr="003D4D7F">
                    <w:rPr>
                      <w:rFonts w:ascii="Times New Roman" w:hAnsi="Times New Roman"/>
                      <w:b/>
                    </w:rPr>
                    <w:t>D</w:t>
                  </w:r>
                </w:p>
              </w:txbxContent>
            </v:textbox>
          </v:shape>
        </w:pic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In the figure no.1, when there is no tax or optimal tax (assumed) is being charged, both the forces of quantity of commodity offered for sale and the quantity of commodity demanded for purchase will be equal and thus what is produced is being consumed maintaining harmony and balance in the economy thus arriving at an equilibrium situation. This is a very rare derivation as no economy adopts such methodology or it becomes difficult for applying this method because of several forces of demand and supply. One such force is the “tax”. But tax should not be such which would bring the assesee with no income left for his/her other recreational purposes than just aiding government.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In figure no.2, when the price including tax raised to P3 from P1, the goods or services demand automatically shifts to Q2 from Q1. This shows that the extra burden of depositing charges, left the optimal consumer with less choice what he can demand earlier is no more to his reach. This creates a gap and logjam of already produced commodities. Hence it is known as a deadweight loss to the revenue. </w:t>
      </w:r>
    </w:p>
    <w:p w:rsidR="00E439D1" w:rsidRPr="006C491A" w:rsidRDefault="00E439D1"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Thus the very best method of applying taxes to the individuals or any HUF or any corporate body is to provide with progressive taxation means more tax for the richer and less tax for the poor. From the language of the act and speech of our Finance Minister, it seems clear that the new DTC has a loophole regarding this.  The tax policy has totally ignored all equitable </w:t>
      </w:r>
      <w:r w:rsidRPr="006C491A">
        <w:rPr>
          <w:rFonts w:ascii="Times New Roman" w:hAnsi="Times New Roman" w:cs="Times New Roman"/>
          <w:sz w:val="24"/>
          <w:szCs w:val="24"/>
        </w:rPr>
        <w:lastRenderedPageBreak/>
        <w:t>considerations</w:t>
      </w:r>
      <w:r w:rsidRPr="006C491A">
        <w:rPr>
          <w:rStyle w:val="FootnoteReference"/>
          <w:rFonts w:ascii="Times New Roman" w:hAnsi="Times New Roman" w:cs="Times New Roman"/>
          <w:sz w:val="24"/>
          <w:szCs w:val="24"/>
        </w:rPr>
        <w:footnoteReference w:id="45"/>
      </w:r>
      <w:r w:rsidRPr="006C491A">
        <w:rPr>
          <w:rFonts w:ascii="Times New Roman" w:hAnsi="Times New Roman" w:cs="Times New Roman"/>
          <w:sz w:val="24"/>
          <w:szCs w:val="24"/>
        </w:rPr>
        <w:t xml:space="preserve">. Whether the income is Rs 10 lakh or Rs 10 crore, the income tax rate will be only 30 per cent. China applies a higher rate of 40 per cent for those in the higher income groups. In fact, China starts its basic rate from 5 per cent and the maximum marginal rate is taken to 45 per cent. So, Why pamper the rich at the cost of the lower income groups and very senior citizens?  </w:t>
      </w:r>
    </w:p>
    <w:p w:rsidR="00E439D1" w:rsidRPr="006C491A" w:rsidRDefault="00E439D1" w:rsidP="005F4B57">
      <w:pPr>
        <w:spacing w:line="360" w:lineRule="auto"/>
        <w:jc w:val="both"/>
        <w:rPr>
          <w:rFonts w:ascii="Times New Roman" w:hAnsi="Times New Roman" w:cs="Times New Roman"/>
          <w:sz w:val="24"/>
          <w:szCs w:val="24"/>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E439D1" w:rsidRPr="006C491A" w:rsidRDefault="00E439D1"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5F4B57" w:rsidRPr="006C491A" w:rsidRDefault="005F4B57"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6C491A" w:rsidRPr="006C491A" w:rsidRDefault="006C491A"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6C491A" w:rsidRPr="006C491A" w:rsidRDefault="006C491A"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6C491A" w:rsidRPr="006C491A" w:rsidRDefault="006C491A"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6C491A" w:rsidRPr="006C491A" w:rsidRDefault="006C491A"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FF2773" w:rsidRPr="006C491A" w:rsidRDefault="00FF2773"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FF2773" w:rsidRPr="006C491A" w:rsidRDefault="00FF2773" w:rsidP="006C491A">
      <w:pPr>
        <w:pStyle w:val="Heading1"/>
        <w:rPr>
          <w:rFonts w:ascii="Times New Roman" w:hAnsi="Times New Roman" w:cs="Times New Roman"/>
        </w:rPr>
      </w:pPr>
      <w:r w:rsidRPr="006C491A">
        <w:rPr>
          <w:rFonts w:ascii="Times New Roman" w:hAnsi="Times New Roman" w:cs="Times New Roman"/>
        </w:rPr>
        <w:lastRenderedPageBreak/>
        <w:t>Bibliography</w:t>
      </w:r>
    </w:p>
    <w:p w:rsidR="006C491A" w:rsidRPr="006C491A" w:rsidRDefault="006C491A" w:rsidP="005F4B57">
      <w:pPr>
        <w:spacing w:line="360" w:lineRule="auto"/>
        <w:jc w:val="both"/>
        <w:rPr>
          <w:rFonts w:ascii="Times New Roman" w:hAnsi="Times New Roman" w:cs="Times New Roman"/>
          <w:b/>
          <w:sz w:val="24"/>
          <w:szCs w:val="24"/>
        </w:rPr>
      </w:pPr>
    </w:p>
    <w:p w:rsidR="00FF2773" w:rsidRPr="006C491A" w:rsidRDefault="00FF2773" w:rsidP="006C491A">
      <w:pPr>
        <w:pStyle w:val="Heading3"/>
        <w:rPr>
          <w:rFonts w:ascii="Times New Roman" w:hAnsi="Times New Roman" w:cs="Times New Roman"/>
        </w:rPr>
      </w:pPr>
      <w:r w:rsidRPr="006C491A">
        <w:rPr>
          <w:rFonts w:ascii="Times New Roman" w:hAnsi="Times New Roman" w:cs="Times New Roman"/>
        </w:rPr>
        <w:t>Articles:</w:t>
      </w:r>
    </w:p>
    <w:p w:rsidR="00FF2773" w:rsidRPr="006C491A" w:rsidRDefault="00FF2773" w:rsidP="005F4B57">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K.R.Girish and Himanshu Patel, KPMG, “Deals: India wants more taxes from cross-border M&amp;A”, February 19, 2008, International Tax Review</w:t>
      </w:r>
    </w:p>
    <w:p w:rsidR="00FF2773" w:rsidRPr="006C491A" w:rsidRDefault="00FF2773" w:rsidP="005F4B57">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D.P Mittal “ Foreign Companies Income in India” April 1- 15, 2011, Taxmann Corporate Professionals, pg 687</w:t>
      </w:r>
    </w:p>
    <w:p w:rsidR="00FF2773" w:rsidRPr="006C491A" w:rsidRDefault="00FF2773" w:rsidP="005F4B57">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The Tax Law Weekly, Vol -196 (Issue 4)</w:t>
      </w:r>
    </w:p>
    <w:p w:rsidR="00143158" w:rsidRPr="006C491A" w:rsidRDefault="00143158" w:rsidP="005F4B57">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6C491A">
        <w:rPr>
          <w:rFonts w:ascii="Times New Roman" w:hAnsi="Times New Roman" w:cs="Times New Roman"/>
          <w:sz w:val="24"/>
          <w:szCs w:val="24"/>
        </w:rPr>
        <w:t>Taxmann Corporate Professionals, 16 – 30 June, 2011</w:t>
      </w:r>
    </w:p>
    <w:p w:rsidR="005F4B57" w:rsidRPr="006C491A" w:rsidRDefault="005F4B57" w:rsidP="005F4B57">
      <w:pPr>
        <w:pStyle w:val="ListParagraph"/>
        <w:numPr>
          <w:ilvl w:val="0"/>
          <w:numId w:val="3"/>
        </w:num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JAMES P F GORDON, “Evading Taxes by Selling in Cash”  Oxford Economic Papers 42 (1990), 244-245 by at &lt;</w:t>
      </w:r>
      <w:hyperlink r:id="rId11" w:history="1">
        <w:r w:rsidRPr="006C491A">
          <w:rPr>
            <w:rStyle w:val="Hyperlink"/>
            <w:rFonts w:ascii="Times New Roman" w:hAnsi="Times New Roman" w:cs="Times New Roman"/>
            <w:color w:val="auto"/>
            <w:sz w:val="24"/>
            <w:szCs w:val="24"/>
            <w:u w:val="none"/>
          </w:rPr>
          <w:t>http://www.jstor.org/pss/2663357</w:t>
        </w:r>
      </w:hyperlink>
    </w:p>
    <w:p w:rsidR="005F4B57" w:rsidRPr="006C491A" w:rsidRDefault="005F4B57" w:rsidP="005F4B57">
      <w:pPr>
        <w:pStyle w:val="ListParagraph"/>
        <w:numPr>
          <w:ilvl w:val="0"/>
          <w:numId w:val="3"/>
        </w:num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John Brondolo “Collecting Taxes During an Economic Crisis: Challenges and Policy Options” @ </w:t>
      </w:r>
      <w:hyperlink r:id="rId12" w:history="1">
        <w:r w:rsidRPr="006C491A">
          <w:rPr>
            <w:rFonts w:ascii="Times New Roman" w:eastAsia="Times New Roman" w:hAnsi="Times New Roman" w:cs="Times New Roman"/>
            <w:sz w:val="24"/>
            <w:szCs w:val="24"/>
          </w:rPr>
          <w:t>http://www.imf.org/external/pubs/ft/spn/2009/spn0917.pdf</w:t>
        </w:r>
      </w:hyperlink>
    </w:p>
    <w:p w:rsidR="006C491A" w:rsidRPr="006C491A" w:rsidRDefault="005F4B57" w:rsidP="005F4B57">
      <w:pPr>
        <w:pStyle w:val="ListParagraph"/>
        <w:numPr>
          <w:ilvl w:val="0"/>
          <w:numId w:val="3"/>
        </w:num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Recession fears? Super rich still making money”</w:t>
      </w:r>
    </w:p>
    <w:p w:rsidR="005F4B57" w:rsidRPr="006C491A" w:rsidRDefault="00E9669B" w:rsidP="006C491A">
      <w:pPr>
        <w:pStyle w:val="ListParagraph"/>
        <w:spacing w:line="360" w:lineRule="auto"/>
        <w:jc w:val="both"/>
        <w:rPr>
          <w:rFonts w:ascii="Times New Roman" w:hAnsi="Times New Roman" w:cs="Times New Roman"/>
          <w:sz w:val="24"/>
          <w:szCs w:val="24"/>
        </w:rPr>
      </w:pPr>
      <w:hyperlink r:id="rId13" w:history="1">
        <w:r w:rsidR="005F4B57" w:rsidRPr="006C491A">
          <w:rPr>
            <w:rStyle w:val="Hyperlink"/>
            <w:rFonts w:ascii="Times New Roman" w:hAnsi="Times New Roman" w:cs="Times New Roman"/>
            <w:color w:val="auto"/>
            <w:sz w:val="24"/>
            <w:szCs w:val="24"/>
            <w:u w:val="none"/>
          </w:rPr>
          <w:t>http://economictimes.indiatimes.com/news/international-business/recession-fears-super-rich-still-making-money/articleshow/9660546.cms</w:t>
        </w:r>
      </w:hyperlink>
    </w:p>
    <w:p w:rsidR="005F4B57" w:rsidRPr="006C491A" w:rsidRDefault="005F4B57" w:rsidP="005F4B57">
      <w:pPr>
        <w:pStyle w:val="FootnoteText"/>
        <w:numPr>
          <w:ilvl w:val="0"/>
          <w:numId w:val="3"/>
        </w:num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Simon Raftopouls and Samual Banks “ Tax Havens: the Red Herring of the Global Financial Crisis” Cayman Isands Journal, May 2009 </w:t>
      </w:r>
    </w:p>
    <w:p w:rsidR="005F4B57" w:rsidRPr="006C491A" w:rsidRDefault="005F4B57" w:rsidP="005F4B57">
      <w:pPr>
        <w:pStyle w:val="ListParagraph"/>
        <w:numPr>
          <w:ilvl w:val="0"/>
          <w:numId w:val="3"/>
        </w:numPr>
        <w:spacing w:line="360" w:lineRule="auto"/>
        <w:jc w:val="both"/>
        <w:rPr>
          <w:rFonts w:ascii="Times New Roman" w:hAnsi="Times New Roman" w:cs="Times New Roman"/>
          <w:sz w:val="24"/>
          <w:szCs w:val="24"/>
        </w:rPr>
      </w:pPr>
    </w:p>
    <w:p w:rsidR="006C491A" w:rsidRPr="006C491A" w:rsidRDefault="005F4B57" w:rsidP="006C491A">
      <w:pPr>
        <w:pStyle w:val="ListParagraph"/>
        <w:numPr>
          <w:ilvl w:val="0"/>
          <w:numId w:val="3"/>
        </w:num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THE HINDU: Buisness Line “A formality gone through” at</w:t>
      </w:r>
    </w:p>
    <w:p w:rsidR="00143158" w:rsidRPr="006C491A" w:rsidRDefault="005F4B57" w:rsidP="006C491A">
      <w:pPr>
        <w:pStyle w:val="ListParagraph"/>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http://www.thehindubusinessline.com/in</w:t>
      </w:r>
      <w:r w:rsidR="006C491A" w:rsidRPr="006C491A">
        <w:rPr>
          <w:rFonts w:ascii="Times New Roman" w:hAnsi="Times New Roman" w:cs="Times New Roman"/>
          <w:sz w:val="24"/>
          <w:szCs w:val="24"/>
        </w:rPr>
        <w:t xml:space="preserve">dustry-and-economy/taxation-and </w:t>
      </w:r>
      <w:r w:rsidRPr="006C491A">
        <w:rPr>
          <w:rFonts w:ascii="Times New Roman" w:hAnsi="Times New Roman" w:cs="Times New Roman"/>
          <w:sz w:val="24"/>
          <w:szCs w:val="24"/>
        </w:rPr>
        <w:t xml:space="preserve">accounts/article1509733.ece  </w:t>
      </w:r>
    </w:p>
    <w:p w:rsidR="00FF2773" w:rsidRPr="006C491A" w:rsidRDefault="00FF2773" w:rsidP="005F4B57">
      <w:pPr>
        <w:spacing w:line="360" w:lineRule="auto"/>
        <w:jc w:val="both"/>
        <w:rPr>
          <w:rFonts w:ascii="Times New Roman" w:hAnsi="Times New Roman" w:cs="Times New Roman"/>
          <w:b/>
          <w:sz w:val="24"/>
          <w:szCs w:val="24"/>
        </w:rPr>
      </w:pPr>
    </w:p>
    <w:p w:rsidR="00FF2773" w:rsidRPr="006C491A" w:rsidRDefault="00FF2773" w:rsidP="006C491A">
      <w:pPr>
        <w:pStyle w:val="Heading3"/>
        <w:rPr>
          <w:rFonts w:ascii="Times New Roman" w:hAnsi="Times New Roman" w:cs="Times New Roman"/>
        </w:rPr>
      </w:pPr>
      <w:r w:rsidRPr="006C491A">
        <w:rPr>
          <w:rFonts w:ascii="Times New Roman" w:hAnsi="Times New Roman" w:cs="Times New Roman"/>
        </w:rPr>
        <w:t>Books:</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Palmer’s Company Law, Vol 1, 22</w:t>
      </w:r>
      <w:r w:rsidRPr="006C491A">
        <w:rPr>
          <w:rFonts w:ascii="Times New Roman" w:hAnsi="Times New Roman" w:cs="Times New Roman"/>
          <w:sz w:val="24"/>
          <w:szCs w:val="24"/>
          <w:vertAlign w:val="superscript"/>
        </w:rPr>
        <w:t>nd</w:t>
      </w:r>
      <w:r w:rsidRPr="006C491A">
        <w:rPr>
          <w:rFonts w:ascii="Times New Roman" w:hAnsi="Times New Roman" w:cs="Times New Roman"/>
          <w:sz w:val="24"/>
          <w:szCs w:val="24"/>
        </w:rPr>
        <w:t xml:space="preserve"> edition, pg 160- 162</w:t>
      </w:r>
    </w:p>
    <w:p w:rsidR="00FF2773" w:rsidRPr="006C491A" w:rsidRDefault="00FF2773" w:rsidP="005F4B57">
      <w:pPr>
        <w:pStyle w:val="ListParagraph"/>
        <w:numPr>
          <w:ilvl w:val="0"/>
          <w:numId w:val="2"/>
        </w:numPr>
        <w:spacing w:line="360" w:lineRule="auto"/>
        <w:jc w:val="both"/>
        <w:rPr>
          <w:rStyle w:val="apple-style-span"/>
          <w:rFonts w:ascii="Times New Roman" w:hAnsi="Times New Roman" w:cs="Times New Roman"/>
          <w:b/>
          <w:sz w:val="24"/>
          <w:szCs w:val="24"/>
        </w:rPr>
      </w:pPr>
      <w:r w:rsidRPr="006C491A">
        <w:rPr>
          <w:rStyle w:val="apple-style-span"/>
          <w:rFonts w:ascii="Times New Roman" w:hAnsi="Times New Roman" w:cs="Times New Roman"/>
          <w:sz w:val="24"/>
          <w:szCs w:val="24"/>
        </w:rPr>
        <w:t>Words and Phrases, Volume 32A, (West Publishing Company - third reprint 1989 p.84)</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“Taxmann’s Guide to Indian income Tax” as amended by Finance Act, 2008, Taxmann Allied services (P.) Ltd, 2008</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lastRenderedPageBreak/>
        <w:t>A.Ramaiya, “Guide to the Companies Act”, 16th Edition, 2006, Wadhwa and Company, Nagpur</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Dr V Gaurishankar ,”Principles of Taxation”,  Wolters Kluwer, Tax, Accounting &amp; Legal</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Brian J. Arnold &amp; Michael J. Mcintyre, International Tax Primer, 2</w:t>
      </w:r>
      <w:r w:rsidRPr="006C491A">
        <w:rPr>
          <w:rFonts w:ascii="Times New Roman" w:hAnsi="Times New Roman" w:cs="Times New Roman"/>
          <w:sz w:val="24"/>
          <w:szCs w:val="24"/>
          <w:vertAlign w:val="superscript"/>
        </w:rPr>
        <w:t>nd</w:t>
      </w:r>
      <w:r w:rsidRPr="006C491A">
        <w:rPr>
          <w:rFonts w:ascii="Times New Roman" w:hAnsi="Times New Roman" w:cs="Times New Roman"/>
          <w:sz w:val="24"/>
          <w:szCs w:val="24"/>
        </w:rPr>
        <w:t xml:space="preserve"> Ed., Wolters Kluwer, Tax, Accounting &amp; Legal</w:t>
      </w:r>
    </w:p>
    <w:p w:rsidR="00214588" w:rsidRPr="006C491A" w:rsidRDefault="00214588"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Tax: Planning &amp; Compliance  in India; CCH INDIA, Wolters Kluwer (India) Pvt.Ltd, 2009</w:t>
      </w:r>
    </w:p>
    <w:p w:rsidR="00CE50BE" w:rsidRPr="006C491A" w:rsidRDefault="00CE50BE" w:rsidP="005F4B57">
      <w:pPr>
        <w:pStyle w:val="ListParagraph"/>
        <w:numPr>
          <w:ilvl w:val="0"/>
          <w:numId w:val="2"/>
        </w:numPr>
        <w:spacing w:line="360" w:lineRule="auto"/>
        <w:jc w:val="both"/>
        <w:rPr>
          <w:rStyle w:val="apple-converted-space"/>
          <w:rFonts w:ascii="Times New Roman" w:hAnsi="Times New Roman" w:cs="Times New Roman"/>
          <w:b/>
          <w:sz w:val="24"/>
          <w:szCs w:val="24"/>
        </w:rPr>
      </w:pPr>
      <w:r w:rsidRPr="006C491A">
        <w:rPr>
          <w:rFonts w:ascii="Times New Roman" w:hAnsi="Times New Roman" w:cs="Times New Roman"/>
          <w:sz w:val="24"/>
          <w:szCs w:val="24"/>
        </w:rPr>
        <w:t xml:space="preserve">Corpus Juris Secundum (1961) Vol 84, 30, </w:t>
      </w:r>
      <w:r w:rsidRPr="006C491A">
        <w:rPr>
          <w:rStyle w:val="apple-style-span"/>
          <w:rFonts w:ascii="Times New Roman" w:hAnsi="Times New Roman" w:cs="Times New Roman"/>
          <w:sz w:val="24"/>
          <w:szCs w:val="24"/>
        </w:rPr>
        <w:t>West Publishing Company</w:t>
      </w:r>
      <w:r w:rsidRPr="006C491A">
        <w:rPr>
          <w:rStyle w:val="apple-converted-space"/>
          <w:rFonts w:ascii="Times New Roman" w:hAnsi="Times New Roman" w:cs="Times New Roman"/>
          <w:sz w:val="24"/>
          <w:szCs w:val="24"/>
        </w:rPr>
        <w:t> </w:t>
      </w:r>
    </w:p>
    <w:p w:rsidR="00CE50BE" w:rsidRPr="006C491A" w:rsidRDefault="00CE50BE"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Tax: Planning and Complaince in India; CCH INDIA, Wolters Kluwer (India) Pvt.Ltd, 2009, Pg 349</w:t>
      </w:r>
    </w:p>
    <w:p w:rsidR="00FF2773" w:rsidRPr="006C491A" w:rsidRDefault="00FF2773" w:rsidP="005F4B57">
      <w:pPr>
        <w:spacing w:line="360" w:lineRule="auto"/>
        <w:jc w:val="both"/>
        <w:rPr>
          <w:rFonts w:ascii="Times New Roman" w:hAnsi="Times New Roman" w:cs="Times New Roman"/>
          <w:b/>
          <w:sz w:val="24"/>
          <w:szCs w:val="24"/>
        </w:rPr>
      </w:pPr>
    </w:p>
    <w:p w:rsidR="00FF2773" w:rsidRPr="006C491A" w:rsidRDefault="00FF2773" w:rsidP="006C491A">
      <w:pPr>
        <w:pStyle w:val="Heading3"/>
        <w:rPr>
          <w:rFonts w:ascii="Times New Roman" w:hAnsi="Times New Roman" w:cs="Times New Roman"/>
        </w:rPr>
      </w:pPr>
      <w:r w:rsidRPr="006C491A">
        <w:rPr>
          <w:rFonts w:ascii="Times New Roman" w:hAnsi="Times New Roman" w:cs="Times New Roman"/>
        </w:rPr>
        <w:t>Documents</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Revised Discussion Paper on Direct Tax Code, July 2010, ( Chapter XiV, 69)</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Discussion Paper on Direct Taxes Code, August 2009, Chapter XXIV, A-75</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CONSULTATION PAPER TASK FORCE ON DIRECT TAXES headed by Mr. Vijay kelkar &lt;http://finmin.nic.in/kelkar/Full_Report.pdf  &gt;</w:t>
      </w:r>
    </w:p>
    <w:p w:rsidR="00FF2773" w:rsidRPr="006C491A" w:rsidRDefault="00FF2773" w:rsidP="005F4B57">
      <w:pPr>
        <w:pStyle w:val="ListParagraph"/>
        <w:numPr>
          <w:ilvl w:val="0"/>
          <w:numId w:val="2"/>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“Basic Principle of Income tax law” by Justice R.K. Abichandan</w:t>
      </w:r>
    </w:p>
    <w:p w:rsidR="006C491A" w:rsidRPr="006C491A" w:rsidRDefault="005F4B57" w:rsidP="006C491A">
      <w:pPr>
        <w:pStyle w:val="ListParagraph"/>
        <w:numPr>
          <w:ilvl w:val="0"/>
          <w:numId w:val="2"/>
        </w:numPr>
        <w:spacing w:line="360" w:lineRule="auto"/>
        <w:jc w:val="both"/>
        <w:rPr>
          <w:rStyle w:val="HTMLCite"/>
          <w:rFonts w:ascii="Times New Roman" w:hAnsi="Times New Roman" w:cs="Times New Roman"/>
          <w:b/>
          <w:i w:val="0"/>
          <w:iCs w:val="0"/>
          <w:sz w:val="24"/>
          <w:szCs w:val="24"/>
        </w:rPr>
      </w:pPr>
      <w:r w:rsidRPr="006C491A">
        <w:rPr>
          <w:rStyle w:val="HTMLCite"/>
          <w:rFonts w:ascii="Times New Roman" w:hAnsi="Times New Roman" w:cs="Times New Roman"/>
          <w:i w:val="0"/>
          <w:sz w:val="24"/>
          <w:szCs w:val="24"/>
        </w:rPr>
        <w:t xml:space="preserve">Surendra </w:t>
      </w:r>
      <w:r w:rsidR="006C491A" w:rsidRPr="006C491A">
        <w:rPr>
          <w:rStyle w:val="HTMLCite"/>
          <w:rFonts w:ascii="Times New Roman" w:hAnsi="Times New Roman" w:cs="Times New Roman"/>
          <w:i w:val="0"/>
          <w:sz w:val="24"/>
          <w:szCs w:val="24"/>
        </w:rPr>
        <w:t>Munjal</w:t>
      </w:r>
    </w:p>
    <w:p w:rsidR="005F4B57" w:rsidRPr="006C491A" w:rsidRDefault="00CE50BE" w:rsidP="006C491A">
      <w:pPr>
        <w:pStyle w:val="ListParagraph"/>
        <w:spacing w:line="360" w:lineRule="auto"/>
        <w:jc w:val="both"/>
        <w:rPr>
          <w:rFonts w:ascii="Times New Roman" w:hAnsi="Times New Roman" w:cs="Times New Roman"/>
          <w:b/>
          <w:sz w:val="24"/>
          <w:szCs w:val="24"/>
        </w:rPr>
      </w:pPr>
      <w:r w:rsidRPr="006C491A">
        <w:rPr>
          <w:rStyle w:val="HTMLCite"/>
          <w:rFonts w:ascii="Times New Roman" w:hAnsi="Times New Roman" w:cs="Times New Roman"/>
          <w:i w:val="0"/>
          <w:sz w:val="24"/>
          <w:szCs w:val="24"/>
        </w:rPr>
        <w:t>&lt;</w:t>
      </w:r>
      <w:hyperlink r:id="rId14" w:history="1">
        <w:r w:rsidRPr="006C491A">
          <w:rPr>
            <w:rStyle w:val="Hyperlink"/>
            <w:rFonts w:ascii="Times New Roman" w:hAnsi="Times New Roman" w:cs="Times New Roman"/>
            <w:color w:val="auto"/>
            <w:sz w:val="24"/>
            <w:szCs w:val="24"/>
            <w:u w:val="none"/>
          </w:rPr>
          <w:t>www.du.ac.in/fileadmin/DU/Academics/course_material/TM_09.pdf</w:t>
        </w:r>
      </w:hyperlink>
      <w:r w:rsidRPr="006C491A">
        <w:rPr>
          <w:rStyle w:val="HTMLCite"/>
          <w:rFonts w:ascii="Times New Roman" w:hAnsi="Times New Roman" w:cs="Times New Roman"/>
          <w:i w:val="0"/>
          <w:sz w:val="24"/>
          <w:szCs w:val="24"/>
        </w:rPr>
        <w:t>&gt;(accessed on 22 Aug, 2011)</w:t>
      </w:r>
    </w:p>
    <w:p w:rsidR="005F4B57" w:rsidRPr="006C491A" w:rsidRDefault="005F4B57" w:rsidP="005F4B57">
      <w:pPr>
        <w:pStyle w:val="ListParagraph"/>
        <w:numPr>
          <w:ilvl w:val="0"/>
          <w:numId w:val="2"/>
        </w:numPr>
        <w:jc w:val="both"/>
        <w:rPr>
          <w:rFonts w:ascii="Times New Roman" w:hAnsi="Times New Roman" w:cs="Times New Roman"/>
          <w:sz w:val="24"/>
          <w:szCs w:val="24"/>
        </w:rPr>
      </w:pPr>
      <w:r w:rsidRPr="006C491A">
        <w:rPr>
          <w:rFonts w:ascii="Times New Roman" w:hAnsi="Times New Roman" w:cs="Times New Roman"/>
          <w:sz w:val="24"/>
          <w:szCs w:val="24"/>
        </w:rPr>
        <w:t>THE HINDU “ Global markets take fright” of 20</w:t>
      </w:r>
      <w:r w:rsidRPr="006C491A">
        <w:rPr>
          <w:rFonts w:ascii="Times New Roman" w:hAnsi="Times New Roman" w:cs="Times New Roman"/>
          <w:sz w:val="24"/>
          <w:szCs w:val="24"/>
          <w:vertAlign w:val="superscript"/>
        </w:rPr>
        <w:t>th</w:t>
      </w:r>
      <w:r w:rsidRPr="006C491A">
        <w:rPr>
          <w:rFonts w:ascii="Times New Roman" w:hAnsi="Times New Roman" w:cs="Times New Roman"/>
          <w:sz w:val="24"/>
          <w:szCs w:val="24"/>
        </w:rPr>
        <w:t xml:space="preserve"> August, 11</w:t>
      </w:r>
    </w:p>
    <w:p w:rsidR="005F4B57" w:rsidRPr="006C491A" w:rsidRDefault="005F4B57" w:rsidP="005F4B57">
      <w:pPr>
        <w:pStyle w:val="ListParagraph"/>
        <w:numPr>
          <w:ilvl w:val="0"/>
          <w:numId w:val="2"/>
        </w:numPr>
        <w:jc w:val="both"/>
        <w:rPr>
          <w:rFonts w:ascii="Times New Roman" w:hAnsi="Times New Roman" w:cs="Times New Roman"/>
          <w:sz w:val="24"/>
          <w:szCs w:val="24"/>
        </w:rPr>
      </w:pPr>
      <w:r w:rsidRPr="006C491A">
        <w:rPr>
          <w:rFonts w:ascii="Times New Roman" w:hAnsi="Times New Roman" w:cs="Times New Roman"/>
          <w:sz w:val="24"/>
          <w:szCs w:val="24"/>
        </w:rPr>
        <w:t>Income Tax Act 1961: Employee Stock option Plan as Guided by Central Government</w:t>
      </w:r>
    </w:p>
    <w:p w:rsidR="005F4B57" w:rsidRPr="006C491A" w:rsidRDefault="005F4B57" w:rsidP="005F4B57">
      <w:pPr>
        <w:pStyle w:val="ListParagraph"/>
        <w:numPr>
          <w:ilvl w:val="0"/>
          <w:numId w:val="2"/>
        </w:numPr>
        <w:spacing w:line="360" w:lineRule="auto"/>
        <w:jc w:val="both"/>
        <w:rPr>
          <w:rFonts w:ascii="Times New Roman" w:hAnsi="Times New Roman" w:cs="Times New Roman"/>
          <w:b/>
          <w:sz w:val="24"/>
          <w:szCs w:val="24"/>
        </w:rPr>
      </w:pPr>
    </w:p>
    <w:p w:rsidR="00FF2773" w:rsidRPr="006C491A" w:rsidRDefault="00FF2773" w:rsidP="006C491A">
      <w:pPr>
        <w:pStyle w:val="Heading3"/>
        <w:rPr>
          <w:rFonts w:ascii="Times New Roman" w:hAnsi="Times New Roman" w:cs="Times New Roman"/>
        </w:rPr>
      </w:pPr>
      <w:r w:rsidRPr="006C491A">
        <w:rPr>
          <w:rFonts w:ascii="Times New Roman" w:hAnsi="Times New Roman" w:cs="Times New Roman"/>
        </w:rPr>
        <w:t>Cases</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Salomon v Salomon &amp; Co [ 1897] AC 22</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Peate v Federal Commissioner of Taxation (1964) 111 CLR 443</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 xml:space="preserve">CIT Madras v. Meenakshi Mills Ltd. (1967) 63 ITR 609 (SC) </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 xml:space="preserve"> Workmen Employed in Assn. Rubber Industry Ltd. Bhavnagar v. Associated Rubber Industry Ltd. AIR 1986 SC 1</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lastRenderedPageBreak/>
        <w:t>Kapila Hingorani v. State of Bihar (2003) 116 CompCas 133 (SC)</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Jones v Lipman  (1962) W.L.R. 832</w:t>
      </w:r>
    </w:p>
    <w:p w:rsidR="00FF2773" w:rsidRPr="006C491A" w:rsidRDefault="00FF2773" w:rsidP="005F4B57">
      <w:pPr>
        <w:pStyle w:val="ListParagraph"/>
        <w:numPr>
          <w:ilvl w:val="0"/>
          <w:numId w:val="1"/>
        </w:numPr>
        <w:spacing w:line="360" w:lineRule="auto"/>
        <w:jc w:val="both"/>
        <w:rPr>
          <w:rStyle w:val="apple-style-span"/>
          <w:rFonts w:ascii="Times New Roman" w:hAnsi="Times New Roman" w:cs="Times New Roman"/>
          <w:b/>
          <w:sz w:val="24"/>
          <w:szCs w:val="24"/>
        </w:rPr>
      </w:pPr>
      <w:r w:rsidRPr="006C491A">
        <w:rPr>
          <w:rStyle w:val="apple-style-span"/>
          <w:rFonts w:ascii="Times New Roman" w:hAnsi="Times New Roman" w:cs="Times New Roman"/>
          <w:sz w:val="24"/>
          <w:szCs w:val="24"/>
        </w:rPr>
        <w:t xml:space="preserve">Juggi Lal Kamlapat v. CIT, U.P </w:t>
      </w:r>
      <w:r w:rsidRPr="006C491A">
        <w:rPr>
          <w:rStyle w:val="apple-style-span"/>
          <w:rFonts w:ascii="Times New Roman" w:hAnsi="Times New Roman" w:cs="Times New Roman"/>
          <w:bCs/>
          <w:sz w:val="24"/>
          <w:szCs w:val="24"/>
        </w:rPr>
        <w:t>AIR 1969 SC 932</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Style w:val="apple-style-span"/>
          <w:rFonts w:ascii="Times New Roman" w:hAnsi="Times New Roman" w:cs="Times New Roman"/>
          <w:sz w:val="24"/>
          <w:szCs w:val="24"/>
        </w:rPr>
        <w:t>CIT v. Shri Meenakshi Mills Ltd</w:t>
      </w:r>
      <w:r w:rsidRPr="006C491A">
        <w:rPr>
          <w:rFonts w:ascii="Times New Roman" w:eastAsia="Times New Roman" w:hAnsi="Times New Roman" w:cs="Times New Roman"/>
          <w:sz w:val="24"/>
          <w:szCs w:val="24"/>
        </w:rPr>
        <w:t xml:space="preserve"> AIR 1967 SC 819</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Style w:val="apple-style-span"/>
          <w:rFonts w:ascii="Times New Roman" w:hAnsi="Times New Roman" w:cs="Times New Roman"/>
          <w:sz w:val="24"/>
          <w:szCs w:val="24"/>
        </w:rPr>
        <w:t xml:space="preserve">Richter Holding Ltd v ADIT </w:t>
      </w:r>
      <w:r w:rsidRPr="006C491A">
        <w:rPr>
          <w:rFonts w:ascii="Times New Roman" w:eastAsia="Times New Roman" w:hAnsi="Times New Roman" w:cs="Times New Roman"/>
          <w:sz w:val="24"/>
          <w:szCs w:val="24"/>
        </w:rPr>
        <w:t>259.8 KiB, 667 DLs</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IRC v Duke of  Westminister, [1935] All ER 259 (H.L.)</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Mc Dowell v. CTO  AIR 1986 SC 649</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iCs/>
          <w:sz w:val="24"/>
          <w:szCs w:val="24"/>
        </w:rPr>
        <w:t xml:space="preserve">Vodafone International Holdings BV </w:t>
      </w:r>
      <w:r w:rsidRPr="006C491A">
        <w:rPr>
          <w:rFonts w:ascii="Times New Roman" w:hAnsi="Times New Roman" w:cs="Times New Roman"/>
          <w:sz w:val="24"/>
          <w:szCs w:val="24"/>
        </w:rPr>
        <w:t xml:space="preserve">v. </w:t>
      </w:r>
      <w:r w:rsidRPr="006C491A">
        <w:rPr>
          <w:rFonts w:ascii="Times New Roman" w:hAnsi="Times New Roman" w:cs="Times New Roman"/>
          <w:iCs/>
          <w:sz w:val="24"/>
          <w:szCs w:val="24"/>
        </w:rPr>
        <w:t xml:space="preserve">Union of India </w:t>
      </w:r>
      <w:r w:rsidRPr="006C491A">
        <w:rPr>
          <w:rFonts w:ascii="Times New Roman" w:hAnsi="Times New Roman" w:cs="Times New Roman"/>
          <w:sz w:val="24"/>
          <w:szCs w:val="24"/>
        </w:rPr>
        <w:t>[2009] 311 ITR 46 (Bom).</w:t>
      </w:r>
    </w:p>
    <w:p w:rsidR="00FF2773" w:rsidRPr="006C491A" w:rsidRDefault="00FF2773"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Union of India and Anothers v. Azadi Bachao Andolan and Another, (2003) 263 ITR 706 (SC)</w:t>
      </w:r>
    </w:p>
    <w:p w:rsidR="00CE50BE" w:rsidRPr="006C491A" w:rsidRDefault="00CE50BE" w:rsidP="005F4B57">
      <w:pPr>
        <w:pStyle w:val="ListParagraph"/>
        <w:numPr>
          <w:ilvl w:val="0"/>
          <w:numId w:val="1"/>
        </w:numPr>
        <w:spacing w:line="360" w:lineRule="auto"/>
        <w:jc w:val="both"/>
        <w:rPr>
          <w:rFonts w:ascii="Times New Roman" w:hAnsi="Times New Roman" w:cs="Times New Roman"/>
          <w:b/>
          <w:sz w:val="24"/>
          <w:szCs w:val="24"/>
        </w:rPr>
      </w:pPr>
      <w:r w:rsidRPr="006C491A">
        <w:rPr>
          <w:rFonts w:ascii="Times New Roman" w:hAnsi="Times New Roman" w:cs="Times New Roman"/>
          <w:sz w:val="24"/>
          <w:szCs w:val="24"/>
        </w:rPr>
        <w:t>Income Tax Officer v. Kalyan M Gupta (2007) 111 ITJ (Mumbai) 1005</w:t>
      </w:r>
    </w:p>
    <w:p w:rsidR="005F4B57" w:rsidRDefault="005F4B57" w:rsidP="005F4B57">
      <w:pPr>
        <w:pStyle w:val="ListParagraph"/>
        <w:numPr>
          <w:ilvl w:val="0"/>
          <w:numId w:val="1"/>
        </w:numPr>
        <w:jc w:val="both"/>
        <w:rPr>
          <w:rFonts w:ascii="Times New Roman" w:hAnsi="Times New Roman" w:cs="Times New Roman"/>
          <w:sz w:val="24"/>
          <w:szCs w:val="24"/>
        </w:rPr>
      </w:pPr>
      <w:r w:rsidRPr="006C491A">
        <w:rPr>
          <w:rFonts w:ascii="Times New Roman" w:hAnsi="Times New Roman" w:cs="Times New Roman"/>
          <w:sz w:val="24"/>
          <w:szCs w:val="24"/>
        </w:rPr>
        <w:t>Thomson v. Gurneville 47 TC 633 (HL)</w:t>
      </w:r>
    </w:p>
    <w:p w:rsidR="000247A3" w:rsidRPr="006C491A" w:rsidRDefault="000247A3" w:rsidP="000247A3">
      <w:pPr>
        <w:pStyle w:val="ListParagraph"/>
        <w:jc w:val="both"/>
        <w:rPr>
          <w:rFonts w:ascii="Times New Roman" w:hAnsi="Times New Roman" w:cs="Times New Roman"/>
          <w:sz w:val="24"/>
          <w:szCs w:val="24"/>
        </w:rPr>
      </w:pPr>
    </w:p>
    <w:p w:rsidR="000247A3" w:rsidRPr="000247A3" w:rsidRDefault="005F4B57" w:rsidP="000247A3">
      <w:pPr>
        <w:pStyle w:val="ListParagraph"/>
        <w:numPr>
          <w:ilvl w:val="0"/>
          <w:numId w:val="1"/>
        </w:numPr>
        <w:jc w:val="both"/>
        <w:rPr>
          <w:rFonts w:ascii="Times New Roman" w:hAnsi="Times New Roman" w:cs="Times New Roman"/>
          <w:sz w:val="24"/>
          <w:szCs w:val="24"/>
        </w:rPr>
      </w:pPr>
      <w:r w:rsidRPr="006C491A">
        <w:rPr>
          <w:rFonts w:ascii="Times New Roman" w:hAnsi="Times New Roman" w:cs="Times New Roman"/>
          <w:sz w:val="24"/>
          <w:szCs w:val="24"/>
        </w:rPr>
        <w:t>CIT v. Dalmia Dairy Industries Ltd ITR 38/1995</w:t>
      </w:r>
    </w:p>
    <w:p w:rsidR="000247A3" w:rsidRDefault="005F4B57" w:rsidP="000247A3">
      <w:pPr>
        <w:pStyle w:val="ListParagraph"/>
        <w:numPr>
          <w:ilvl w:val="0"/>
          <w:numId w:val="1"/>
        </w:numPr>
        <w:jc w:val="both"/>
        <w:rPr>
          <w:rFonts w:ascii="Times New Roman" w:hAnsi="Times New Roman" w:cs="Times New Roman"/>
          <w:sz w:val="24"/>
          <w:szCs w:val="24"/>
        </w:rPr>
      </w:pPr>
      <w:r w:rsidRPr="006C491A">
        <w:rPr>
          <w:rFonts w:ascii="Times New Roman" w:hAnsi="Times New Roman" w:cs="Times New Roman"/>
          <w:sz w:val="24"/>
          <w:szCs w:val="24"/>
        </w:rPr>
        <w:t>Kanga, Palkhivala and Vyas: The Law &amp; Practice of Income Tax; Vol. I, Ninth Edn, LexisNexis, Butterworths, Wadhwa Nagpur, 2008,</w:t>
      </w:r>
    </w:p>
    <w:p w:rsidR="005F4B57" w:rsidRPr="000247A3" w:rsidRDefault="005F4B57" w:rsidP="000247A3">
      <w:pPr>
        <w:pStyle w:val="ListParagraph"/>
        <w:numPr>
          <w:ilvl w:val="0"/>
          <w:numId w:val="1"/>
        </w:numPr>
        <w:jc w:val="both"/>
        <w:rPr>
          <w:rFonts w:ascii="Times New Roman" w:hAnsi="Times New Roman" w:cs="Times New Roman"/>
          <w:sz w:val="24"/>
          <w:szCs w:val="24"/>
        </w:rPr>
      </w:pPr>
      <w:r w:rsidRPr="000247A3">
        <w:rPr>
          <w:rFonts w:ascii="Times New Roman" w:hAnsi="Times New Roman" w:cs="Times New Roman"/>
          <w:sz w:val="24"/>
          <w:szCs w:val="24"/>
        </w:rPr>
        <w:t xml:space="preserve"> </w:t>
      </w:r>
    </w:p>
    <w:p w:rsidR="005F4B57" w:rsidRPr="006C491A" w:rsidRDefault="005F4B57" w:rsidP="005F4B57">
      <w:pPr>
        <w:pStyle w:val="ListParagraph"/>
        <w:numPr>
          <w:ilvl w:val="0"/>
          <w:numId w:val="1"/>
        </w:numPr>
        <w:jc w:val="both"/>
        <w:rPr>
          <w:rFonts w:ascii="Times New Roman" w:hAnsi="Times New Roman" w:cs="Times New Roman"/>
          <w:sz w:val="24"/>
          <w:szCs w:val="24"/>
        </w:rPr>
      </w:pPr>
      <w:r w:rsidRPr="006C491A">
        <w:rPr>
          <w:rFonts w:ascii="Times New Roman" w:hAnsi="Times New Roman" w:cs="Times New Roman"/>
          <w:sz w:val="24"/>
          <w:szCs w:val="24"/>
        </w:rPr>
        <w:t>CIT v. Anand Theatrs 244 ITR SC (192)</w:t>
      </w:r>
    </w:p>
    <w:p w:rsidR="005F4B57" w:rsidRPr="006C491A" w:rsidRDefault="005F4B57" w:rsidP="005F4B57">
      <w:pPr>
        <w:pStyle w:val="FootnoteText"/>
        <w:numPr>
          <w:ilvl w:val="0"/>
          <w:numId w:val="1"/>
        </w:numPr>
        <w:jc w:val="both"/>
        <w:rPr>
          <w:rFonts w:ascii="Times New Roman" w:hAnsi="Times New Roman" w:cs="Times New Roman"/>
          <w:sz w:val="24"/>
          <w:szCs w:val="24"/>
        </w:rPr>
      </w:pPr>
      <w:r w:rsidRPr="006C491A">
        <w:rPr>
          <w:rFonts w:ascii="Times New Roman" w:hAnsi="Times New Roman" w:cs="Times New Roman"/>
          <w:sz w:val="24"/>
          <w:szCs w:val="24"/>
        </w:rPr>
        <w:t>Maharana Mills v. ITO36 ITR 350 (SC)</w:t>
      </w:r>
    </w:p>
    <w:p w:rsidR="005F4B57" w:rsidRPr="006C491A" w:rsidRDefault="005F4B57" w:rsidP="005F4B57">
      <w:pPr>
        <w:pStyle w:val="ListParagraph"/>
        <w:numPr>
          <w:ilvl w:val="0"/>
          <w:numId w:val="1"/>
        </w:numPr>
        <w:spacing w:line="360" w:lineRule="auto"/>
        <w:jc w:val="both"/>
        <w:rPr>
          <w:rFonts w:ascii="Times New Roman" w:hAnsi="Times New Roman" w:cs="Times New Roman"/>
          <w:b/>
          <w:sz w:val="24"/>
          <w:szCs w:val="24"/>
        </w:rPr>
      </w:pPr>
    </w:p>
    <w:p w:rsidR="00FF2773" w:rsidRPr="006C491A" w:rsidRDefault="00FF2773" w:rsidP="006C491A">
      <w:pPr>
        <w:pStyle w:val="Heading3"/>
        <w:rPr>
          <w:rFonts w:ascii="Times New Roman" w:hAnsi="Times New Roman" w:cs="Times New Roman"/>
        </w:rPr>
      </w:pPr>
      <w:r w:rsidRPr="006C491A">
        <w:rPr>
          <w:rFonts w:ascii="Times New Roman" w:hAnsi="Times New Roman" w:cs="Times New Roman"/>
        </w:rPr>
        <w:t>Statutes</w:t>
      </w:r>
    </w:p>
    <w:p w:rsidR="00FF2773" w:rsidRPr="006C491A" w:rsidRDefault="00FF2773"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Income Tax Act, 1961</w:t>
      </w:r>
    </w:p>
    <w:p w:rsidR="00FF2773" w:rsidRPr="006C491A" w:rsidRDefault="00FF2773" w:rsidP="005F4B57">
      <w:pPr>
        <w:spacing w:line="360" w:lineRule="auto"/>
        <w:jc w:val="both"/>
        <w:rPr>
          <w:rFonts w:ascii="Times New Roman" w:hAnsi="Times New Roman" w:cs="Times New Roman"/>
          <w:sz w:val="24"/>
          <w:szCs w:val="24"/>
        </w:rPr>
      </w:pPr>
      <w:r w:rsidRPr="006C491A">
        <w:rPr>
          <w:rFonts w:ascii="Times New Roman" w:hAnsi="Times New Roman" w:cs="Times New Roman"/>
          <w:sz w:val="24"/>
          <w:szCs w:val="24"/>
        </w:rPr>
        <w:t xml:space="preserve">- Direct Tax Code Bill. 2009 </w:t>
      </w:r>
    </w:p>
    <w:p w:rsidR="00FF2773" w:rsidRPr="006C491A" w:rsidRDefault="00FF2773"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FF2773" w:rsidRPr="006C491A" w:rsidRDefault="00FF2773"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FF2773" w:rsidRPr="006C491A" w:rsidRDefault="00FF2773"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FF2773" w:rsidRPr="006C491A" w:rsidRDefault="00FF2773" w:rsidP="005F4B57">
      <w:pPr>
        <w:autoSpaceDE w:val="0"/>
        <w:autoSpaceDN w:val="0"/>
        <w:adjustRightInd w:val="0"/>
        <w:spacing w:after="0" w:line="360" w:lineRule="auto"/>
        <w:jc w:val="both"/>
        <w:rPr>
          <w:rStyle w:val="apple-style-span"/>
          <w:rFonts w:ascii="Times New Roman" w:hAnsi="Times New Roman" w:cs="Times New Roman"/>
          <w:sz w:val="24"/>
          <w:szCs w:val="24"/>
          <w:shd w:val="clear" w:color="auto" w:fill="FFFFFF"/>
        </w:rPr>
      </w:pPr>
    </w:p>
    <w:p w:rsidR="00557F78" w:rsidRPr="006C491A" w:rsidRDefault="00557F78" w:rsidP="005F4B57">
      <w:pPr>
        <w:spacing w:line="360" w:lineRule="auto"/>
        <w:jc w:val="both"/>
        <w:rPr>
          <w:rFonts w:ascii="Times New Roman" w:hAnsi="Times New Roman" w:cs="Times New Roman"/>
          <w:sz w:val="24"/>
          <w:szCs w:val="24"/>
        </w:rPr>
      </w:pPr>
    </w:p>
    <w:sectPr w:rsidR="00557F78" w:rsidRPr="006C491A" w:rsidSect="00CB1496">
      <w:footerReference w:type="default" r:id="rId15"/>
      <w:pgSz w:w="12240" w:h="15840"/>
      <w:pgMar w:top="1440" w:right="1440" w:bottom="1440" w:left="1440" w:header="720" w:footer="720" w:gutter="0"/>
      <w:pgBorders w:offsetFrom="page">
        <w:top w:val="threeDEngrave" w:sz="6" w:space="24" w:color="auto"/>
        <w:left w:val="threeDEngrave" w:sz="6" w:space="24" w:color="auto"/>
        <w:bottom w:val="threeDEmboss" w:sz="6" w:space="24" w:color="auto"/>
        <w:right w:val="threeDEmboss" w:sz="6"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F14" w:rsidRDefault="00E86F14" w:rsidP="0036161C">
      <w:pPr>
        <w:spacing w:after="0" w:line="240" w:lineRule="auto"/>
      </w:pPr>
      <w:r>
        <w:separator/>
      </w:r>
    </w:p>
  </w:endnote>
  <w:endnote w:type="continuationSeparator" w:id="0">
    <w:p w:rsidR="00E86F14" w:rsidRDefault="00E86F14" w:rsidP="00361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496" w:rsidRDefault="00E9669B">
    <w:pPr>
      <w:pStyle w:val="Footer"/>
    </w:pPr>
    <w:r>
      <w:rPr>
        <w:noProof/>
        <w:lang w:eastAsia="zh-TW"/>
      </w:rPr>
      <w:pict>
        <v:group id="_x0000_s27649" style="position:absolute;margin-left:0;margin-top:0;width:580.05pt;height:27.35pt;z-index:251660288;mso-position-horizontal:center;mso-position-horizontal-relative:page;mso-position-vertical:top;mso-position-vertical-relative:line" coordorigin="321,14850" coordsize="11601,547">
          <v:rect id="_x0000_s27650" style="position:absolute;left:374;top:14903;width:9346;height:432;mso-position-horizontal-relative:page;mso-position-vertical:center;mso-position-vertical-relative:bottom-margin-area" o:allowincell="f" fillcolor="#8db3e2 [1311]" stroked="f" strokecolor="#943634 [2405]">
            <v:fill color2="#943634 [2405]"/>
            <v:textbox style="mso-next-textbox:#_x0000_s27650">
              <w:txbxContent>
                <w:sdt>
                  <w:sdtPr>
                    <w:rPr>
                      <w:rFonts w:ascii="Times New Roman" w:hAnsi="Times New Roman" w:cs="Times New Roman"/>
                      <w:b/>
                      <w:spacing w:val="60"/>
                    </w:rPr>
                    <w:alias w:val="Address"/>
                    <w:id w:val="228675882"/>
                    <w:dataBinding w:prefixMappings="xmlns:ns0='http://schemas.microsoft.com/office/2006/coverPageProps'" w:xpath="/ns0:CoverPageProperties[1]/ns0:CompanyAddress[1]" w:storeItemID="{55AF091B-3C7A-41E3-B477-F2FDAA23CFDA}"/>
                    <w:text w:multiLine="1"/>
                  </w:sdtPr>
                  <w:sdtContent>
                    <w:p w:rsidR="00CB1496" w:rsidRDefault="00CB1496">
                      <w:pPr>
                        <w:pStyle w:val="Footer"/>
                        <w:jc w:val="right"/>
                        <w:rPr>
                          <w:color w:val="FFFFFF" w:themeColor="background1"/>
                          <w:spacing w:val="60"/>
                        </w:rPr>
                      </w:pPr>
                      <w:r w:rsidRPr="00CB1496">
                        <w:rPr>
                          <w:rFonts w:ascii="Times New Roman" w:hAnsi="Times New Roman" w:cs="Times New Roman"/>
                          <w:b/>
                          <w:spacing w:val="60"/>
                        </w:rPr>
                        <w:t>Nani Palkhivala Research Paper writing competition</w:t>
                      </w:r>
                    </w:p>
                  </w:sdtContent>
                </w:sdt>
                <w:p w:rsidR="00CB1496" w:rsidRDefault="00CB1496">
                  <w:pPr>
                    <w:pStyle w:val="Header"/>
                    <w:rPr>
                      <w:color w:val="FFFFFF" w:themeColor="background1"/>
                    </w:rPr>
                  </w:pPr>
                </w:p>
              </w:txbxContent>
            </v:textbox>
          </v:rect>
          <v:rect id="_x0000_s27651" style="position:absolute;left:9763;top:14903;width:2102;height:432;mso-position-horizontal-relative:page;mso-position-vertical:center;mso-position-vertical-relative:bottom-margin-area" o:allowincell="f" fillcolor="#943634 [2405]" stroked="f">
            <v:fill color2="#943634 [2405]"/>
            <v:textbox style="mso-next-textbox:#_x0000_s27651">
              <w:txbxContent>
                <w:p w:rsidR="00CB1496" w:rsidRPr="00CB1496" w:rsidRDefault="00CB1496">
                  <w:pPr>
                    <w:pStyle w:val="Footer"/>
                    <w:rPr>
                      <w:rFonts w:ascii="Times New Roman" w:hAnsi="Times New Roman" w:cs="Times New Roman"/>
                      <w:b/>
                      <w:color w:val="FFFFFF" w:themeColor="background1"/>
                    </w:rPr>
                  </w:pPr>
                  <w:r w:rsidRPr="00CB1496">
                    <w:rPr>
                      <w:rFonts w:ascii="Times New Roman" w:hAnsi="Times New Roman" w:cs="Times New Roman"/>
                      <w:b/>
                      <w:color w:val="FFFFFF" w:themeColor="background1"/>
                    </w:rPr>
                    <w:t xml:space="preserve">Page </w:t>
                  </w:r>
                  <w:r w:rsidR="00E9669B" w:rsidRPr="00CB1496">
                    <w:rPr>
                      <w:rFonts w:ascii="Times New Roman" w:hAnsi="Times New Roman" w:cs="Times New Roman"/>
                      <w:b/>
                      <w:color w:val="FFFFFF" w:themeColor="background1"/>
                    </w:rPr>
                    <w:fldChar w:fldCharType="begin"/>
                  </w:r>
                  <w:r w:rsidRPr="00CB1496">
                    <w:rPr>
                      <w:rFonts w:ascii="Times New Roman" w:hAnsi="Times New Roman" w:cs="Times New Roman"/>
                      <w:b/>
                      <w:color w:val="FFFFFF" w:themeColor="background1"/>
                    </w:rPr>
                    <w:instrText xml:space="preserve"> PAGE   \* MERGEFORMAT </w:instrText>
                  </w:r>
                  <w:r w:rsidR="00E9669B" w:rsidRPr="00CB1496">
                    <w:rPr>
                      <w:rFonts w:ascii="Times New Roman" w:hAnsi="Times New Roman" w:cs="Times New Roman"/>
                      <w:b/>
                      <w:color w:val="FFFFFF" w:themeColor="background1"/>
                    </w:rPr>
                    <w:fldChar w:fldCharType="separate"/>
                  </w:r>
                  <w:r w:rsidR="00B36858">
                    <w:rPr>
                      <w:rFonts w:ascii="Times New Roman" w:hAnsi="Times New Roman" w:cs="Times New Roman"/>
                      <w:b/>
                      <w:noProof/>
                      <w:color w:val="FFFFFF" w:themeColor="background1"/>
                    </w:rPr>
                    <w:t>5</w:t>
                  </w:r>
                  <w:r w:rsidR="00E9669B" w:rsidRPr="00CB1496">
                    <w:rPr>
                      <w:rFonts w:ascii="Times New Roman" w:hAnsi="Times New Roman" w:cs="Times New Roman"/>
                      <w:b/>
                      <w:color w:val="FFFFFF" w:themeColor="background1"/>
                    </w:rPr>
                    <w:fldChar w:fldCharType="end"/>
                  </w:r>
                </w:p>
              </w:txbxContent>
            </v:textbox>
          </v:rect>
          <v:rect id="_x0000_s2765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F14" w:rsidRDefault="00E86F14" w:rsidP="0036161C">
      <w:pPr>
        <w:spacing w:after="0" w:line="240" w:lineRule="auto"/>
      </w:pPr>
      <w:r>
        <w:separator/>
      </w:r>
    </w:p>
  </w:footnote>
  <w:footnote w:type="continuationSeparator" w:id="0">
    <w:p w:rsidR="00E86F14" w:rsidRDefault="00E86F14" w:rsidP="0036161C">
      <w:pPr>
        <w:spacing w:after="0" w:line="240" w:lineRule="auto"/>
      </w:pPr>
      <w:r>
        <w:continuationSeparator/>
      </w:r>
    </w:p>
  </w:footnote>
  <w:footnote w:id="1">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Corpus Juris Secundum (1961) Vol 84, 30,</w:t>
      </w:r>
      <w:r w:rsidRPr="00E439D1">
        <w:rPr>
          <w:rFonts w:ascii="Times New Roman" w:hAnsi="Times New Roman" w:cs="Times New Roman"/>
          <w:color w:val="000000"/>
          <w:sz w:val="18"/>
          <w:szCs w:val="18"/>
        </w:rPr>
        <w:t xml:space="preserve"> </w:t>
      </w:r>
      <w:r w:rsidRPr="00E439D1">
        <w:rPr>
          <w:rStyle w:val="apple-style-span"/>
          <w:rFonts w:ascii="Times New Roman" w:hAnsi="Times New Roman" w:cs="Times New Roman"/>
          <w:color w:val="000000"/>
          <w:sz w:val="18"/>
          <w:szCs w:val="18"/>
        </w:rPr>
        <w:t>West Publishing Company</w:t>
      </w:r>
      <w:r w:rsidRPr="00E439D1">
        <w:rPr>
          <w:rStyle w:val="apple-converted-space"/>
          <w:rFonts w:ascii="Times New Roman" w:hAnsi="Times New Roman" w:cs="Times New Roman"/>
          <w:color w:val="000000"/>
          <w:sz w:val="18"/>
          <w:szCs w:val="18"/>
        </w:rPr>
        <w:t> </w:t>
      </w:r>
    </w:p>
  </w:footnote>
  <w:footnote w:id="2">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Salomon v Salomon &amp; Co [ 1897] AC 22</w:t>
      </w:r>
    </w:p>
    <w:p w:rsidR="0035379D" w:rsidRPr="00E439D1" w:rsidRDefault="0035379D" w:rsidP="00E439D1">
      <w:pPr>
        <w:pStyle w:val="FootnoteText"/>
        <w:jc w:val="both"/>
        <w:rPr>
          <w:rFonts w:ascii="Times New Roman" w:hAnsi="Times New Roman" w:cs="Times New Roman"/>
          <w:sz w:val="18"/>
          <w:szCs w:val="18"/>
        </w:rPr>
      </w:pPr>
    </w:p>
  </w:footnote>
  <w:footnote w:id="3">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(1964) 111 CLR 443</w:t>
      </w:r>
    </w:p>
    <w:p w:rsidR="0035379D" w:rsidRPr="00E439D1" w:rsidRDefault="0035379D" w:rsidP="00E439D1">
      <w:pPr>
        <w:pStyle w:val="FootnoteText"/>
        <w:jc w:val="both"/>
        <w:rPr>
          <w:rFonts w:ascii="Times New Roman" w:hAnsi="Times New Roman" w:cs="Times New Roman"/>
          <w:sz w:val="18"/>
          <w:szCs w:val="18"/>
        </w:rPr>
      </w:pPr>
    </w:p>
  </w:footnote>
  <w:footnote w:id="4">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Ibid. 478.</w:t>
      </w:r>
    </w:p>
    <w:p w:rsidR="0035379D" w:rsidRPr="00E439D1" w:rsidRDefault="0035379D" w:rsidP="00E439D1">
      <w:pPr>
        <w:pStyle w:val="FootnoteText"/>
        <w:jc w:val="both"/>
        <w:rPr>
          <w:rFonts w:ascii="Times New Roman" w:hAnsi="Times New Roman" w:cs="Times New Roman"/>
          <w:sz w:val="18"/>
          <w:szCs w:val="18"/>
        </w:rPr>
      </w:pPr>
    </w:p>
  </w:footnote>
  <w:footnote w:id="5">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Oxford English Dictionary, Ninth Edition, Oxford university Press</w:t>
      </w:r>
    </w:p>
    <w:p w:rsidR="0035379D" w:rsidRPr="00E439D1" w:rsidRDefault="0035379D" w:rsidP="00E439D1">
      <w:pPr>
        <w:pStyle w:val="FootnoteText"/>
        <w:jc w:val="both"/>
        <w:rPr>
          <w:rFonts w:ascii="Times New Roman" w:hAnsi="Times New Roman" w:cs="Times New Roman"/>
          <w:sz w:val="18"/>
          <w:szCs w:val="18"/>
        </w:rPr>
      </w:pPr>
    </w:p>
  </w:footnote>
  <w:footnote w:id="6">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Palmer’s Company Law, Vol 1, 22</w:t>
      </w:r>
      <w:r w:rsidRPr="00E439D1">
        <w:rPr>
          <w:rFonts w:ascii="Times New Roman" w:hAnsi="Times New Roman" w:cs="Times New Roman"/>
          <w:sz w:val="18"/>
          <w:szCs w:val="18"/>
          <w:vertAlign w:val="superscript"/>
        </w:rPr>
        <w:t>nd</w:t>
      </w:r>
      <w:r w:rsidRPr="00E439D1">
        <w:rPr>
          <w:rFonts w:ascii="Times New Roman" w:hAnsi="Times New Roman" w:cs="Times New Roman"/>
          <w:sz w:val="18"/>
          <w:szCs w:val="18"/>
        </w:rPr>
        <w:t xml:space="preserve"> edition, pg 160- 162</w:t>
      </w:r>
    </w:p>
    <w:p w:rsidR="0035379D" w:rsidRPr="00E439D1" w:rsidRDefault="0035379D" w:rsidP="00E439D1">
      <w:pPr>
        <w:pStyle w:val="FootnoteText"/>
        <w:jc w:val="both"/>
        <w:rPr>
          <w:rFonts w:ascii="Times New Roman" w:hAnsi="Times New Roman" w:cs="Times New Roman"/>
          <w:sz w:val="18"/>
          <w:szCs w:val="18"/>
        </w:rPr>
      </w:pPr>
    </w:p>
  </w:footnote>
  <w:footnote w:id="7">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CIT Madras v. Meenakshi Mills Ltd. (1967) 63 ITR 609 (SC),  Workmen Employed in Assn. Rubber Industry Ltd. Bhavnagar v. Associated Rubber Industry Ltd. AIR 1986 SC 1, Kapila Hingorani v. State of Bihar (2003) 116 CompCas 133 (SC)</w:t>
      </w:r>
    </w:p>
  </w:footnote>
  <w:footnote w:id="8">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(1962) W.L.R. 832</w:t>
      </w:r>
    </w:p>
    <w:p w:rsidR="0035379D" w:rsidRPr="00E439D1" w:rsidRDefault="0035379D" w:rsidP="00E439D1">
      <w:pPr>
        <w:pStyle w:val="FootnoteText"/>
        <w:jc w:val="both"/>
        <w:rPr>
          <w:rFonts w:ascii="Times New Roman" w:hAnsi="Times New Roman" w:cs="Times New Roman"/>
          <w:sz w:val="18"/>
          <w:szCs w:val="18"/>
        </w:rPr>
      </w:pPr>
    </w:p>
  </w:footnote>
  <w:footnote w:id="9">
    <w:p w:rsidR="0035379D" w:rsidRPr="00E439D1" w:rsidRDefault="0035379D" w:rsidP="00E439D1">
      <w:pPr>
        <w:pStyle w:val="FootnoteText"/>
        <w:jc w:val="both"/>
        <w:rPr>
          <w:rStyle w:val="apple-style-span"/>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Pr="00E439D1">
        <w:rPr>
          <w:rStyle w:val="apple-style-span"/>
          <w:rFonts w:ascii="Times New Roman" w:hAnsi="Times New Roman" w:cs="Times New Roman"/>
          <w:sz w:val="18"/>
          <w:szCs w:val="18"/>
        </w:rPr>
        <w:t>Words and Phrases, Volume 32A, (West Publishing Company - third reprint 1989 p.84)</w:t>
      </w:r>
    </w:p>
    <w:p w:rsidR="0035379D" w:rsidRPr="00E439D1" w:rsidRDefault="0035379D" w:rsidP="00E439D1">
      <w:pPr>
        <w:pStyle w:val="FootnoteText"/>
        <w:jc w:val="both"/>
        <w:rPr>
          <w:rFonts w:ascii="Times New Roman" w:hAnsi="Times New Roman" w:cs="Times New Roman"/>
          <w:sz w:val="18"/>
          <w:szCs w:val="18"/>
        </w:rPr>
      </w:pPr>
    </w:p>
  </w:footnote>
  <w:footnote w:id="10">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Pr="00E439D1">
        <w:rPr>
          <w:rStyle w:val="apple-style-span"/>
          <w:rFonts w:ascii="Times New Roman" w:hAnsi="Times New Roman" w:cs="Times New Roman"/>
          <w:iCs/>
          <w:sz w:val="18"/>
          <w:szCs w:val="18"/>
        </w:rPr>
        <w:t xml:space="preserve">Mrs. Prem Lata Bhatia vs Union Of India (UOI) And Ors, </w:t>
      </w:r>
      <w:r w:rsidRPr="00E439D1">
        <w:rPr>
          <w:rFonts w:ascii="Times New Roman" w:hAnsi="Times New Roman" w:cs="Times New Roman"/>
          <w:sz w:val="18"/>
          <w:szCs w:val="18"/>
        </w:rPr>
        <w:t>2006 134 CompCas 92 Delhi</w:t>
      </w:r>
    </w:p>
    <w:p w:rsidR="0035379D" w:rsidRPr="00E439D1" w:rsidRDefault="0035379D" w:rsidP="00E439D1">
      <w:pPr>
        <w:pStyle w:val="FootnoteText"/>
        <w:jc w:val="both"/>
        <w:rPr>
          <w:rFonts w:ascii="Times New Roman" w:hAnsi="Times New Roman" w:cs="Times New Roman"/>
          <w:sz w:val="18"/>
          <w:szCs w:val="18"/>
        </w:rPr>
      </w:pPr>
    </w:p>
  </w:footnote>
  <w:footnote w:id="11">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Supra note. 6</w:t>
      </w:r>
    </w:p>
    <w:p w:rsidR="0035379D" w:rsidRPr="00E439D1" w:rsidRDefault="0035379D" w:rsidP="00E439D1">
      <w:pPr>
        <w:pStyle w:val="FootnoteText"/>
        <w:jc w:val="both"/>
        <w:rPr>
          <w:rFonts w:ascii="Times New Roman" w:hAnsi="Times New Roman" w:cs="Times New Roman"/>
          <w:sz w:val="18"/>
          <w:szCs w:val="18"/>
        </w:rPr>
      </w:pPr>
    </w:p>
  </w:footnote>
  <w:footnote w:id="12">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Pr="00E439D1">
        <w:rPr>
          <w:rStyle w:val="apple-style-span"/>
          <w:rFonts w:ascii="Times New Roman" w:hAnsi="Times New Roman" w:cs="Times New Roman"/>
          <w:bCs/>
          <w:color w:val="000000"/>
          <w:sz w:val="18"/>
          <w:szCs w:val="18"/>
        </w:rPr>
        <w:t>AIR 1969 SC 932</w:t>
      </w:r>
    </w:p>
  </w:footnote>
  <w:footnote w:id="13">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Supra note. 6</w:t>
      </w:r>
    </w:p>
    <w:p w:rsidR="0035379D" w:rsidRPr="00E439D1" w:rsidRDefault="0035379D" w:rsidP="00E439D1">
      <w:pPr>
        <w:pStyle w:val="FootnoteText"/>
        <w:jc w:val="both"/>
        <w:rPr>
          <w:rFonts w:ascii="Times New Roman" w:hAnsi="Times New Roman" w:cs="Times New Roman"/>
          <w:sz w:val="18"/>
          <w:szCs w:val="18"/>
        </w:rPr>
      </w:pPr>
    </w:p>
  </w:footnote>
  <w:footnote w:id="14">
    <w:p w:rsidR="0035379D" w:rsidRPr="00E439D1" w:rsidRDefault="0035379D" w:rsidP="00E439D1">
      <w:pPr>
        <w:pStyle w:val="FootnoteText"/>
        <w:jc w:val="both"/>
        <w:rPr>
          <w:rFonts w:ascii="Times New Roman" w:eastAsia="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Pr="00E439D1">
        <w:rPr>
          <w:rFonts w:ascii="Times New Roman" w:eastAsia="Times New Roman" w:hAnsi="Times New Roman" w:cs="Times New Roman"/>
          <w:sz w:val="18"/>
          <w:szCs w:val="18"/>
        </w:rPr>
        <w:t>AIR 1967 SC 819</w:t>
      </w:r>
    </w:p>
    <w:p w:rsidR="0035379D" w:rsidRPr="00E439D1" w:rsidRDefault="0035379D" w:rsidP="00E439D1">
      <w:pPr>
        <w:pStyle w:val="FootnoteText"/>
        <w:jc w:val="both"/>
        <w:rPr>
          <w:rFonts w:ascii="Times New Roman" w:hAnsi="Times New Roman" w:cs="Times New Roman"/>
          <w:sz w:val="18"/>
          <w:szCs w:val="18"/>
        </w:rPr>
      </w:pPr>
    </w:p>
  </w:footnote>
  <w:footnote w:id="15">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Pr="00E439D1">
        <w:rPr>
          <w:rFonts w:ascii="Times New Roman" w:eastAsia="Times New Roman" w:hAnsi="Times New Roman" w:cs="Times New Roman"/>
          <w:sz w:val="18"/>
          <w:szCs w:val="18"/>
        </w:rPr>
        <w:t>259.8 KiB, 667 DLs</w:t>
      </w:r>
    </w:p>
  </w:footnote>
  <w:footnote w:id="16">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Tax: Planning and Complaince in India; CCH INDIA, Wolters Kluwer (India) Pvt.Ltd, 2009, Pg 349.</w:t>
      </w:r>
    </w:p>
  </w:footnote>
  <w:footnote w:id="17">
    <w:p w:rsid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Supra 1</w:t>
      </w:r>
      <w:r w:rsidR="00CE50BE">
        <w:rPr>
          <w:rFonts w:ascii="Times New Roman" w:hAnsi="Times New Roman" w:cs="Times New Roman"/>
          <w:sz w:val="18"/>
          <w:szCs w:val="18"/>
        </w:rPr>
        <w:t>6</w:t>
      </w:r>
      <w:r w:rsidRPr="00E439D1">
        <w:rPr>
          <w:rFonts w:ascii="Times New Roman" w:hAnsi="Times New Roman" w:cs="Times New Roman"/>
          <w:sz w:val="18"/>
          <w:szCs w:val="18"/>
        </w:rPr>
        <w:t>, Pg 422</w:t>
      </w:r>
    </w:p>
    <w:p w:rsidR="00E439D1" w:rsidRPr="00E439D1" w:rsidRDefault="00E439D1" w:rsidP="00E439D1">
      <w:pPr>
        <w:pStyle w:val="FootnoteText"/>
        <w:jc w:val="both"/>
        <w:rPr>
          <w:rFonts w:ascii="Times New Roman" w:hAnsi="Times New Roman" w:cs="Times New Roman"/>
          <w:sz w:val="18"/>
          <w:szCs w:val="18"/>
        </w:rPr>
      </w:pPr>
    </w:p>
  </w:footnote>
  <w:footnote w:id="18">
    <w:p w:rsidR="00E439D1" w:rsidRDefault="00E439D1" w:rsidP="00E439D1">
      <w:pPr>
        <w:pStyle w:val="FootnoteText"/>
        <w:jc w:val="both"/>
        <w:rPr>
          <w:rStyle w:val="HTMLCite"/>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Pr="00E439D1">
        <w:rPr>
          <w:rStyle w:val="HTMLCite"/>
          <w:rFonts w:ascii="Times New Roman" w:hAnsi="Times New Roman" w:cs="Times New Roman"/>
          <w:sz w:val="18"/>
          <w:szCs w:val="18"/>
        </w:rPr>
        <w:t>Surendra Munjal</w:t>
      </w:r>
      <w:r>
        <w:rPr>
          <w:rStyle w:val="HTMLCite"/>
          <w:rFonts w:ascii="Times New Roman" w:hAnsi="Times New Roman" w:cs="Times New Roman"/>
          <w:sz w:val="18"/>
          <w:szCs w:val="18"/>
        </w:rPr>
        <w:t xml:space="preserve"> </w:t>
      </w:r>
      <w:r w:rsidRPr="00E439D1">
        <w:rPr>
          <w:rStyle w:val="HTMLCite"/>
          <w:rFonts w:ascii="Times New Roman" w:hAnsi="Times New Roman" w:cs="Times New Roman"/>
          <w:sz w:val="18"/>
          <w:szCs w:val="18"/>
        </w:rPr>
        <w:t xml:space="preserve"> </w:t>
      </w:r>
      <w:r>
        <w:rPr>
          <w:rStyle w:val="HTMLCite"/>
          <w:rFonts w:ascii="Times New Roman" w:hAnsi="Times New Roman" w:cs="Times New Roman"/>
          <w:sz w:val="18"/>
          <w:szCs w:val="18"/>
        </w:rPr>
        <w:t>&lt;</w:t>
      </w:r>
      <w:hyperlink r:id="rId1" w:history="1">
        <w:r w:rsidRPr="00E439D1">
          <w:rPr>
            <w:rStyle w:val="Hyperlink"/>
            <w:rFonts w:ascii="Times New Roman" w:hAnsi="Times New Roman" w:cs="Times New Roman"/>
            <w:color w:val="auto"/>
            <w:sz w:val="18"/>
            <w:szCs w:val="18"/>
            <w:u w:val="none"/>
          </w:rPr>
          <w:t>www.du.ac.in/fileadmin/DU/Academics/course_material/TM_09.pdf</w:t>
        </w:r>
      </w:hyperlink>
      <w:r>
        <w:rPr>
          <w:rStyle w:val="HTMLCite"/>
          <w:rFonts w:ascii="Times New Roman" w:hAnsi="Times New Roman" w:cs="Times New Roman"/>
          <w:sz w:val="18"/>
          <w:szCs w:val="18"/>
        </w:rPr>
        <w:t xml:space="preserve">&gt;(accessed on </w:t>
      </w:r>
      <w:r w:rsidR="002B315B">
        <w:rPr>
          <w:rStyle w:val="HTMLCite"/>
          <w:rFonts w:ascii="Times New Roman" w:hAnsi="Times New Roman" w:cs="Times New Roman"/>
          <w:sz w:val="18"/>
          <w:szCs w:val="18"/>
        </w:rPr>
        <w:t>22 Aug, 2011)</w:t>
      </w:r>
    </w:p>
    <w:p w:rsidR="00E439D1" w:rsidRPr="00E439D1" w:rsidRDefault="00E439D1" w:rsidP="00E439D1">
      <w:pPr>
        <w:pStyle w:val="FootnoteText"/>
        <w:jc w:val="both"/>
        <w:rPr>
          <w:rFonts w:ascii="Times New Roman" w:hAnsi="Times New Roman" w:cs="Times New Roman"/>
          <w:sz w:val="18"/>
          <w:szCs w:val="18"/>
        </w:rPr>
      </w:pPr>
    </w:p>
  </w:footnote>
  <w:footnote w:id="19">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(2007) 111 I</w:t>
      </w:r>
      <w:r w:rsidR="002B315B">
        <w:rPr>
          <w:rFonts w:ascii="Times New Roman" w:hAnsi="Times New Roman" w:cs="Times New Roman"/>
          <w:sz w:val="18"/>
          <w:szCs w:val="18"/>
        </w:rPr>
        <w:t>TJ (M</w:t>
      </w:r>
      <w:r w:rsidRPr="00E439D1">
        <w:rPr>
          <w:rFonts w:ascii="Times New Roman" w:hAnsi="Times New Roman" w:cs="Times New Roman"/>
          <w:sz w:val="18"/>
          <w:szCs w:val="18"/>
        </w:rPr>
        <w:t>umbai)</w:t>
      </w:r>
      <w:r w:rsidR="002B315B">
        <w:rPr>
          <w:rFonts w:ascii="Times New Roman" w:hAnsi="Times New Roman" w:cs="Times New Roman"/>
          <w:sz w:val="18"/>
          <w:szCs w:val="18"/>
        </w:rPr>
        <w:t xml:space="preserve"> </w:t>
      </w:r>
      <w:r w:rsidRPr="00E439D1">
        <w:rPr>
          <w:rFonts w:ascii="Times New Roman" w:hAnsi="Times New Roman" w:cs="Times New Roman"/>
          <w:sz w:val="18"/>
          <w:szCs w:val="18"/>
        </w:rPr>
        <w:t xml:space="preserve">1005 </w:t>
      </w:r>
    </w:p>
  </w:footnote>
  <w:footnote w:id="20">
    <w:p w:rsid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Kanga, Palkhivala and Vyas: The Law &amp; Practice of Income Tax; Vol. I, Ninth Edn, LexisNexis, Butterworths, Wadhwa Nagpur, 2008, Pg 646</w:t>
      </w:r>
    </w:p>
    <w:p w:rsidR="002B315B" w:rsidRPr="00E439D1" w:rsidRDefault="002B315B" w:rsidP="00E439D1">
      <w:pPr>
        <w:pStyle w:val="FootnoteText"/>
        <w:jc w:val="both"/>
        <w:rPr>
          <w:rFonts w:ascii="Times New Roman" w:hAnsi="Times New Roman" w:cs="Times New Roman"/>
          <w:sz w:val="18"/>
          <w:szCs w:val="18"/>
        </w:rPr>
      </w:pPr>
    </w:p>
  </w:footnote>
  <w:footnote w:id="21">
    <w:p w:rsid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47 TC 633 (HL)</w:t>
      </w:r>
    </w:p>
    <w:p w:rsidR="002B315B" w:rsidRPr="00E439D1" w:rsidRDefault="002B315B" w:rsidP="00E439D1">
      <w:pPr>
        <w:pStyle w:val="FootnoteText"/>
        <w:jc w:val="both"/>
        <w:rPr>
          <w:rFonts w:ascii="Times New Roman" w:hAnsi="Times New Roman" w:cs="Times New Roman"/>
          <w:sz w:val="18"/>
          <w:szCs w:val="18"/>
        </w:rPr>
      </w:pPr>
    </w:p>
  </w:footnote>
  <w:footnote w:id="22">
    <w:p w:rsid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002B315B">
        <w:rPr>
          <w:rFonts w:ascii="Times New Roman" w:hAnsi="Times New Roman" w:cs="Times New Roman"/>
          <w:sz w:val="18"/>
          <w:szCs w:val="18"/>
        </w:rPr>
        <w:t>Supra note 20</w:t>
      </w:r>
      <w:r w:rsidRPr="00E439D1">
        <w:rPr>
          <w:rFonts w:ascii="Times New Roman" w:hAnsi="Times New Roman" w:cs="Times New Roman"/>
          <w:sz w:val="18"/>
          <w:szCs w:val="18"/>
        </w:rPr>
        <w:t>, Pg 649</w:t>
      </w:r>
    </w:p>
    <w:p w:rsidR="002B315B" w:rsidRPr="00E439D1" w:rsidRDefault="002B315B" w:rsidP="00E439D1">
      <w:pPr>
        <w:pStyle w:val="FootnoteText"/>
        <w:jc w:val="both"/>
        <w:rPr>
          <w:rFonts w:ascii="Times New Roman" w:hAnsi="Times New Roman" w:cs="Times New Roman"/>
          <w:sz w:val="18"/>
          <w:szCs w:val="18"/>
        </w:rPr>
      </w:pPr>
    </w:p>
  </w:footnote>
  <w:footnote w:id="23">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ITR 38/1995</w:t>
      </w:r>
    </w:p>
  </w:footnote>
  <w:footnote w:id="24">
    <w:p w:rsid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244 ITR SC (192)</w:t>
      </w:r>
    </w:p>
    <w:p w:rsidR="002B315B" w:rsidRPr="00E439D1" w:rsidRDefault="002B315B" w:rsidP="00E439D1">
      <w:pPr>
        <w:pStyle w:val="FootnoteText"/>
        <w:jc w:val="both"/>
        <w:rPr>
          <w:rFonts w:ascii="Times New Roman" w:hAnsi="Times New Roman" w:cs="Times New Roman"/>
          <w:sz w:val="18"/>
          <w:szCs w:val="18"/>
        </w:rPr>
      </w:pPr>
    </w:p>
  </w:footnote>
  <w:footnote w:id="25">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Income Tax Act 1961: Employee Stock option Plan as Guided by Central Government</w:t>
      </w:r>
    </w:p>
  </w:footnote>
  <w:footnote w:id="26">
    <w:p w:rsid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002B315B">
        <w:rPr>
          <w:rFonts w:ascii="Times New Roman" w:hAnsi="Times New Roman" w:cs="Times New Roman"/>
          <w:sz w:val="18"/>
          <w:szCs w:val="18"/>
        </w:rPr>
        <w:t xml:space="preserve"> Supra note 20</w:t>
      </w:r>
      <w:r w:rsidRPr="00E439D1">
        <w:rPr>
          <w:rFonts w:ascii="Times New Roman" w:hAnsi="Times New Roman" w:cs="Times New Roman"/>
          <w:sz w:val="18"/>
          <w:szCs w:val="18"/>
        </w:rPr>
        <w:t>, Pg 726</w:t>
      </w:r>
    </w:p>
    <w:p w:rsidR="002B315B" w:rsidRPr="00E439D1" w:rsidRDefault="002B315B" w:rsidP="00E439D1">
      <w:pPr>
        <w:pStyle w:val="FootnoteText"/>
        <w:jc w:val="both"/>
        <w:rPr>
          <w:rFonts w:ascii="Times New Roman" w:hAnsi="Times New Roman" w:cs="Times New Roman"/>
          <w:sz w:val="18"/>
          <w:szCs w:val="18"/>
        </w:rPr>
      </w:pPr>
    </w:p>
  </w:footnote>
  <w:footnote w:id="27">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36 ITR 350 (SC)</w:t>
      </w:r>
    </w:p>
  </w:footnote>
  <w:footnote w:id="28">
    <w:p w:rsid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002B315B" w:rsidRPr="00E439D1">
        <w:rPr>
          <w:rFonts w:ascii="Times New Roman" w:hAnsi="Times New Roman" w:cs="Times New Roman"/>
          <w:sz w:val="18"/>
          <w:szCs w:val="18"/>
        </w:rPr>
        <w:t>JAMES P F GORDON</w:t>
      </w:r>
      <w:r w:rsidR="002B315B">
        <w:rPr>
          <w:rFonts w:ascii="Times New Roman" w:hAnsi="Times New Roman" w:cs="Times New Roman"/>
          <w:sz w:val="18"/>
          <w:szCs w:val="18"/>
        </w:rPr>
        <w:t xml:space="preserve">, “Evading Taxes by Selling in Cash” </w:t>
      </w:r>
      <w:r w:rsidR="002B315B" w:rsidRPr="00E439D1">
        <w:rPr>
          <w:rFonts w:ascii="Times New Roman" w:hAnsi="Times New Roman" w:cs="Times New Roman"/>
          <w:sz w:val="18"/>
          <w:szCs w:val="18"/>
        </w:rPr>
        <w:t xml:space="preserve"> </w:t>
      </w:r>
      <w:r w:rsidRPr="00E439D1">
        <w:rPr>
          <w:rFonts w:ascii="Times New Roman" w:hAnsi="Times New Roman" w:cs="Times New Roman"/>
          <w:sz w:val="18"/>
          <w:szCs w:val="18"/>
        </w:rPr>
        <w:t xml:space="preserve">Oxford Economic Papers 42 (1990), 244-245 by at </w:t>
      </w:r>
      <w:r w:rsidR="002B315B">
        <w:rPr>
          <w:rFonts w:ascii="Times New Roman" w:hAnsi="Times New Roman" w:cs="Times New Roman"/>
          <w:sz w:val="18"/>
          <w:szCs w:val="18"/>
        </w:rPr>
        <w:t>&lt;</w:t>
      </w:r>
      <w:hyperlink r:id="rId2" w:history="1">
        <w:r w:rsidRPr="00E439D1">
          <w:rPr>
            <w:rStyle w:val="Hyperlink"/>
            <w:rFonts w:ascii="Times New Roman" w:hAnsi="Times New Roman" w:cs="Times New Roman"/>
            <w:sz w:val="18"/>
            <w:szCs w:val="18"/>
          </w:rPr>
          <w:t>http://www.jstor.org/pss/2663357</w:t>
        </w:r>
      </w:hyperlink>
      <w:r w:rsidR="002B315B">
        <w:rPr>
          <w:rFonts w:ascii="Times New Roman" w:hAnsi="Times New Roman" w:cs="Times New Roman"/>
          <w:sz w:val="18"/>
          <w:szCs w:val="18"/>
        </w:rPr>
        <w:t>&gt; ( accessed 22 Aug, 2011)</w:t>
      </w:r>
    </w:p>
    <w:p w:rsidR="002B315B" w:rsidRPr="00E439D1" w:rsidRDefault="002B315B" w:rsidP="00E439D1">
      <w:pPr>
        <w:pStyle w:val="FootnoteText"/>
        <w:jc w:val="both"/>
        <w:rPr>
          <w:rFonts w:ascii="Times New Roman" w:hAnsi="Times New Roman" w:cs="Times New Roman"/>
          <w:sz w:val="18"/>
          <w:szCs w:val="18"/>
        </w:rPr>
      </w:pPr>
    </w:p>
  </w:footnote>
  <w:footnote w:id="29">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Revised Discussion Paper on Direct Tax Code, July 2010, ( Chapter XiV, 69)</w:t>
      </w:r>
    </w:p>
    <w:p w:rsidR="0035379D" w:rsidRPr="00E439D1" w:rsidRDefault="0035379D" w:rsidP="00E439D1">
      <w:pPr>
        <w:pStyle w:val="FootnoteText"/>
        <w:jc w:val="both"/>
        <w:rPr>
          <w:rFonts w:ascii="Times New Roman" w:hAnsi="Times New Roman" w:cs="Times New Roman"/>
          <w:sz w:val="18"/>
          <w:szCs w:val="18"/>
        </w:rPr>
      </w:pPr>
    </w:p>
  </w:footnote>
  <w:footnote w:id="30">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Section 90 of the Income Tax explains that the Indian government may enter into a treat with a foreign counter part in order to avoid the issue of double tax for the tax payer</w:t>
      </w:r>
    </w:p>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p>
  </w:footnote>
  <w:footnote w:id="31">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Section 91 explains that where a resident proves that he has paid tax in a foreign country with which India does not have an agreement, in such a case the concerned person is eligible for deduction from Income Tax payable by him</w:t>
      </w:r>
    </w:p>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r w:rsidRPr="00E439D1">
        <w:rPr>
          <w:rFonts w:ascii="Times New Roman" w:hAnsi="Times New Roman" w:cs="Times New Roman"/>
          <w:sz w:val="18"/>
          <w:szCs w:val="18"/>
        </w:rPr>
        <w:t>.</w:t>
      </w:r>
    </w:p>
  </w:footnote>
  <w:footnote w:id="32">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Sub Section (2) of Section 90 of the Income Tax Act, 1961 lays down where the Central Government has entered into an agreement with the Government of any country outside India under sub</w:t>
      </w:r>
      <w:r w:rsidRPr="00E439D1">
        <w:rPr>
          <w:rFonts w:ascii="Candara" w:hAnsi="Candara" w:cs="Times New Roman"/>
          <w:sz w:val="18"/>
          <w:szCs w:val="18"/>
        </w:rPr>
        <w:t>‐</w:t>
      </w:r>
      <w:r w:rsidRPr="00E439D1">
        <w:rPr>
          <w:rFonts w:ascii="Times New Roman" w:hAnsi="Times New Roman" w:cs="Times New Roman"/>
          <w:sz w:val="18"/>
          <w:szCs w:val="18"/>
        </w:rPr>
        <w:t>section (1) for granting relief of tax, or as the case may be, avoidance of double taxation, then, in relation to the assesses to whom such agreement applies, the provisions of this Act shall apply to the extent they are more beneficial to that assesses</w:t>
      </w:r>
    </w:p>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p>
  </w:footnote>
  <w:footnote w:id="33">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IRC v Duke of  Westminister, [1935] All ER 259 (H.L.)</w:t>
      </w:r>
    </w:p>
    <w:p w:rsidR="0035379D" w:rsidRPr="00E439D1" w:rsidRDefault="0035379D" w:rsidP="00E439D1">
      <w:pPr>
        <w:pStyle w:val="FootnoteText"/>
        <w:jc w:val="both"/>
        <w:rPr>
          <w:rFonts w:ascii="Times New Roman" w:hAnsi="Times New Roman" w:cs="Times New Roman"/>
          <w:sz w:val="18"/>
          <w:szCs w:val="18"/>
        </w:rPr>
      </w:pPr>
    </w:p>
  </w:footnote>
  <w:footnote w:id="34">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Discussion Paper on Direct Taxes Code, August 2009, Chapter XXIV, A-75</w:t>
      </w:r>
    </w:p>
  </w:footnote>
  <w:footnote w:id="35">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The latest version of the OECD model tax convention was finalised in 2008. Further draft amendments, released in 2010, are under public discussion. Another influential tax treaty, especially as regards Indian taxes, is the UN Model Tax Convention, which modifies the OECD Convention to make it more suitable for developing countries, the 2009 draft being the latest.</w:t>
      </w:r>
    </w:p>
    <w:p w:rsidR="0035379D" w:rsidRPr="00E439D1" w:rsidRDefault="0035379D" w:rsidP="00E439D1">
      <w:pPr>
        <w:pStyle w:val="FootnoteText"/>
        <w:jc w:val="both"/>
        <w:rPr>
          <w:rFonts w:ascii="Times New Roman" w:hAnsi="Times New Roman" w:cs="Times New Roman"/>
          <w:sz w:val="18"/>
          <w:szCs w:val="18"/>
        </w:rPr>
      </w:pPr>
    </w:p>
  </w:footnote>
  <w:footnote w:id="36">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K.R.Girish and Himanshu Patel, KPMG, “Deals: India wants more taxes from cross-border M&amp;A”, February 19,</w:t>
      </w:r>
    </w:p>
    <w:p w:rsidR="0035379D" w:rsidRPr="00E439D1" w:rsidRDefault="0035379D" w:rsidP="00E439D1">
      <w:pPr>
        <w:pStyle w:val="FootnoteText"/>
        <w:jc w:val="both"/>
        <w:rPr>
          <w:rFonts w:ascii="Times New Roman" w:hAnsi="Times New Roman" w:cs="Times New Roman"/>
          <w:sz w:val="18"/>
          <w:szCs w:val="18"/>
        </w:rPr>
      </w:pPr>
      <w:r w:rsidRPr="00E439D1">
        <w:rPr>
          <w:rFonts w:ascii="Times New Roman" w:hAnsi="Times New Roman" w:cs="Times New Roman"/>
          <w:sz w:val="18"/>
          <w:szCs w:val="18"/>
        </w:rPr>
        <w:t>2008, International Tax Review</w:t>
      </w:r>
    </w:p>
    <w:p w:rsidR="0035379D" w:rsidRPr="00E439D1" w:rsidRDefault="0035379D" w:rsidP="00E439D1">
      <w:pPr>
        <w:pStyle w:val="FootnoteText"/>
        <w:jc w:val="both"/>
        <w:rPr>
          <w:rFonts w:ascii="Times New Roman" w:hAnsi="Times New Roman" w:cs="Times New Roman"/>
          <w:sz w:val="18"/>
          <w:szCs w:val="18"/>
        </w:rPr>
      </w:pPr>
    </w:p>
  </w:footnote>
  <w:footnote w:id="37">
    <w:p w:rsidR="0035379D"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AIR 1986 SC 649</w:t>
      </w:r>
    </w:p>
    <w:p w:rsidR="002B315B" w:rsidRPr="00E439D1" w:rsidRDefault="002B315B" w:rsidP="00E439D1">
      <w:pPr>
        <w:pStyle w:val="FootnoteText"/>
        <w:jc w:val="both"/>
        <w:rPr>
          <w:rFonts w:ascii="Times New Roman" w:hAnsi="Times New Roman" w:cs="Times New Roman"/>
          <w:sz w:val="18"/>
          <w:szCs w:val="18"/>
        </w:rPr>
      </w:pPr>
    </w:p>
  </w:footnote>
  <w:footnote w:id="38">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Vodafone International Holdings BV v.Union of India (UOI), Ministry of Finance and Asst. Director of Income Tax (International Taxation), [2009] 311 ITR 46 (Bom).</w:t>
      </w:r>
    </w:p>
  </w:footnote>
  <w:footnote w:id="39">
    <w:p w:rsidR="0035379D" w:rsidRPr="00E439D1" w:rsidRDefault="0035379D"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Supra note .14</w:t>
      </w:r>
    </w:p>
  </w:footnote>
  <w:footnote w:id="40">
    <w:p w:rsidR="0035379D" w:rsidRPr="00E439D1" w:rsidRDefault="0035379D" w:rsidP="00E439D1">
      <w:pPr>
        <w:autoSpaceDE w:val="0"/>
        <w:autoSpaceDN w:val="0"/>
        <w:adjustRightInd w:val="0"/>
        <w:spacing w:after="0" w:line="240" w:lineRule="auto"/>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Sec 3 Scope of total Income-</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sz w:val="18"/>
          <w:szCs w:val="18"/>
        </w:rPr>
        <w:t xml:space="preserve"> </w:t>
      </w: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1</w:t>
      </w:r>
      <w:r w:rsidRPr="00E439D1">
        <w:rPr>
          <w:rFonts w:ascii="Times New Roman" w:hAnsi="Times New Roman" w:cs="Times New Roman"/>
          <w:color w:val="231F20"/>
          <w:sz w:val="18"/>
          <w:szCs w:val="18"/>
        </w:rPr>
        <w:t>) Subject to the provisions of this Code, the total income of any financial year of a person, who is a resident, shall include all income from whatever source derived which—</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a</w:t>
      </w:r>
      <w:r w:rsidRPr="00E439D1">
        <w:rPr>
          <w:rFonts w:ascii="Times New Roman" w:hAnsi="Times New Roman" w:cs="Times New Roman"/>
          <w:color w:val="231F20"/>
          <w:sz w:val="18"/>
          <w:szCs w:val="18"/>
        </w:rPr>
        <w:t>) accrues, or is deemed to accrue, to him in India during the year;</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b</w:t>
      </w:r>
      <w:r w:rsidRPr="00E439D1">
        <w:rPr>
          <w:rFonts w:ascii="Times New Roman" w:hAnsi="Times New Roman" w:cs="Times New Roman"/>
          <w:color w:val="231F20"/>
          <w:sz w:val="18"/>
          <w:szCs w:val="18"/>
        </w:rPr>
        <w:t>) accrues to him outside India during the year;</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c</w:t>
      </w:r>
      <w:r w:rsidRPr="00E439D1">
        <w:rPr>
          <w:rFonts w:ascii="Times New Roman" w:hAnsi="Times New Roman" w:cs="Times New Roman"/>
          <w:color w:val="231F20"/>
          <w:sz w:val="18"/>
          <w:szCs w:val="18"/>
        </w:rPr>
        <w:t>) is received, or is deemed to be received, by him, or on his behalf, in India during the year; or</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d</w:t>
      </w:r>
      <w:r w:rsidRPr="00E439D1">
        <w:rPr>
          <w:rFonts w:ascii="Times New Roman" w:hAnsi="Times New Roman" w:cs="Times New Roman"/>
          <w:color w:val="231F20"/>
          <w:sz w:val="18"/>
          <w:szCs w:val="18"/>
        </w:rPr>
        <w:t>) is received by him, or on his behalf, outside India during the year.</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2</w:t>
      </w:r>
      <w:r w:rsidRPr="00E439D1">
        <w:rPr>
          <w:rFonts w:ascii="Times New Roman" w:hAnsi="Times New Roman" w:cs="Times New Roman"/>
          <w:color w:val="231F20"/>
          <w:sz w:val="18"/>
          <w:szCs w:val="18"/>
        </w:rPr>
        <w:t>) Subject to the provisions of this Code, the total income of any financial year of a person, who is a non-resident, shall include all income from whatever source derived which—</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a</w:t>
      </w:r>
      <w:r w:rsidRPr="00E439D1">
        <w:rPr>
          <w:rFonts w:ascii="Times New Roman" w:hAnsi="Times New Roman" w:cs="Times New Roman"/>
          <w:color w:val="231F20"/>
          <w:sz w:val="18"/>
          <w:szCs w:val="18"/>
        </w:rPr>
        <w:t>) accrues, or is deemed to accrue, to him in India during the year; or</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b</w:t>
      </w:r>
      <w:r w:rsidRPr="00E439D1">
        <w:rPr>
          <w:rFonts w:ascii="Times New Roman" w:hAnsi="Times New Roman" w:cs="Times New Roman"/>
          <w:color w:val="231F20"/>
          <w:sz w:val="18"/>
          <w:szCs w:val="18"/>
        </w:rPr>
        <w:t>) is received, or is deemed to be received, by him, or on his behalf, in India during the year.</w:t>
      </w:r>
    </w:p>
    <w:p w:rsidR="0035379D" w:rsidRPr="00E439D1" w:rsidRDefault="0035379D" w:rsidP="00E439D1">
      <w:pPr>
        <w:autoSpaceDE w:val="0"/>
        <w:autoSpaceDN w:val="0"/>
        <w:adjustRightInd w:val="0"/>
        <w:spacing w:after="0" w:line="240" w:lineRule="auto"/>
        <w:jc w:val="both"/>
        <w:rPr>
          <w:rFonts w:ascii="Times New Roman" w:hAnsi="Times New Roman" w:cs="Times New Roman"/>
          <w:color w:val="231F20"/>
          <w:sz w:val="18"/>
          <w:szCs w:val="18"/>
        </w:rPr>
      </w:pPr>
      <w:r w:rsidRPr="00E439D1">
        <w:rPr>
          <w:rFonts w:ascii="Times New Roman" w:hAnsi="Times New Roman" w:cs="Times New Roman"/>
          <w:color w:val="231F20"/>
          <w:sz w:val="18"/>
          <w:szCs w:val="18"/>
        </w:rPr>
        <w:t>(</w:t>
      </w:r>
      <w:r w:rsidRPr="00E439D1">
        <w:rPr>
          <w:rFonts w:ascii="Times New Roman" w:hAnsi="Times New Roman" w:cs="Times New Roman"/>
          <w:iCs/>
          <w:color w:val="231F20"/>
          <w:sz w:val="18"/>
          <w:szCs w:val="18"/>
        </w:rPr>
        <w:t>3</w:t>
      </w:r>
      <w:r w:rsidRPr="00E439D1">
        <w:rPr>
          <w:rFonts w:ascii="Times New Roman" w:hAnsi="Times New Roman" w:cs="Times New Roman"/>
          <w:color w:val="231F20"/>
          <w:sz w:val="18"/>
          <w:szCs w:val="18"/>
        </w:rPr>
        <w:t>) Any income which accrues to a resident outside India during the year, or is received outside India during the year by, or on behalf of, such resident, shall be included in the total income of the resident, whether or not such income has been charged to tax outside India.</w:t>
      </w:r>
    </w:p>
  </w:footnote>
  <w:footnote w:id="41">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John Brondolo “Collecting Taxes During an Economic Crisis: Challenges and Policy Options” @ </w:t>
      </w:r>
      <w:hyperlink r:id="rId3" w:history="1">
        <w:r w:rsidRPr="002B315B">
          <w:rPr>
            <w:rFonts w:ascii="Times New Roman" w:eastAsia="Times New Roman" w:hAnsi="Times New Roman" w:cs="Times New Roman"/>
            <w:sz w:val="18"/>
            <w:szCs w:val="18"/>
          </w:rPr>
          <w:t>http://www.imf.org/external/pubs/ft/spn/2009/spn0917.pdf</w:t>
        </w:r>
      </w:hyperlink>
      <w:r w:rsidRPr="002B315B">
        <w:rPr>
          <w:rFonts w:ascii="Times New Roman" w:eastAsia="Times New Roman" w:hAnsi="Times New Roman" w:cs="Times New Roman"/>
          <w:sz w:val="18"/>
          <w:szCs w:val="18"/>
        </w:rPr>
        <w:t>.</w:t>
      </w:r>
      <w:r w:rsidRPr="00E439D1">
        <w:rPr>
          <w:rFonts w:ascii="Times New Roman" w:eastAsia="Times New Roman" w:hAnsi="Times New Roman" w:cs="Times New Roman"/>
          <w:color w:val="000000"/>
          <w:sz w:val="18"/>
          <w:szCs w:val="18"/>
        </w:rPr>
        <w:t xml:space="preserve"> </w:t>
      </w:r>
      <w:r w:rsidR="002B315B">
        <w:rPr>
          <w:rFonts w:ascii="Times New Roman" w:eastAsia="Times New Roman" w:hAnsi="Times New Roman" w:cs="Times New Roman"/>
          <w:color w:val="000000"/>
          <w:sz w:val="18"/>
          <w:szCs w:val="18"/>
        </w:rPr>
        <w:t>(accessed on 22 Aug, 2011)</w:t>
      </w:r>
      <w:r w:rsidRPr="00E439D1">
        <w:rPr>
          <w:rFonts w:ascii="Times New Roman" w:eastAsia="Times New Roman" w:hAnsi="Times New Roman" w:cs="Times New Roman"/>
          <w:color w:val="000000"/>
          <w:sz w:val="18"/>
          <w:szCs w:val="18"/>
        </w:rPr>
        <w:t xml:space="preserve"> </w:t>
      </w:r>
    </w:p>
  </w:footnote>
  <w:footnote w:id="42">
    <w:p w:rsid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“Recession fears? Super rich still making money</w:t>
      </w:r>
      <w:r w:rsidR="002B315B">
        <w:rPr>
          <w:rFonts w:ascii="Times New Roman" w:hAnsi="Times New Roman" w:cs="Times New Roman"/>
          <w:sz w:val="18"/>
          <w:szCs w:val="18"/>
        </w:rPr>
        <w:t xml:space="preserve">” </w:t>
      </w:r>
      <w:r w:rsidRPr="00E439D1">
        <w:rPr>
          <w:rFonts w:ascii="Times New Roman" w:hAnsi="Times New Roman" w:cs="Times New Roman"/>
          <w:sz w:val="18"/>
          <w:szCs w:val="18"/>
        </w:rPr>
        <w:t xml:space="preserve"> </w:t>
      </w:r>
      <w:r w:rsidR="005F4B57" w:rsidRPr="005F4B57">
        <w:rPr>
          <w:rFonts w:ascii="Times New Roman" w:hAnsi="Times New Roman" w:cs="Times New Roman"/>
          <w:sz w:val="18"/>
          <w:szCs w:val="18"/>
        </w:rPr>
        <w:t>http://economictimes.indiatimes.com/news/international-business/recession-fears-super-rich-still-making-money/articleshow/9660546.cms</w:t>
      </w:r>
      <w:r w:rsidRPr="002B315B">
        <w:rPr>
          <w:rFonts w:ascii="Times New Roman" w:hAnsi="Times New Roman" w:cs="Times New Roman"/>
          <w:sz w:val="18"/>
          <w:szCs w:val="18"/>
        </w:rPr>
        <w:t xml:space="preserve"> </w:t>
      </w:r>
      <w:r w:rsidR="002B315B">
        <w:rPr>
          <w:rFonts w:ascii="Times New Roman" w:hAnsi="Times New Roman" w:cs="Times New Roman"/>
          <w:sz w:val="18"/>
          <w:szCs w:val="18"/>
        </w:rPr>
        <w:t>( accessed on 22 Aug, 2011)</w:t>
      </w:r>
    </w:p>
    <w:p w:rsidR="002B315B" w:rsidRPr="00E439D1" w:rsidRDefault="002B315B" w:rsidP="00E439D1">
      <w:pPr>
        <w:pStyle w:val="FootnoteText"/>
        <w:jc w:val="both"/>
        <w:rPr>
          <w:rFonts w:ascii="Times New Roman" w:hAnsi="Times New Roman" w:cs="Times New Roman"/>
          <w:sz w:val="18"/>
          <w:szCs w:val="18"/>
        </w:rPr>
      </w:pPr>
    </w:p>
  </w:footnote>
  <w:footnote w:id="43">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See THE HINDU “ Global markets take fright” of 20</w:t>
      </w:r>
      <w:r w:rsidRPr="00E439D1">
        <w:rPr>
          <w:rFonts w:ascii="Times New Roman" w:hAnsi="Times New Roman" w:cs="Times New Roman"/>
          <w:sz w:val="18"/>
          <w:szCs w:val="18"/>
          <w:vertAlign w:val="superscript"/>
        </w:rPr>
        <w:t>th</w:t>
      </w:r>
      <w:r w:rsidRPr="00E439D1">
        <w:rPr>
          <w:rFonts w:ascii="Times New Roman" w:hAnsi="Times New Roman" w:cs="Times New Roman"/>
          <w:sz w:val="18"/>
          <w:szCs w:val="18"/>
        </w:rPr>
        <w:t xml:space="preserve"> August, 11</w:t>
      </w:r>
    </w:p>
  </w:footnote>
  <w:footnote w:id="44">
    <w:p w:rsidR="00E439D1" w:rsidRPr="00E439D1"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 </w:t>
      </w:r>
      <w:r w:rsidR="00E05AC8">
        <w:rPr>
          <w:rFonts w:ascii="Times New Roman" w:hAnsi="Times New Roman" w:cs="Times New Roman"/>
          <w:sz w:val="18"/>
          <w:szCs w:val="18"/>
        </w:rPr>
        <w:t>Simon Raftopouls and Samual B</w:t>
      </w:r>
      <w:r w:rsidR="00E05AC8" w:rsidRPr="00E439D1">
        <w:rPr>
          <w:rFonts w:ascii="Times New Roman" w:hAnsi="Times New Roman" w:cs="Times New Roman"/>
          <w:sz w:val="18"/>
          <w:szCs w:val="18"/>
        </w:rPr>
        <w:t>anks</w:t>
      </w:r>
      <w:r w:rsidRPr="00E439D1">
        <w:rPr>
          <w:rFonts w:ascii="Times New Roman" w:hAnsi="Times New Roman" w:cs="Times New Roman"/>
          <w:sz w:val="18"/>
          <w:szCs w:val="18"/>
        </w:rPr>
        <w:t xml:space="preserve"> “ Tax Havens: the Red Herring of th</w:t>
      </w:r>
      <w:r w:rsidR="00CE50BE">
        <w:rPr>
          <w:rFonts w:ascii="Times New Roman" w:hAnsi="Times New Roman" w:cs="Times New Roman"/>
          <w:sz w:val="18"/>
          <w:szCs w:val="18"/>
        </w:rPr>
        <w:t xml:space="preserve">e Global Financial Crisis” Cayman Isands Journal, May 2009 </w:t>
      </w:r>
    </w:p>
  </w:footnote>
  <w:footnote w:id="45">
    <w:p w:rsidR="00E439D1" w:rsidRPr="00E05AC8" w:rsidRDefault="00E439D1" w:rsidP="00E439D1">
      <w:pPr>
        <w:pStyle w:val="FootnoteText"/>
        <w:jc w:val="both"/>
        <w:rPr>
          <w:rFonts w:ascii="Times New Roman" w:hAnsi="Times New Roman" w:cs="Times New Roman"/>
          <w:sz w:val="18"/>
          <w:szCs w:val="18"/>
        </w:rPr>
      </w:pPr>
      <w:r w:rsidRPr="00E439D1">
        <w:rPr>
          <w:rStyle w:val="FootnoteReference"/>
          <w:rFonts w:ascii="Times New Roman" w:hAnsi="Times New Roman" w:cs="Times New Roman"/>
          <w:sz w:val="18"/>
          <w:szCs w:val="18"/>
        </w:rPr>
        <w:footnoteRef/>
      </w:r>
      <w:r w:rsidRPr="00E439D1">
        <w:rPr>
          <w:rFonts w:ascii="Times New Roman" w:hAnsi="Times New Roman" w:cs="Times New Roman"/>
          <w:sz w:val="18"/>
          <w:szCs w:val="18"/>
        </w:rPr>
        <w:t xml:space="preserve">THE HINDU: Buisness Line “A formality gone through” at </w:t>
      </w:r>
      <w:r w:rsidR="00CE50BE" w:rsidRPr="00CE50BE">
        <w:rPr>
          <w:rFonts w:ascii="Times New Roman" w:hAnsi="Times New Roman" w:cs="Times New Roman"/>
          <w:sz w:val="18"/>
          <w:szCs w:val="18"/>
        </w:rPr>
        <w:t>http://www.thehindubusinessline.com/industry-and-economy/taxation-and-accounts/article1509733.ece  (</w:t>
      </w:r>
      <w:r w:rsidR="00CE50BE">
        <w:rPr>
          <w:rFonts w:ascii="Times New Roman" w:hAnsi="Times New Roman" w:cs="Times New Roman"/>
          <w:sz w:val="18"/>
          <w:szCs w:val="18"/>
        </w:rPr>
        <w:t xml:space="preserve">accesed on 22 Aug, 2011) </w:t>
      </w:r>
      <w:r w:rsidRPr="00E05AC8">
        <w:rPr>
          <w:rFonts w:ascii="Times New Roman" w:hAnsi="Times New Roman" w:cs="Times New Roman"/>
          <w:sz w:val="18"/>
          <w:szCs w:val="18"/>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38346B"/>
    <w:multiLevelType w:val="hybridMultilevel"/>
    <w:tmpl w:val="AD3EB080"/>
    <w:lvl w:ilvl="0" w:tplc="80FCA63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3F4110"/>
    <w:multiLevelType w:val="hybridMultilevel"/>
    <w:tmpl w:val="76262B8A"/>
    <w:lvl w:ilvl="0" w:tplc="36780F9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AF664E"/>
    <w:multiLevelType w:val="hybridMultilevel"/>
    <w:tmpl w:val="B120A856"/>
    <w:lvl w:ilvl="0" w:tplc="B94E987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BA3F9C"/>
    <w:multiLevelType w:val="hybridMultilevel"/>
    <w:tmpl w:val="EEBC4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1746">
      <o:colormenu v:ext="edit" fillcolor="none [1311]"/>
    </o:shapedefaults>
    <o:shapelayout v:ext="edit">
      <o:idmap v:ext="edit" data="27"/>
    </o:shapelayout>
  </w:hdrShapeDefaults>
  <w:footnotePr>
    <w:footnote w:id="-1"/>
    <w:footnote w:id="0"/>
  </w:footnotePr>
  <w:endnotePr>
    <w:endnote w:id="-1"/>
    <w:endnote w:id="0"/>
  </w:endnotePr>
  <w:compat>
    <w:useFELayout/>
  </w:compat>
  <w:rsids>
    <w:rsidRoot w:val="00557F78"/>
    <w:rsid w:val="00024138"/>
    <w:rsid w:val="000247A3"/>
    <w:rsid w:val="00081417"/>
    <w:rsid w:val="000866C5"/>
    <w:rsid w:val="000B16F2"/>
    <w:rsid w:val="000E32CE"/>
    <w:rsid w:val="000F3E82"/>
    <w:rsid w:val="0011001C"/>
    <w:rsid w:val="00120D4F"/>
    <w:rsid w:val="00131B4D"/>
    <w:rsid w:val="00141C2A"/>
    <w:rsid w:val="00143158"/>
    <w:rsid w:val="00191F42"/>
    <w:rsid w:val="001C6BBF"/>
    <w:rsid w:val="00214588"/>
    <w:rsid w:val="00223193"/>
    <w:rsid w:val="002863E9"/>
    <w:rsid w:val="00292A45"/>
    <w:rsid w:val="00295387"/>
    <w:rsid w:val="002A0D0D"/>
    <w:rsid w:val="002B315B"/>
    <w:rsid w:val="002C1796"/>
    <w:rsid w:val="002D11BE"/>
    <w:rsid w:val="002D4EFD"/>
    <w:rsid w:val="002E3DEB"/>
    <w:rsid w:val="002F00D2"/>
    <w:rsid w:val="002F20CF"/>
    <w:rsid w:val="00340533"/>
    <w:rsid w:val="00341F6A"/>
    <w:rsid w:val="0035379D"/>
    <w:rsid w:val="0036012A"/>
    <w:rsid w:val="0036161C"/>
    <w:rsid w:val="00366793"/>
    <w:rsid w:val="0038523C"/>
    <w:rsid w:val="00391BBE"/>
    <w:rsid w:val="003A7320"/>
    <w:rsid w:val="003B0B36"/>
    <w:rsid w:val="003B1F12"/>
    <w:rsid w:val="003C7DD5"/>
    <w:rsid w:val="003E4D24"/>
    <w:rsid w:val="003F19B1"/>
    <w:rsid w:val="003F7F3F"/>
    <w:rsid w:val="00413087"/>
    <w:rsid w:val="00417C0B"/>
    <w:rsid w:val="004314E5"/>
    <w:rsid w:val="00444D24"/>
    <w:rsid w:val="00464B5C"/>
    <w:rsid w:val="004700A9"/>
    <w:rsid w:val="004805F5"/>
    <w:rsid w:val="00482B36"/>
    <w:rsid w:val="00486B5B"/>
    <w:rsid w:val="004B01BA"/>
    <w:rsid w:val="004B1D3F"/>
    <w:rsid w:val="004C2811"/>
    <w:rsid w:val="004C5CCD"/>
    <w:rsid w:val="004C5DD4"/>
    <w:rsid w:val="004D3869"/>
    <w:rsid w:val="004F08A5"/>
    <w:rsid w:val="004F1A48"/>
    <w:rsid w:val="004F25E9"/>
    <w:rsid w:val="005076A5"/>
    <w:rsid w:val="00527E5B"/>
    <w:rsid w:val="0053590F"/>
    <w:rsid w:val="005552E9"/>
    <w:rsid w:val="00555E91"/>
    <w:rsid w:val="00557F78"/>
    <w:rsid w:val="005664B1"/>
    <w:rsid w:val="00590CE0"/>
    <w:rsid w:val="005A4A16"/>
    <w:rsid w:val="005B3316"/>
    <w:rsid w:val="005B47EB"/>
    <w:rsid w:val="005B55E3"/>
    <w:rsid w:val="005C2AAA"/>
    <w:rsid w:val="005D5581"/>
    <w:rsid w:val="005F1F90"/>
    <w:rsid w:val="005F4B57"/>
    <w:rsid w:val="0061402E"/>
    <w:rsid w:val="00627278"/>
    <w:rsid w:val="006317B9"/>
    <w:rsid w:val="00642C97"/>
    <w:rsid w:val="0065386E"/>
    <w:rsid w:val="0066422E"/>
    <w:rsid w:val="00686AF2"/>
    <w:rsid w:val="00697AA5"/>
    <w:rsid w:val="006C491A"/>
    <w:rsid w:val="006C6F48"/>
    <w:rsid w:val="0070406D"/>
    <w:rsid w:val="00704EF6"/>
    <w:rsid w:val="00715FA2"/>
    <w:rsid w:val="007178A8"/>
    <w:rsid w:val="00751DF8"/>
    <w:rsid w:val="007C7154"/>
    <w:rsid w:val="007E4B43"/>
    <w:rsid w:val="007E5C2B"/>
    <w:rsid w:val="00834373"/>
    <w:rsid w:val="008956AB"/>
    <w:rsid w:val="008A498B"/>
    <w:rsid w:val="008E6F81"/>
    <w:rsid w:val="00985CFB"/>
    <w:rsid w:val="00993821"/>
    <w:rsid w:val="00995CCD"/>
    <w:rsid w:val="009B6AFB"/>
    <w:rsid w:val="00A25BDE"/>
    <w:rsid w:val="00A53FAE"/>
    <w:rsid w:val="00A67E34"/>
    <w:rsid w:val="00A92747"/>
    <w:rsid w:val="00AA010A"/>
    <w:rsid w:val="00AB25C5"/>
    <w:rsid w:val="00AB545F"/>
    <w:rsid w:val="00AC2E7C"/>
    <w:rsid w:val="00AE1DD5"/>
    <w:rsid w:val="00AE5555"/>
    <w:rsid w:val="00AF2820"/>
    <w:rsid w:val="00B303E0"/>
    <w:rsid w:val="00B36858"/>
    <w:rsid w:val="00B3769D"/>
    <w:rsid w:val="00B54F99"/>
    <w:rsid w:val="00B60B2C"/>
    <w:rsid w:val="00B749DD"/>
    <w:rsid w:val="00B95F15"/>
    <w:rsid w:val="00BA119F"/>
    <w:rsid w:val="00BA24AD"/>
    <w:rsid w:val="00BA706B"/>
    <w:rsid w:val="00BD0DBD"/>
    <w:rsid w:val="00BE638B"/>
    <w:rsid w:val="00BE6471"/>
    <w:rsid w:val="00C10BF4"/>
    <w:rsid w:val="00C1754C"/>
    <w:rsid w:val="00C3450E"/>
    <w:rsid w:val="00C3604C"/>
    <w:rsid w:val="00C5082D"/>
    <w:rsid w:val="00C706DC"/>
    <w:rsid w:val="00C721DC"/>
    <w:rsid w:val="00C83C7B"/>
    <w:rsid w:val="00CB022E"/>
    <w:rsid w:val="00CB1496"/>
    <w:rsid w:val="00CB425D"/>
    <w:rsid w:val="00CC2C46"/>
    <w:rsid w:val="00CC33EB"/>
    <w:rsid w:val="00CC7DB8"/>
    <w:rsid w:val="00CD1EB0"/>
    <w:rsid w:val="00CD69C9"/>
    <w:rsid w:val="00CE00E6"/>
    <w:rsid w:val="00CE0FEB"/>
    <w:rsid w:val="00CE50BE"/>
    <w:rsid w:val="00CF2E93"/>
    <w:rsid w:val="00CF2F98"/>
    <w:rsid w:val="00CF7223"/>
    <w:rsid w:val="00D15EC1"/>
    <w:rsid w:val="00D55787"/>
    <w:rsid w:val="00D670AE"/>
    <w:rsid w:val="00DA010B"/>
    <w:rsid w:val="00DA5F84"/>
    <w:rsid w:val="00DB1F68"/>
    <w:rsid w:val="00DC0DA1"/>
    <w:rsid w:val="00DE2685"/>
    <w:rsid w:val="00DF2EA2"/>
    <w:rsid w:val="00E05AC8"/>
    <w:rsid w:val="00E36E63"/>
    <w:rsid w:val="00E439D1"/>
    <w:rsid w:val="00E4688E"/>
    <w:rsid w:val="00E61AEF"/>
    <w:rsid w:val="00E73E50"/>
    <w:rsid w:val="00E8071E"/>
    <w:rsid w:val="00E81E20"/>
    <w:rsid w:val="00E86F14"/>
    <w:rsid w:val="00E9669B"/>
    <w:rsid w:val="00EA704E"/>
    <w:rsid w:val="00EE32E2"/>
    <w:rsid w:val="00F03339"/>
    <w:rsid w:val="00F26767"/>
    <w:rsid w:val="00F81D8C"/>
    <w:rsid w:val="00F82CBD"/>
    <w:rsid w:val="00FD6DF4"/>
    <w:rsid w:val="00FF2773"/>
    <w:rsid w:val="00FF44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fillcolor="none [131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4E"/>
  </w:style>
  <w:style w:type="paragraph" w:styleId="Heading1">
    <w:name w:val="heading 1"/>
    <w:basedOn w:val="Normal"/>
    <w:next w:val="Normal"/>
    <w:link w:val="Heading1Char"/>
    <w:uiPriority w:val="9"/>
    <w:qFormat/>
    <w:rsid w:val="00EA704E"/>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EA704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EA704E"/>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EA704E"/>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EA704E"/>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EA704E"/>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EA704E"/>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EA704E"/>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EA704E"/>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616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161C"/>
    <w:rPr>
      <w:sz w:val="20"/>
      <w:szCs w:val="20"/>
    </w:rPr>
  </w:style>
  <w:style w:type="character" w:styleId="FootnoteReference">
    <w:name w:val="footnote reference"/>
    <w:basedOn w:val="DefaultParagraphFont"/>
    <w:uiPriority w:val="99"/>
    <w:semiHidden/>
    <w:unhideWhenUsed/>
    <w:rsid w:val="0036161C"/>
    <w:rPr>
      <w:vertAlign w:val="superscript"/>
    </w:rPr>
  </w:style>
  <w:style w:type="character" w:customStyle="1" w:styleId="apple-style-span">
    <w:name w:val="apple-style-span"/>
    <w:basedOn w:val="DefaultParagraphFont"/>
    <w:rsid w:val="00E8071E"/>
  </w:style>
  <w:style w:type="character" w:customStyle="1" w:styleId="apple-converted-space">
    <w:name w:val="apple-converted-space"/>
    <w:basedOn w:val="DefaultParagraphFont"/>
    <w:rsid w:val="00995CCD"/>
  </w:style>
  <w:style w:type="character" w:styleId="Emphasis">
    <w:name w:val="Emphasis"/>
    <w:uiPriority w:val="20"/>
    <w:qFormat/>
    <w:rsid w:val="00EA704E"/>
    <w:rPr>
      <w:caps/>
      <w:spacing w:val="5"/>
      <w:sz w:val="20"/>
      <w:szCs w:val="20"/>
    </w:rPr>
  </w:style>
  <w:style w:type="paragraph" w:styleId="ListParagraph">
    <w:name w:val="List Paragraph"/>
    <w:basedOn w:val="Normal"/>
    <w:uiPriority w:val="34"/>
    <w:qFormat/>
    <w:rsid w:val="00EA704E"/>
    <w:pPr>
      <w:ind w:left="720"/>
      <w:contextualSpacing/>
    </w:pPr>
  </w:style>
  <w:style w:type="character" w:styleId="Hyperlink">
    <w:name w:val="Hyperlink"/>
    <w:basedOn w:val="DefaultParagraphFont"/>
    <w:uiPriority w:val="99"/>
    <w:unhideWhenUsed/>
    <w:rsid w:val="00FF2773"/>
    <w:rPr>
      <w:color w:val="0000FF" w:themeColor="hyperlink"/>
      <w:u w:val="single"/>
    </w:rPr>
  </w:style>
  <w:style w:type="character" w:styleId="HTMLCite">
    <w:name w:val="HTML Cite"/>
    <w:basedOn w:val="DefaultParagraphFont"/>
    <w:uiPriority w:val="99"/>
    <w:semiHidden/>
    <w:unhideWhenUsed/>
    <w:rsid w:val="00E439D1"/>
    <w:rPr>
      <w:i/>
      <w:iCs/>
    </w:rPr>
  </w:style>
  <w:style w:type="character" w:styleId="Strong">
    <w:name w:val="Strong"/>
    <w:uiPriority w:val="22"/>
    <w:qFormat/>
    <w:rsid w:val="00EA704E"/>
    <w:rPr>
      <w:b/>
      <w:bCs/>
      <w:color w:val="943634" w:themeColor="accent2" w:themeShade="BF"/>
      <w:spacing w:val="5"/>
    </w:rPr>
  </w:style>
  <w:style w:type="paragraph" w:styleId="BalloonText">
    <w:name w:val="Balloon Text"/>
    <w:basedOn w:val="Normal"/>
    <w:link w:val="BalloonTextChar"/>
    <w:uiPriority w:val="99"/>
    <w:semiHidden/>
    <w:unhideWhenUsed/>
    <w:rsid w:val="00E43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9D1"/>
    <w:rPr>
      <w:rFonts w:ascii="Tahoma" w:hAnsi="Tahoma" w:cs="Tahoma"/>
      <w:sz w:val="16"/>
      <w:szCs w:val="16"/>
    </w:rPr>
  </w:style>
  <w:style w:type="paragraph" w:styleId="Header">
    <w:name w:val="header"/>
    <w:basedOn w:val="Normal"/>
    <w:link w:val="HeaderChar"/>
    <w:uiPriority w:val="99"/>
    <w:unhideWhenUsed/>
    <w:rsid w:val="00717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8A8"/>
  </w:style>
  <w:style w:type="paragraph" w:styleId="Footer">
    <w:name w:val="footer"/>
    <w:basedOn w:val="Normal"/>
    <w:link w:val="FooterChar"/>
    <w:uiPriority w:val="99"/>
    <w:unhideWhenUsed/>
    <w:rsid w:val="00717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8A8"/>
  </w:style>
  <w:style w:type="paragraph" w:styleId="Title">
    <w:name w:val="Title"/>
    <w:basedOn w:val="Normal"/>
    <w:next w:val="Normal"/>
    <w:link w:val="TitleChar"/>
    <w:uiPriority w:val="10"/>
    <w:qFormat/>
    <w:rsid w:val="00EA704E"/>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A704E"/>
    <w:rPr>
      <w:rFonts w:eastAsiaTheme="majorEastAsia" w:cstheme="majorBidi"/>
      <w:caps/>
      <w:color w:val="632423" w:themeColor="accent2" w:themeShade="80"/>
      <w:spacing w:val="50"/>
      <w:sz w:val="44"/>
      <w:szCs w:val="44"/>
    </w:rPr>
  </w:style>
  <w:style w:type="character" w:customStyle="1" w:styleId="Heading1Char">
    <w:name w:val="Heading 1 Char"/>
    <w:basedOn w:val="DefaultParagraphFont"/>
    <w:link w:val="Heading1"/>
    <w:uiPriority w:val="9"/>
    <w:rsid w:val="00EA704E"/>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EA704E"/>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EA704E"/>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EA704E"/>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EA704E"/>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EA704E"/>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EA704E"/>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EA704E"/>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EA704E"/>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EA704E"/>
    <w:rPr>
      <w:caps/>
      <w:spacing w:val="10"/>
      <w:sz w:val="18"/>
      <w:szCs w:val="18"/>
    </w:rPr>
  </w:style>
  <w:style w:type="paragraph" w:styleId="Subtitle">
    <w:name w:val="Subtitle"/>
    <w:basedOn w:val="Normal"/>
    <w:next w:val="Normal"/>
    <w:link w:val="SubtitleChar"/>
    <w:uiPriority w:val="11"/>
    <w:qFormat/>
    <w:rsid w:val="00EA704E"/>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704E"/>
    <w:rPr>
      <w:rFonts w:eastAsiaTheme="majorEastAsia" w:cstheme="majorBidi"/>
      <w:caps/>
      <w:spacing w:val="20"/>
      <w:sz w:val="18"/>
      <w:szCs w:val="18"/>
    </w:rPr>
  </w:style>
  <w:style w:type="paragraph" w:styleId="NoSpacing">
    <w:name w:val="No Spacing"/>
    <w:basedOn w:val="Normal"/>
    <w:link w:val="NoSpacingChar"/>
    <w:uiPriority w:val="1"/>
    <w:qFormat/>
    <w:rsid w:val="00EA704E"/>
    <w:pPr>
      <w:spacing w:after="0" w:line="240" w:lineRule="auto"/>
    </w:pPr>
  </w:style>
  <w:style w:type="character" w:customStyle="1" w:styleId="NoSpacingChar">
    <w:name w:val="No Spacing Char"/>
    <w:basedOn w:val="DefaultParagraphFont"/>
    <w:link w:val="NoSpacing"/>
    <w:uiPriority w:val="1"/>
    <w:rsid w:val="00EA704E"/>
  </w:style>
  <w:style w:type="paragraph" w:styleId="Quote">
    <w:name w:val="Quote"/>
    <w:basedOn w:val="Normal"/>
    <w:next w:val="Normal"/>
    <w:link w:val="QuoteChar"/>
    <w:uiPriority w:val="29"/>
    <w:qFormat/>
    <w:rsid w:val="00EA704E"/>
    <w:rPr>
      <w:i/>
      <w:iCs/>
    </w:rPr>
  </w:style>
  <w:style w:type="character" w:customStyle="1" w:styleId="QuoteChar">
    <w:name w:val="Quote Char"/>
    <w:basedOn w:val="DefaultParagraphFont"/>
    <w:link w:val="Quote"/>
    <w:uiPriority w:val="29"/>
    <w:rsid w:val="00EA704E"/>
    <w:rPr>
      <w:rFonts w:eastAsiaTheme="majorEastAsia" w:cstheme="majorBidi"/>
      <w:i/>
      <w:iCs/>
    </w:rPr>
  </w:style>
  <w:style w:type="paragraph" w:styleId="IntenseQuote">
    <w:name w:val="Intense Quote"/>
    <w:basedOn w:val="Normal"/>
    <w:next w:val="Normal"/>
    <w:link w:val="IntenseQuoteChar"/>
    <w:uiPriority w:val="30"/>
    <w:qFormat/>
    <w:rsid w:val="00EA704E"/>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704E"/>
    <w:rPr>
      <w:rFonts w:eastAsiaTheme="majorEastAsia" w:cstheme="majorBidi"/>
      <w:caps/>
      <w:color w:val="622423" w:themeColor="accent2" w:themeShade="7F"/>
      <w:spacing w:val="5"/>
      <w:sz w:val="20"/>
      <w:szCs w:val="20"/>
    </w:rPr>
  </w:style>
  <w:style w:type="character" w:styleId="SubtleEmphasis">
    <w:name w:val="Subtle Emphasis"/>
    <w:uiPriority w:val="19"/>
    <w:qFormat/>
    <w:rsid w:val="00EA704E"/>
    <w:rPr>
      <w:i/>
      <w:iCs/>
    </w:rPr>
  </w:style>
  <w:style w:type="character" w:styleId="IntenseEmphasis">
    <w:name w:val="Intense Emphasis"/>
    <w:uiPriority w:val="21"/>
    <w:qFormat/>
    <w:rsid w:val="00EA704E"/>
    <w:rPr>
      <w:i/>
      <w:iCs/>
      <w:caps/>
      <w:spacing w:val="10"/>
      <w:sz w:val="20"/>
      <w:szCs w:val="20"/>
    </w:rPr>
  </w:style>
  <w:style w:type="character" w:styleId="SubtleReference">
    <w:name w:val="Subtle Reference"/>
    <w:basedOn w:val="DefaultParagraphFont"/>
    <w:uiPriority w:val="31"/>
    <w:qFormat/>
    <w:rsid w:val="00EA704E"/>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704E"/>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704E"/>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EA704E"/>
    <w:pPr>
      <w:outlineLvl w:val="9"/>
    </w:pPr>
  </w:style>
  <w:style w:type="table" w:styleId="MediumList2-Accent5">
    <w:name w:val="Medium List 2 Accent 5"/>
    <w:basedOn w:val="TableNormal"/>
    <w:uiPriority w:val="66"/>
    <w:rsid w:val="00BA24AD"/>
    <w:pPr>
      <w:spacing w:after="0" w:line="240" w:lineRule="auto"/>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DarkList-Accent5">
    <w:name w:val="Dark List Accent 5"/>
    <w:basedOn w:val="TableNormal"/>
    <w:uiPriority w:val="70"/>
    <w:rsid w:val="00BA24AD"/>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2">
    <w:name w:val="Dark List Accent 2"/>
    <w:basedOn w:val="TableNormal"/>
    <w:uiPriority w:val="70"/>
    <w:rsid w:val="00BA24AD"/>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paragraph" w:styleId="TOC2">
    <w:name w:val="toc 2"/>
    <w:basedOn w:val="Normal"/>
    <w:next w:val="Normal"/>
    <w:autoRedefine/>
    <w:uiPriority w:val="39"/>
    <w:semiHidden/>
    <w:unhideWhenUsed/>
    <w:qFormat/>
    <w:rsid w:val="00BA24AD"/>
    <w:pPr>
      <w:spacing w:after="100" w:line="276" w:lineRule="auto"/>
      <w:ind w:left="220"/>
    </w:pPr>
    <w:rPr>
      <w:rFonts w:asciiTheme="minorHAnsi" w:eastAsiaTheme="minorEastAsia" w:hAnsiTheme="minorHAnsi" w:cstheme="minorBidi"/>
      <w:lang w:bidi="ar-SA"/>
    </w:rPr>
  </w:style>
  <w:style w:type="paragraph" w:styleId="TOC1">
    <w:name w:val="toc 1"/>
    <w:basedOn w:val="Normal"/>
    <w:next w:val="Normal"/>
    <w:autoRedefine/>
    <w:uiPriority w:val="39"/>
    <w:semiHidden/>
    <w:unhideWhenUsed/>
    <w:qFormat/>
    <w:rsid w:val="00BA24AD"/>
    <w:pPr>
      <w:spacing w:after="100" w:line="276" w:lineRule="auto"/>
    </w:pPr>
    <w:rPr>
      <w:rFonts w:asciiTheme="minorHAnsi" w:eastAsiaTheme="minorEastAsia" w:hAnsiTheme="minorHAnsi" w:cstheme="minorBidi"/>
      <w:lang w:bidi="ar-SA"/>
    </w:rPr>
  </w:style>
  <w:style w:type="paragraph" w:styleId="TOC3">
    <w:name w:val="toc 3"/>
    <w:basedOn w:val="Normal"/>
    <w:next w:val="Normal"/>
    <w:autoRedefine/>
    <w:uiPriority w:val="39"/>
    <w:semiHidden/>
    <w:unhideWhenUsed/>
    <w:qFormat/>
    <w:rsid w:val="00BA24AD"/>
    <w:pPr>
      <w:spacing w:after="100" w:line="276" w:lineRule="auto"/>
      <w:ind w:left="440"/>
    </w:pPr>
    <w:rPr>
      <w:rFonts w:asciiTheme="minorHAnsi" w:eastAsiaTheme="minorEastAsia" w:hAnsiTheme="minorHAnsi" w:cstheme="minorBidi"/>
      <w:lang w:bidi="ar-SA"/>
    </w:rPr>
  </w:style>
  <w:style w:type="table" w:styleId="TableGrid">
    <w:name w:val="Table Grid"/>
    <w:basedOn w:val="TableNormal"/>
    <w:uiPriority w:val="59"/>
    <w:rsid w:val="00BA24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onomictimes.indiatimes.com/news/international-business/recession-fears-super-rich-still-making-money/articleshow/9660546.cm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mf.org/external/pubs/ft/spn/2009/spn0917.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stor.org/pss/266335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du.ac.in/fileadmin/DU/Academics/course_material/TM_09.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imf.org/external/pubs/ft/spn/2009/spn0917.pdf" TargetMode="External"/><Relationship Id="rId2" Type="http://schemas.openxmlformats.org/officeDocument/2006/relationships/hyperlink" Target="http://www.jstor.org/pss/2663357" TargetMode="External"/><Relationship Id="rId1" Type="http://schemas.openxmlformats.org/officeDocument/2006/relationships/hyperlink" Target="http://www.du.ac.in/fileadmin/DU/Academics/course_material/TM_09.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71C482EB844713BDA52A3FAE1A9445"/>
        <w:category>
          <w:name w:val="General"/>
          <w:gallery w:val="placeholder"/>
        </w:category>
        <w:types>
          <w:type w:val="bbPlcHdr"/>
        </w:types>
        <w:behaviors>
          <w:behavior w:val="content"/>
        </w:behaviors>
        <w:guid w:val="{C6088A98-1523-4334-903B-F01BE28C0A31}"/>
      </w:docPartPr>
      <w:docPartBody>
        <w:p w:rsidR="002B02E5" w:rsidRDefault="00013CD3" w:rsidP="00013CD3">
          <w:pPr>
            <w:pStyle w:val="BF71C482EB844713BDA52A3FAE1A9445"/>
          </w:pPr>
          <w:r>
            <w:rPr>
              <w:rFonts w:asciiTheme="majorHAnsi" w:eastAsiaTheme="majorEastAsia" w:hAnsiTheme="majorHAnsi" w:cstheme="majorBidi"/>
              <w:caps/>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13CD3"/>
    <w:rsid w:val="00013CD3"/>
    <w:rsid w:val="002B02E5"/>
    <w:rsid w:val="004642B2"/>
    <w:rsid w:val="00695387"/>
    <w:rsid w:val="006F6A6D"/>
    <w:rsid w:val="00AC3D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2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95364C05BE47F8A8659C89FEA11DE9">
    <w:name w:val="9195364C05BE47F8A8659C89FEA11DE9"/>
    <w:rsid w:val="00013CD3"/>
  </w:style>
  <w:style w:type="paragraph" w:customStyle="1" w:styleId="F06DC679DBC542B2A2E704445F19715F">
    <w:name w:val="F06DC679DBC542B2A2E704445F19715F"/>
    <w:rsid w:val="00013CD3"/>
  </w:style>
  <w:style w:type="paragraph" w:customStyle="1" w:styleId="64907B0C4FA44913A47A2A81E6DCD80B">
    <w:name w:val="64907B0C4FA44913A47A2A81E6DCD80B"/>
    <w:rsid w:val="00013CD3"/>
  </w:style>
  <w:style w:type="paragraph" w:customStyle="1" w:styleId="63E9A533BB5047AEA74468909DEBABD3">
    <w:name w:val="63E9A533BB5047AEA74468909DEBABD3"/>
    <w:rsid w:val="00013CD3"/>
  </w:style>
  <w:style w:type="paragraph" w:customStyle="1" w:styleId="AB67FAEB1BF249A3B34D45C9328F95D1">
    <w:name w:val="AB67FAEB1BF249A3B34D45C9328F95D1"/>
    <w:rsid w:val="00013CD3"/>
  </w:style>
  <w:style w:type="paragraph" w:customStyle="1" w:styleId="E7ECC7777E42485298F52700270E24E8">
    <w:name w:val="E7ECC7777E42485298F52700270E24E8"/>
    <w:rsid w:val="00013CD3"/>
  </w:style>
  <w:style w:type="paragraph" w:customStyle="1" w:styleId="A52A49076EB14C7DB77BFE009C61476A">
    <w:name w:val="A52A49076EB14C7DB77BFE009C61476A"/>
    <w:rsid w:val="00013CD3"/>
  </w:style>
  <w:style w:type="paragraph" w:customStyle="1" w:styleId="1B522D7ED86A4D408FCB1B116F9704A1">
    <w:name w:val="1B522D7ED86A4D408FCB1B116F9704A1"/>
    <w:rsid w:val="00013CD3"/>
  </w:style>
  <w:style w:type="paragraph" w:customStyle="1" w:styleId="DEFF1DAEE8A1407D97C3D2C6FB615280">
    <w:name w:val="DEFF1DAEE8A1407D97C3D2C6FB615280"/>
    <w:rsid w:val="00013CD3"/>
  </w:style>
  <w:style w:type="paragraph" w:customStyle="1" w:styleId="BF71C482EB844713BDA52A3FAE1A9445">
    <w:name w:val="BF71C482EB844713BDA52A3FAE1A9445"/>
    <w:rsid w:val="00013CD3"/>
  </w:style>
  <w:style w:type="paragraph" w:customStyle="1" w:styleId="C246106A883E4028812669847F69ED5A">
    <w:name w:val="C246106A883E4028812669847F69ED5A"/>
    <w:rsid w:val="00013CD3"/>
  </w:style>
  <w:style w:type="paragraph" w:customStyle="1" w:styleId="0870F36B210646EB9A9A678900E9FAD0">
    <w:name w:val="0870F36B210646EB9A9A678900E9FAD0"/>
    <w:rsid w:val="00013CD3"/>
  </w:style>
  <w:style w:type="paragraph" w:customStyle="1" w:styleId="CD04B8DB9AF4499A96CF1924B8AFD9F5">
    <w:name w:val="CD04B8DB9AF4499A96CF1924B8AFD9F5"/>
    <w:rsid w:val="00013CD3"/>
  </w:style>
  <w:style w:type="paragraph" w:customStyle="1" w:styleId="B2C0EC5958DC4A06855F9196BCBC6596">
    <w:name w:val="B2C0EC5958DC4A06855F9196BCBC6596"/>
    <w:rsid w:val="00013CD3"/>
  </w:style>
  <w:style w:type="paragraph" w:customStyle="1" w:styleId="2C824DB7D0AB4B7686B8CE470B0AA3BE">
    <w:name w:val="2C824DB7D0AB4B7686B8CE470B0AA3BE"/>
    <w:rsid w:val="00013CD3"/>
  </w:style>
  <w:style w:type="paragraph" w:customStyle="1" w:styleId="04DF5FBA86AD4081B72EA4DEAC6BFCB4">
    <w:name w:val="04DF5FBA86AD4081B72EA4DEAC6BFCB4"/>
    <w:rsid w:val="002B02E5"/>
  </w:style>
  <w:style w:type="paragraph" w:customStyle="1" w:styleId="EAA2252D680E4F3089773AFAD993FC19">
    <w:name w:val="EAA2252D680E4F3089773AFAD993FC19"/>
    <w:rsid w:val="002B02E5"/>
  </w:style>
  <w:style w:type="paragraph" w:customStyle="1" w:styleId="8755E24C1257405B97038BDBFCC14C5E">
    <w:name w:val="8755E24C1257405B97038BDBFCC14C5E"/>
    <w:rsid w:val="002B02E5"/>
  </w:style>
  <w:style w:type="paragraph" w:customStyle="1" w:styleId="542AEB7E570540F0AA284EC12075902C">
    <w:name w:val="542AEB7E570540F0AA284EC12075902C"/>
    <w:rsid w:val="002B02E5"/>
  </w:style>
  <w:style w:type="paragraph" w:customStyle="1" w:styleId="ACD2F0ADA3254ABBA2F0BDB2AF574173">
    <w:name w:val="ACD2F0ADA3254ABBA2F0BDB2AF574173"/>
    <w:rsid w:val="002B02E5"/>
  </w:style>
  <w:style w:type="paragraph" w:customStyle="1" w:styleId="0690E802A32F45C68FD6FD42378BC92F">
    <w:name w:val="0690E802A32F45C68FD6FD42378BC92F"/>
    <w:rsid w:val="002B02E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2011-08-25T00:00:00</PublishDate>
  <Abstract/>
  <CompanyAddress>Nani Palkhivala Research Paper writing competition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D925EC-E11C-4B48-AE29-5F5E5B4EF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2707</TotalTime>
  <Pages>1</Pages>
  <Words>10212</Words>
  <Characters>58211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PEIRCING THE CORPORATE VEIL IN TAXATION MATTERS (INDIA AND INTERNATIONAL TRANSACTIONS WITH REFERENCE TO DIRECT TAX CODE)</vt:lpstr>
    </vt:vector>
  </TitlesOfParts>
  <Company>7TH NANI PALKHIVALA RESEARCH PAPER COMPETITION</Company>
  <LinksUpToDate>false</LinksUpToDate>
  <CharactersWithSpaces>68287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PEIRCING THE CORPORATE VEIL IN TAXATION MATTERS (INDIA AND INTERNATIONAL TRANSACTIONS WITH REFERENCE TO DIRECT TAX CODE)</dc:title>
  <dc:subject/>
  <dc:creator>Divyanshu Sehgal</dc:creator>
  <cp:keywords/>
  <dc:description/>
  <cp:lastModifiedBy>Sony</cp:lastModifiedBy>
  <cp:revision>63</cp:revision>
  <dcterms:created xsi:type="dcterms:W3CDTF">2011-08-03T17:44:00Z</dcterms:created>
  <dcterms:modified xsi:type="dcterms:W3CDTF">2013-08-15T06:04:00Z</dcterms:modified>
</cp:coreProperties>
</file>